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0E1121" w14:textId="77777777" w:rsidR="007C16ED" w:rsidRPr="007C16ED" w:rsidRDefault="007C16ED" w:rsidP="007C16ED">
      <w:r w:rsidRPr="007C16ED">
        <w:rPr>
          <w:b/>
          <w:bCs/>
        </w:rPr>
        <w:t xml:space="preserve">Methods for Neutralization assays with lentiviral particles </w:t>
      </w:r>
      <w:proofErr w:type="spellStart"/>
      <w:r w:rsidRPr="007C16ED">
        <w:rPr>
          <w:b/>
          <w:bCs/>
        </w:rPr>
        <w:t>pseudotyped</w:t>
      </w:r>
      <w:proofErr w:type="spellEnd"/>
      <w:r w:rsidRPr="007C16ED">
        <w:rPr>
          <w:b/>
          <w:bCs/>
        </w:rPr>
        <w:t xml:space="preserve"> with Rabies G</w:t>
      </w:r>
    </w:p>
    <w:p w14:paraId="16B4080A" w14:textId="77777777" w:rsidR="007C16ED" w:rsidRPr="007C16ED" w:rsidRDefault="007C16ED" w:rsidP="007C16ED">
      <w:r w:rsidRPr="007C16ED">
        <w:rPr>
          <w:b/>
          <w:bCs/>
        </w:rPr>
        <w:t> </w:t>
      </w:r>
    </w:p>
    <w:p w14:paraId="13A53470" w14:textId="77777777" w:rsidR="007C16ED" w:rsidRPr="007C16ED" w:rsidRDefault="007C16ED" w:rsidP="007C16ED">
      <w:r w:rsidRPr="007C16ED">
        <w:t xml:space="preserve">The following methods were adapted from </w:t>
      </w:r>
      <w:proofErr w:type="spellStart"/>
      <w:r w:rsidRPr="007C16ED">
        <w:t>Aditham</w:t>
      </w:r>
      <w:proofErr w:type="spellEnd"/>
      <w:r w:rsidRPr="007C16ED">
        <w:t xml:space="preserve"> et al</w:t>
      </w:r>
      <w:r w:rsidRPr="007C16ED">
        <w:rPr>
          <w:vertAlign w:val="superscript"/>
        </w:rPr>
        <w:t>1</w:t>
      </w:r>
      <w:r w:rsidRPr="007C16ED">
        <w:t>.</w:t>
      </w:r>
    </w:p>
    <w:p w14:paraId="43D96722" w14:textId="77777777" w:rsidR="007C16ED" w:rsidRPr="007C16ED" w:rsidRDefault="007C16ED" w:rsidP="007C16ED">
      <w:r w:rsidRPr="007C16ED">
        <w:t> </w:t>
      </w:r>
    </w:p>
    <w:p w14:paraId="065650E8" w14:textId="77777777" w:rsidR="007C16ED" w:rsidRPr="007C16ED" w:rsidRDefault="007C16ED" w:rsidP="007C16ED">
      <w:r w:rsidRPr="007C16ED">
        <w:t xml:space="preserve">Neutralization assays were performed using lentiviral particles </w:t>
      </w:r>
      <w:proofErr w:type="spellStart"/>
      <w:r w:rsidRPr="007C16ED">
        <w:t>pesuodotyped</w:t>
      </w:r>
      <w:proofErr w:type="spellEnd"/>
      <w:r w:rsidRPr="007C16ED">
        <w:t xml:space="preserve"> with a codon-optimized Rabies G protein from the Pasteur strain (NCBI reference number: NC_001542.1, locus number: NP_056796). A complete map of plasmids used in the </w:t>
      </w:r>
      <w:proofErr w:type="spellStart"/>
      <w:r w:rsidRPr="007C16ED">
        <w:t>pseudotyping</w:t>
      </w:r>
      <w:proofErr w:type="spellEnd"/>
      <w:r w:rsidRPr="007C16ED">
        <w:t xml:space="preserve"> process is available here: </w:t>
      </w:r>
      <w:hyperlink r:id="rId5" w:history="1">
        <w:r w:rsidRPr="007C16ED">
          <w:rPr>
            <w:rStyle w:val="Hyperlink"/>
          </w:rPr>
          <w:t>https://github.com/dms-vep/RABV_Pasteur_G_DMS/tree/main/Additional_Data/</w:t>
        </w:r>
      </w:hyperlink>
      <w:hyperlink r:id="rId6" w:history="1">
        <w:r w:rsidRPr="007C16ED">
          <w:rPr>
            <w:rStyle w:val="Hyperlink"/>
          </w:rPr>
          <w:t>PlasmidSequences</w:t>
        </w:r>
      </w:hyperlink>
      <w:r w:rsidRPr="007C16ED">
        <w:t xml:space="preserve">. 293T cells were transfected with a lentivirus genome expressing </w:t>
      </w:r>
      <w:proofErr w:type="spellStart"/>
      <w:r w:rsidRPr="007C16ED">
        <w:t>zsgreen</w:t>
      </w:r>
      <w:proofErr w:type="spellEnd"/>
      <w:r w:rsidRPr="007C16ED">
        <w:t xml:space="preserve"> and luciferase, 26_HDM-Hgpm2, 27_HDM-tat1b, 28_pRC-CMV_Rev1b, and 3968_HDM_Rabies-G_Pasteur_GenscriptOpt3 in a 4:1:1:1:1 ratio, respectively, using </w:t>
      </w:r>
      <w:proofErr w:type="spellStart"/>
      <w:r w:rsidRPr="007C16ED">
        <w:t>BioT</w:t>
      </w:r>
      <w:proofErr w:type="spellEnd"/>
      <w:r w:rsidRPr="007C16ED">
        <w:t xml:space="preserve"> according to the manufacturer’s recommendations. The </w:t>
      </w:r>
      <w:proofErr w:type="spellStart"/>
      <w:r w:rsidRPr="007C16ED">
        <w:t>pseudovirus</w:t>
      </w:r>
      <w:proofErr w:type="spellEnd"/>
      <w:r w:rsidRPr="007C16ED">
        <w:t xml:space="preserve"> was collected and filtered through a .45 </w:t>
      </w:r>
      <w:proofErr w:type="spellStart"/>
      <w:r w:rsidRPr="007C16ED">
        <w:t>μm</w:t>
      </w:r>
      <w:proofErr w:type="spellEnd"/>
      <w:r w:rsidRPr="007C16ED">
        <w:t xml:space="preserve"> SFCA filter and stored at -80° C until used. </w:t>
      </w:r>
    </w:p>
    <w:p w14:paraId="386A87AF" w14:textId="77777777" w:rsidR="007C16ED" w:rsidRPr="007C16ED" w:rsidRDefault="007C16ED" w:rsidP="007C16ED">
      <w:r w:rsidRPr="007C16ED">
        <w:t> </w:t>
      </w:r>
    </w:p>
    <w:p w14:paraId="69E40F47" w14:textId="77777777" w:rsidR="007C16ED" w:rsidRPr="007C16ED" w:rsidRDefault="007C16ED" w:rsidP="007C16ED">
      <w:r w:rsidRPr="007C16ED">
        <w:t xml:space="preserve">Plasma samples were heat inactivated and processed. A 500 </w:t>
      </w:r>
      <w:proofErr w:type="spellStart"/>
      <w:r w:rsidRPr="007C16ED">
        <w:t>μL</w:t>
      </w:r>
      <w:proofErr w:type="spellEnd"/>
      <w:r w:rsidRPr="007C16ED">
        <w:t xml:space="preserve"> aliquot was taken from the plasma sample, heat inactivated at 56° C for 40 minutes, then centrifuged at 15,000 rpm for 10 minutes. The resulting supernatant was saved as the processed plasma sample. </w:t>
      </w:r>
    </w:p>
    <w:p w14:paraId="6D2AF44D" w14:textId="77777777" w:rsidR="007C16ED" w:rsidRPr="007C16ED" w:rsidRDefault="007C16ED" w:rsidP="007C16ED">
      <w:r w:rsidRPr="007C16ED">
        <w:t> </w:t>
      </w:r>
    </w:p>
    <w:p w14:paraId="23EB2230" w14:textId="77777777" w:rsidR="007C16ED" w:rsidRPr="007C16ED" w:rsidRDefault="007C16ED" w:rsidP="007C16ED">
      <w:r w:rsidRPr="007C16ED">
        <w:t xml:space="preserve">The neutralization assays were performed in five batches, consisting of five, </w:t>
      </w:r>
      <w:proofErr w:type="gramStart"/>
      <w:r w:rsidRPr="007C16ED">
        <w:t>six ,</w:t>
      </w:r>
      <w:proofErr w:type="gramEnd"/>
      <w:r w:rsidRPr="007C16ED">
        <w:t xml:space="preserve"> eight, eight, and eight plates. To monitor batch effects, participant 02’s plasma samples for all three timepoints (d28, d56, and d365) were run with each batch as a batch control. </w:t>
      </w:r>
    </w:p>
    <w:p w14:paraId="0E8B5ACA" w14:textId="77777777" w:rsidR="007C16ED" w:rsidRPr="007C16ED" w:rsidRDefault="007C16ED" w:rsidP="007C16ED">
      <w:r w:rsidRPr="007C16ED">
        <w:tab/>
      </w:r>
    </w:p>
    <w:p w14:paraId="1326B893" w14:textId="77777777" w:rsidR="007C16ED" w:rsidRPr="007C16ED" w:rsidRDefault="007C16ED" w:rsidP="007C16ED">
      <w:r w:rsidRPr="007C16ED">
        <w:t xml:space="preserve">24 hours prior to infection, black-wall, clear-bottom, poly-l-Lysine coated 96-well plates were seeded at a density of 30,000 293T cells per well. On the day of infection, 96-well setup plates were created, each containing two replicates of each of three plasma samples. The dilution series for each replicate consisted of eight steps of five-fold dilutions in D10 media (Dulbecco’s Modified Eagle Medium supplemented with 10% heat-inactivated fetal bovine serum, 2 mM l-glutamine, 100 U/mL penicillin, and 100 mg/mL streptomycin) supplemented with 4 </w:t>
      </w:r>
      <w:proofErr w:type="spellStart"/>
      <w:r w:rsidRPr="007C16ED">
        <w:t>μg</w:t>
      </w:r>
      <w:proofErr w:type="spellEnd"/>
      <w:r w:rsidRPr="007C16ED">
        <w:t xml:space="preserve">/mL polybrene, beginning with an initial five-fold dilution of the heat inactivated plasma. The setup plates also contained a column of six Rabies G </w:t>
      </w:r>
      <w:proofErr w:type="spellStart"/>
      <w:r w:rsidRPr="007C16ED">
        <w:t>pseudovirus</w:t>
      </w:r>
      <w:proofErr w:type="spellEnd"/>
      <w:r w:rsidRPr="007C16ED">
        <w:t xml:space="preserve">-only wells, located adjacent to the most dilute well of each dilution series. </w:t>
      </w:r>
    </w:p>
    <w:p w14:paraId="2A225A26" w14:textId="77777777" w:rsidR="007C16ED" w:rsidRPr="007C16ED" w:rsidRDefault="007C16ED" w:rsidP="007C16ED">
      <w:r w:rsidRPr="007C16ED">
        <w:lastRenderedPageBreak/>
        <w:t xml:space="preserve">The outer rim of wells of the setup plates contained only D10 media supplemented with 4 </w:t>
      </w:r>
      <w:proofErr w:type="spellStart"/>
      <w:r w:rsidRPr="007C16ED">
        <w:t>μg</w:t>
      </w:r>
      <w:proofErr w:type="spellEnd"/>
      <w:r w:rsidRPr="007C16ED">
        <w:t xml:space="preserve">/mL polybrene to reduce the effects of evaporation on the experimental wells. Rabies G </w:t>
      </w:r>
      <w:proofErr w:type="spellStart"/>
      <w:r w:rsidRPr="007C16ED">
        <w:t>pseudovirus</w:t>
      </w:r>
      <w:proofErr w:type="spellEnd"/>
      <w:r w:rsidRPr="007C16ED">
        <w:t xml:space="preserve"> was diluted 33.33-fold in D10 media supplemented with 4 </w:t>
      </w:r>
      <w:proofErr w:type="spellStart"/>
      <w:r w:rsidRPr="007C16ED">
        <w:t>μg</w:t>
      </w:r>
      <w:proofErr w:type="spellEnd"/>
      <w:r w:rsidRPr="007C16ED">
        <w:t xml:space="preserve">/mL polybrene, so a volume of 60 </w:t>
      </w:r>
      <w:proofErr w:type="spellStart"/>
      <w:r w:rsidRPr="007C16ED">
        <w:t>μL</w:t>
      </w:r>
      <w:proofErr w:type="spellEnd"/>
      <w:r w:rsidRPr="007C16ED">
        <w:t xml:space="preserve">, delivered to all wells except the border wells, would yield a signal in the range of 200,000 – 700,000 RLU. The </w:t>
      </w:r>
      <w:proofErr w:type="spellStart"/>
      <w:r w:rsidRPr="007C16ED">
        <w:t>pseudovirus</w:t>
      </w:r>
      <w:proofErr w:type="spellEnd"/>
      <w:r w:rsidRPr="007C16ED">
        <w:t xml:space="preserve"> was delivered to all dilutions of a single plasma sample replicate and that replicate’s adjacent Rabies G </w:t>
      </w:r>
      <w:proofErr w:type="spellStart"/>
      <w:r w:rsidRPr="007C16ED">
        <w:t>pseudovirus</w:t>
      </w:r>
      <w:proofErr w:type="spellEnd"/>
      <w:r w:rsidRPr="007C16ED">
        <w:t xml:space="preserve">-only well at the same time to ensure that each replicate had an associated </w:t>
      </w:r>
      <w:proofErr w:type="spellStart"/>
      <w:r w:rsidRPr="007C16ED">
        <w:t>pseudovirus</w:t>
      </w:r>
      <w:proofErr w:type="spellEnd"/>
      <w:r w:rsidRPr="007C16ED">
        <w:t>-only well. After one hour of incubation at 37° C and 5% CO</w:t>
      </w:r>
      <w:r w:rsidRPr="007C16ED">
        <w:rPr>
          <w:vertAlign w:val="subscript"/>
        </w:rPr>
        <w:t>2</w:t>
      </w:r>
      <w:r w:rsidRPr="007C16ED">
        <w:t xml:space="preserve">, 100 </w:t>
      </w:r>
      <w:proofErr w:type="spellStart"/>
      <w:r w:rsidRPr="007C16ED">
        <w:t>μL</w:t>
      </w:r>
      <w:proofErr w:type="spellEnd"/>
      <w:r w:rsidRPr="007C16ED">
        <w:t xml:space="preserve"> from each well of all setup plates was transferred to the corresponding seeded cell plates, which were incubated for 48 hours at 37° C and 5% CO</w:t>
      </w:r>
      <w:r w:rsidRPr="007C16ED">
        <w:rPr>
          <w:vertAlign w:val="subscript"/>
        </w:rPr>
        <w:t>2</w:t>
      </w:r>
      <w:r w:rsidRPr="007C16ED">
        <w:t xml:space="preserve">. </w:t>
      </w:r>
    </w:p>
    <w:p w14:paraId="02E9400C" w14:textId="77777777" w:rsidR="007C16ED" w:rsidRPr="007C16ED" w:rsidRDefault="007C16ED" w:rsidP="007C16ED">
      <w:r w:rsidRPr="007C16ED">
        <w:t> </w:t>
      </w:r>
    </w:p>
    <w:p w14:paraId="494AB079" w14:textId="77777777" w:rsidR="007C16ED" w:rsidRPr="007C16ED" w:rsidRDefault="007C16ED" w:rsidP="007C16ED">
      <w:r w:rsidRPr="007C16ED">
        <w:t xml:space="preserve">After 48 hours of incubation, RLU values were measured using </w:t>
      </w:r>
      <w:proofErr w:type="gramStart"/>
      <w:r w:rsidRPr="007C16ED">
        <w:t>the  Bright</w:t>
      </w:r>
      <w:proofErr w:type="gramEnd"/>
      <w:r w:rsidRPr="007C16ED">
        <w:t xml:space="preserve">-Glo Luciferase Assay System. 120 </w:t>
      </w:r>
      <w:proofErr w:type="spellStart"/>
      <w:r w:rsidRPr="007C16ED">
        <w:t>μL</w:t>
      </w:r>
      <w:proofErr w:type="spellEnd"/>
      <w:r w:rsidRPr="007C16ED">
        <w:t xml:space="preserve"> of media was aspirated from each well (leaving an estimated 50 </w:t>
      </w:r>
      <w:proofErr w:type="spellStart"/>
      <w:r w:rsidRPr="007C16ED">
        <w:t>μL</w:t>
      </w:r>
      <w:proofErr w:type="spellEnd"/>
      <w:r w:rsidRPr="007C16ED">
        <w:t xml:space="preserve"> in each well after accounting for evaporation), then 50 </w:t>
      </w:r>
      <w:proofErr w:type="spellStart"/>
      <w:r w:rsidRPr="007C16ED">
        <w:t>μL</w:t>
      </w:r>
      <w:proofErr w:type="spellEnd"/>
      <w:r w:rsidRPr="007C16ED">
        <w:t xml:space="preserve"> of Bright-Glo was added to each well. After the back of the plate was stickered to reduce luminescence bleeding from well to well, a plate reader was used to measure luciferase activity. For each concentration of each plasma sample replicate, the fraction infectivity was calculated by dividing the well’s RLU value by the RLU value of that replicate’s associated Rabies G </w:t>
      </w:r>
      <w:proofErr w:type="spellStart"/>
      <w:r w:rsidRPr="007C16ED">
        <w:t>pseudovirus</w:t>
      </w:r>
      <w:proofErr w:type="spellEnd"/>
      <w:r w:rsidRPr="007C16ED">
        <w:t xml:space="preserve">-only well. Neutralization curves and IC50 values were generated from the averaged fraction infectivity values of replicates using the </w:t>
      </w:r>
      <w:proofErr w:type="spellStart"/>
      <w:r w:rsidRPr="007C16ED">
        <w:t>neutcurve</w:t>
      </w:r>
      <w:proofErr w:type="spellEnd"/>
      <w:r w:rsidRPr="007C16ED">
        <w:t xml:space="preserve"> package</w:t>
      </w:r>
      <w:r w:rsidRPr="007C16ED">
        <w:rPr>
          <w:vertAlign w:val="superscript"/>
        </w:rPr>
        <w:t xml:space="preserve">2 </w:t>
      </w:r>
      <w:r w:rsidRPr="007C16ED">
        <w:t>(</w:t>
      </w:r>
      <w:hyperlink r:id="rId7" w:history="1">
        <w:r w:rsidRPr="007C16ED">
          <w:rPr>
            <w:rStyle w:val="Hyperlink"/>
          </w:rPr>
          <w:t>https</w:t>
        </w:r>
      </w:hyperlink>
      <w:hyperlink r:id="rId8" w:history="1">
        <w:r w:rsidRPr="007C16ED">
          <w:rPr>
            <w:rStyle w:val="Hyperlink"/>
          </w:rPr>
          <w:t>://github.com/jbloomlab/</w:t>
        </w:r>
      </w:hyperlink>
      <w:hyperlink r:id="rId9" w:history="1">
        <w:r w:rsidRPr="007C16ED">
          <w:rPr>
            <w:rStyle w:val="Hyperlink"/>
          </w:rPr>
          <w:t>neutcurve</w:t>
        </w:r>
      </w:hyperlink>
      <w:r w:rsidRPr="007C16ED">
        <w:t xml:space="preserve">). </w:t>
      </w:r>
    </w:p>
    <w:p w14:paraId="516100ED" w14:textId="77777777" w:rsidR="007C16ED" w:rsidRPr="007C16ED" w:rsidRDefault="007C16ED" w:rsidP="007C16ED">
      <w:pPr>
        <w:numPr>
          <w:ilvl w:val="1"/>
          <w:numId w:val="3"/>
        </w:numPr>
      </w:pPr>
      <w:proofErr w:type="spellStart"/>
      <w:r w:rsidRPr="007C16ED">
        <w:t>Aditham</w:t>
      </w:r>
      <w:proofErr w:type="spellEnd"/>
      <w:r w:rsidRPr="007C16ED">
        <w:t xml:space="preserve"> A.K., Radford C.E., Carr C.R., Jasti N., King N.P., Bloom </w:t>
      </w:r>
      <w:proofErr w:type="gramStart"/>
      <w:r w:rsidRPr="007C16ED">
        <w:t>J.D..</w:t>
      </w:r>
      <w:proofErr w:type="gramEnd"/>
      <w:r w:rsidRPr="007C16ED">
        <w:t xml:space="preserve"> Deep mutational scanning of rabies glycoprotein defines mutational constraint and antibody-escape mutations. </w:t>
      </w:r>
      <w:r w:rsidRPr="007C16ED">
        <w:rPr>
          <w:i/>
          <w:iCs/>
        </w:rPr>
        <w:t>Cell Host Microbe</w:t>
      </w:r>
      <w:r w:rsidRPr="007C16ED">
        <w:t xml:space="preserve">, 33 (2025), pp. 988-1003, </w:t>
      </w:r>
      <w:hyperlink r:id="rId10" w:history="1">
        <w:r w:rsidRPr="007C16ED">
          <w:rPr>
            <w:rStyle w:val="Hyperlink"/>
          </w:rPr>
          <w:t>https://doi.org/10.1016/j.chom.2025.04.018</w:t>
        </w:r>
      </w:hyperlink>
      <w:r w:rsidRPr="007C16ED">
        <w:t xml:space="preserve">. </w:t>
      </w:r>
    </w:p>
    <w:p w14:paraId="116D7551" w14:textId="77777777" w:rsidR="007C16ED" w:rsidRPr="007C16ED" w:rsidRDefault="007C16ED" w:rsidP="007C16ED">
      <w:pPr>
        <w:numPr>
          <w:ilvl w:val="1"/>
          <w:numId w:val="3"/>
        </w:numPr>
      </w:pPr>
      <w:proofErr w:type="spellStart"/>
      <w:r w:rsidRPr="007C16ED">
        <w:t>Loes</w:t>
      </w:r>
      <w:proofErr w:type="spellEnd"/>
      <w:r w:rsidRPr="007C16ED">
        <w:t xml:space="preserve"> AN, Tarabi RAL, Huddleston J, </w:t>
      </w:r>
      <w:proofErr w:type="spellStart"/>
      <w:r w:rsidRPr="007C16ED">
        <w:t>Touyon</w:t>
      </w:r>
      <w:proofErr w:type="spellEnd"/>
      <w:r w:rsidRPr="007C16ED">
        <w:t xml:space="preserve"> L, Wong SS, Cheng SMS, Leung NHL, Hannon WW, Bedford T, Cobey S, Cowling BJ, Bloom JD.2024. High-throughput sequencing-based neutralization assay reveals how repeated vaccinations impact titers to recent human H1N1 influenza strains. </w:t>
      </w:r>
      <w:r w:rsidRPr="007C16ED">
        <w:rPr>
          <w:i/>
          <w:iCs/>
        </w:rPr>
        <w:t xml:space="preserve">J. </w:t>
      </w:r>
      <w:proofErr w:type="spellStart"/>
      <w:r w:rsidRPr="007C16ED">
        <w:rPr>
          <w:i/>
          <w:iCs/>
        </w:rPr>
        <w:t>Virol</w:t>
      </w:r>
      <w:proofErr w:type="spellEnd"/>
      <w:r w:rsidRPr="007C16ED">
        <w:rPr>
          <w:i/>
          <w:iCs/>
        </w:rPr>
        <w:t xml:space="preserve">., </w:t>
      </w:r>
      <w:r w:rsidRPr="007C16ED">
        <w:t xml:space="preserve">98 (2024) e0068924, </w:t>
      </w:r>
      <w:hyperlink r:id="rId11" w:history="1">
        <w:r w:rsidRPr="007C16ED">
          <w:rPr>
            <w:rStyle w:val="Hyperlink"/>
          </w:rPr>
          <w:t>https</w:t>
        </w:r>
      </w:hyperlink>
      <w:hyperlink r:id="rId12" w:history="1">
        <w:r w:rsidRPr="007C16ED">
          <w:rPr>
            <w:rStyle w:val="Hyperlink"/>
          </w:rPr>
          <w:t>://doi.org/10.1128/jvi.</w:t>
        </w:r>
      </w:hyperlink>
      <w:hyperlink r:id="rId13" w:history="1">
        <w:r w:rsidRPr="007C16ED">
          <w:rPr>
            <w:rStyle w:val="Hyperlink"/>
          </w:rPr>
          <w:t>00689-24</w:t>
        </w:r>
      </w:hyperlink>
      <w:r w:rsidRPr="007C16ED">
        <w:t xml:space="preserve">  </w:t>
      </w:r>
    </w:p>
    <w:p w14:paraId="1934F267" w14:textId="77777777" w:rsidR="00492AD3" w:rsidRPr="00AC012B" w:rsidRDefault="00492AD3"/>
    <w:sectPr w:rsidR="00492AD3" w:rsidRPr="00AC012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D7A46EF6"/>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55E85F90"/>
    <w:multiLevelType w:val="hybridMultilevel"/>
    <w:tmpl w:val="B13A8570"/>
    <w:lvl w:ilvl="0" w:tplc="99B42FA6">
      <w:start w:val="1"/>
      <w:numFmt w:val="decimal"/>
      <w:lvlText w:val="%1."/>
      <w:lvlJc w:val="left"/>
      <w:pPr>
        <w:tabs>
          <w:tab w:val="num" w:pos="720"/>
        </w:tabs>
        <w:ind w:left="720" w:hanging="360"/>
      </w:pPr>
    </w:lvl>
    <w:lvl w:ilvl="1" w:tplc="4AD2E57E">
      <w:start w:val="1"/>
      <w:numFmt w:val="decimal"/>
      <w:lvlText w:val="%2."/>
      <w:lvlJc w:val="left"/>
      <w:pPr>
        <w:tabs>
          <w:tab w:val="num" w:pos="1440"/>
        </w:tabs>
        <w:ind w:left="1440" w:hanging="360"/>
      </w:pPr>
    </w:lvl>
    <w:lvl w:ilvl="2" w:tplc="A81CB96A" w:tentative="1">
      <w:start w:val="1"/>
      <w:numFmt w:val="decimal"/>
      <w:lvlText w:val="%3."/>
      <w:lvlJc w:val="left"/>
      <w:pPr>
        <w:tabs>
          <w:tab w:val="num" w:pos="2160"/>
        </w:tabs>
        <w:ind w:left="2160" w:hanging="360"/>
      </w:pPr>
    </w:lvl>
    <w:lvl w:ilvl="3" w:tplc="BD944C3A" w:tentative="1">
      <w:start w:val="1"/>
      <w:numFmt w:val="decimal"/>
      <w:lvlText w:val="%4."/>
      <w:lvlJc w:val="left"/>
      <w:pPr>
        <w:tabs>
          <w:tab w:val="num" w:pos="2880"/>
        </w:tabs>
        <w:ind w:left="2880" w:hanging="360"/>
      </w:pPr>
    </w:lvl>
    <w:lvl w:ilvl="4" w:tplc="9DD6BF62" w:tentative="1">
      <w:start w:val="1"/>
      <w:numFmt w:val="decimal"/>
      <w:lvlText w:val="%5."/>
      <w:lvlJc w:val="left"/>
      <w:pPr>
        <w:tabs>
          <w:tab w:val="num" w:pos="3600"/>
        </w:tabs>
        <w:ind w:left="3600" w:hanging="360"/>
      </w:pPr>
    </w:lvl>
    <w:lvl w:ilvl="5" w:tplc="A328DC6C" w:tentative="1">
      <w:start w:val="1"/>
      <w:numFmt w:val="decimal"/>
      <w:lvlText w:val="%6."/>
      <w:lvlJc w:val="left"/>
      <w:pPr>
        <w:tabs>
          <w:tab w:val="num" w:pos="4320"/>
        </w:tabs>
        <w:ind w:left="4320" w:hanging="360"/>
      </w:pPr>
    </w:lvl>
    <w:lvl w:ilvl="6" w:tplc="A7C6EAEC" w:tentative="1">
      <w:start w:val="1"/>
      <w:numFmt w:val="decimal"/>
      <w:lvlText w:val="%7."/>
      <w:lvlJc w:val="left"/>
      <w:pPr>
        <w:tabs>
          <w:tab w:val="num" w:pos="5040"/>
        </w:tabs>
        <w:ind w:left="5040" w:hanging="360"/>
      </w:pPr>
    </w:lvl>
    <w:lvl w:ilvl="7" w:tplc="061CC26A" w:tentative="1">
      <w:start w:val="1"/>
      <w:numFmt w:val="decimal"/>
      <w:lvlText w:val="%8."/>
      <w:lvlJc w:val="left"/>
      <w:pPr>
        <w:tabs>
          <w:tab w:val="num" w:pos="5760"/>
        </w:tabs>
        <w:ind w:left="5760" w:hanging="360"/>
      </w:pPr>
    </w:lvl>
    <w:lvl w:ilvl="8" w:tplc="0316BC4E" w:tentative="1">
      <w:start w:val="1"/>
      <w:numFmt w:val="decimal"/>
      <w:lvlText w:val="%9."/>
      <w:lvlJc w:val="left"/>
      <w:pPr>
        <w:tabs>
          <w:tab w:val="num" w:pos="6480"/>
        </w:tabs>
        <w:ind w:left="6480" w:hanging="360"/>
      </w:pPr>
    </w:lvl>
  </w:abstractNum>
  <w:abstractNum w:abstractNumId="2" w15:restartNumberingAfterBreak="0">
    <w:nsid w:val="62E82778"/>
    <w:multiLevelType w:val="hybridMultilevel"/>
    <w:tmpl w:val="FCB40894"/>
    <w:lvl w:ilvl="0" w:tplc="563CA186">
      <w:start w:val="1"/>
      <w:numFmt w:val="decimal"/>
      <w:lvlText w:val="%1."/>
      <w:lvlJc w:val="left"/>
      <w:pPr>
        <w:ind w:left="720" w:hanging="360"/>
      </w:pPr>
      <w:rPr>
        <w:rFonts w:eastAsiaTheme="minorHAnsi"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447963405">
    <w:abstractNumId w:val="0"/>
  </w:num>
  <w:num w:numId="2" w16cid:durableId="2103212007">
    <w:abstractNumId w:val="2"/>
  </w:num>
  <w:num w:numId="3" w16cid:durableId="147267496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012B"/>
    <w:rsid w:val="00016AAA"/>
    <w:rsid w:val="002F24AE"/>
    <w:rsid w:val="002F27F2"/>
    <w:rsid w:val="004715C1"/>
    <w:rsid w:val="00492AD3"/>
    <w:rsid w:val="00551F6B"/>
    <w:rsid w:val="005939E1"/>
    <w:rsid w:val="006636DF"/>
    <w:rsid w:val="007C16ED"/>
    <w:rsid w:val="008B75E1"/>
    <w:rsid w:val="008E7904"/>
    <w:rsid w:val="009441C8"/>
    <w:rsid w:val="009C3FD5"/>
    <w:rsid w:val="00AC012B"/>
    <w:rsid w:val="00B12C8B"/>
    <w:rsid w:val="00CF1AB6"/>
    <w:rsid w:val="00D947B0"/>
    <w:rsid w:val="00DF2B4D"/>
    <w:rsid w:val="00ED644A"/>
    <w:rsid w:val="00F71EE0"/>
    <w:rsid w:val="00FC126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ED2B45A"/>
  <w15:chartTrackingRefBased/>
  <w15:docId w15:val="{272ED97A-CD1F-0748-99B3-D9798FD4A0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HAnsi" w:hAnsi="Arial" w:cs="Arial"/>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C012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E790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C012B"/>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C012B"/>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AC012B"/>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AC012B"/>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AC012B"/>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AC012B"/>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AC012B"/>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ewday">
    <w:name w:val="New day"/>
    <w:basedOn w:val="Heading2"/>
    <w:qFormat/>
    <w:rsid w:val="008E7904"/>
    <w:pPr>
      <w:pBdr>
        <w:bottom w:val="single" w:sz="4" w:space="1" w:color="auto"/>
      </w:pBdr>
      <w:spacing w:line="360" w:lineRule="auto"/>
    </w:pPr>
    <w:rPr>
      <w:rFonts w:ascii="Arial" w:hAnsi="Arial" w:cs="Arial"/>
      <w:b/>
      <w:bCs/>
      <w:color w:val="000000" w:themeColor="text1"/>
      <w:sz w:val="28"/>
    </w:rPr>
  </w:style>
  <w:style w:type="character" w:customStyle="1" w:styleId="Heading2Char">
    <w:name w:val="Heading 2 Char"/>
    <w:basedOn w:val="DefaultParagraphFont"/>
    <w:link w:val="Heading2"/>
    <w:uiPriority w:val="9"/>
    <w:semiHidden/>
    <w:rsid w:val="008E7904"/>
    <w:rPr>
      <w:rFonts w:asciiTheme="majorHAnsi" w:eastAsiaTheme="majorEastAsia" w:hAnsiTheme="majorHAnsi" w:cstheme="majorBidi"/>
      <w:color w:val="0F4761" w:themeColor="accent1" w:themeShade="BF"/>
      <w:sz w:val="32"/>
      <w:szCs w:val="32"/>
    </w:rPr>
  </w:style>
  <w:style w:type="character" w:customStyle="1" w:styleId="Heading1Char">
    <w:name w:val="Heading 1 Char"/>
    <w:basedOn w:val="DefaultParagraphFont"/>
    <w:link w:val="Heading1"/>
    <w:uiPriority w:val="9"/>
    <w:rsid w:val="00AC012B"/>
    <w:rPr>
      <w:rFonts w:asciiTheme="majorHAnsi" w:eastAsiaTheme="majorEastAsia" w:hAnsiTheme="majorHAnsi" w:cstheme="majorBidi"/>
      <w:color w:val="0F4761" w:themeColor="accent1" w:themeShade="BF"/>
      <w:sz w:val="40"/>
      <w:szCs w:val="40"/>
    </w:rPr>
  </w:style>
  <w:style w:type="character" w:customStyle="1" w:styleId="Heading3Char">
    <w:name w:val="Heading 3 Char"/>
    <w:basedOn w:val="DefaultParagraphFont"/>
    <w:link w:val="Heading3"/>
    <w:uiPriority w:val="9"/>
    <w:semiHidden/>
    <w:rsid w:val="00AC012B"/>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C012B"/>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AC012B"/>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AC012B"/>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AC012B"/>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AC012B"/>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AC012B"/>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AC012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C012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C012B"/>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C012B"/>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AC012B"/>
    <w:pPr>
      <w:spacing w:before="160"/>
      <w:jc w:val="center"/>
    </w:pPr>
    <w:rPr>
      <w:i/>
      <w:iCs/>
      <w:color w:val="404040" w:themeColor="text1" w:themeTint="BF"/>
    </w:rPr>
  </w:style>
  <w:style w:type="character" w:customStyle="1" w:styleId="QuoteChar">
    <w:name w:val="Quote Char"/>
    <w:basedOn w:val="DefaultParagraphFont"/>
    <w:link w:val="Quote"/>
    <w:uiPriority w:val="29"/>
    <w:rsid w:val="00AC012B"/>
    <w:rPr>
      <w:i/>
      <w:iCs/>
      <w:color w:val="404040" w:themeColor="text1" w:themeTint="BF"/>
    </w:rPr>
  </w:style>
  <w:style w:type="paragraph" w:styleId="ListParagraph">
    <w:name w:val="List Paragraph"/>
    <w:basedOn w:val="Normal"/>
    <w:uiPriority w:val="34"/>
    <w:qFormat/>
    <w:rsid w:val="00AC012B"/>
    <w:pPr>
      <w:ind w:left="720"/>
      <w:contextualSpacing/>
    </w:pPr>
  </w:style>
  <w:style w:type="character" w:styleId="IntenseEmphasis">
    <w:name w:val="Intense Emphasis"/>
    <w:basedOn w:val="DefaultParagraphFont"/>
    <w:uiPriority w:val="21"/>
    <w:qFormat/>
    <w:rsid w:val="00AC012B"/>
    <w:rPr>
      <w:i/>
      <w:iCs/>
      <w:color w:val="0F4761" w:themeColor="accent1" w:themeShade="BF"/>
    </w:rPr>
  </w:style>
  <w:style w:type="paragraph" w:styleId="IntenseQuote">
    <w:name w:val="Intense Quote"/>
    <w:basedOn w:val="Normal"/>
    <w:next w:val="Normal"/>
    <w:link w:val="IntenseQuoteChar"/>
    <w:uiPriority w:val="30"/>
    <w:qFormat/>
    <w:rsid w:val="00AC012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C012B"/>
    <w:rPr>
      <w:i/>
      <w:iCs/>
      <w:color w:val="0F4761" w:themeColor="accent1" w:themeShade="BF"/>
    </w:rPr>
  </w:style>
  <w:style w:type="character" w:styleId="IntenseReference">
    <w:name w:val="Intense Reference"/>
    <w:basedOn w:val="DefaultParagraphFont"/>
    <w:uiPriority w:val="32"/>
    <w:qFormat/>
    <w:rsid w:val="00AC012B"/>
    <w:rPr>
      <w:b/>
      <w:bCs/>
      <w:smallCaps/>
      <w:color w:val="0F4761" w:themeColor="accent1" w:themeShade="BF"/>
      <w:spacing w:val="5"/>
    </w:rPr>
  </w:style>
  <w:style w:type="character" w:styleId="Hyperlink">
    <w:name w:val="Hyperlink"/>
    <w:basedOn w:val="DefaultParagraphFont"/>
    <w:uiPriority w:val="99"/>
    <w:unhideWhenUsed/>
    <w:rsid w:val="00AC012B"/>
    <w:rPr>
      <w:color w:val="467886" w:themeColor="hyperlink"/>
      <w:u w:val="single"/>
    </w:rPr>
  </w:style>
  <w:style w:type="paragraph" w:styleId="ListBullet">
    <w:name w:val="List Bullet"/>
    <w:basedOn w:val="Normal"/>
    <w:uiPriority w:val="99"/>
    <w:semiHidden/>
    <w:unhideWhenUsed/>
    <w:rsid w:val="00AC012B"/>
    <w:pPr>
      <w:numPr>
        <w:numId w:val="1"/>
      </w:numPr>
      <w:tabs>
        <w:tab w:val="clear" w:pos="360"/>
      </w:tabs>
      <w:ind w:left="0" w:firstLine="0"/>
      <w:contextualSpacing/>
    </w:pPr>
  </w:style>
  <w:style w:type="character" w:customStyle="1" w:styleId="react-xocs-alternative-link">
    <w:name w:val="react-xocs-alternative-link"/>
    <w:basedOn w:val="DefaultParagraphFont"/>
    <w:rsid w:val="00F71EE0"/>
  </w:style>
  <w:style w:type="character" w:customStyle="1" w:styleId="given-name">
    <w:name w:val="given-name"/>
    <w:basedOn w:val="DefaultParagraphFont"/>
    <w:rsid w:val="00F71EE0"/>
  </w:style>
  <w:style w:type="character" w:customStyle="1" w:styleId="text">
    <w:name w:val="text"/>
    <w:basedOn w:val="DefaultParagraphFont"/>
    <w:rsid w:val="00F71EE0"/>
  </w:style>
  <w:style w:type="character" w:styleId="UnresolvedMention">
    <w:name w:val="Unresolved Mention"/>
    <w:basedOn w:val="DefaultParagraphFont"/>
    <w:uiPriority w:val="99"/>
    <w:semiHidden/>
    <w:unhideWhenUsed/>
    <w:rsid w:val="007C16E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jbloomlab/neutcurve" TargetMode="External"/><Relationship Id="rId13" Type="http://schemas.openxmlformats.org/officeDocument/2006/relationships/hyperlink" Target="https://doi.org/10.1128/jvi.00689-24" TargetMode="External"/><Relationship Id="rId3" Type="http://schemas.openxmlformats.org/officeDocument/2006/relationships/settings" Target="settings.xml"/><Relationship Id="rId7" Type="http://schemas.openxmlformats.org/officeDocument/2006/relationships/hyperlink" Target="https://github.com/jbloomlab/neutcurve" TargetMode="External"/><Relationship Id="rId12" Type="http://schemas.openxmlformats.org/officeDocument/2006/relationships/hyperlink" Target="https://doi.org/10.1128/jvi.00689-24"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github.com/dms-vep/RABV_Pasteur_G_DMS/tree/main/Additional_Data/PlasmidSequences" TargetMode="External"/><Relationship Id="rId11" Type="http://schemas.openxmlformats.org/officeDocument/2006/relationships/hyperlink" Target="https://doi.org/10.1128/jvi.00689-24" TargetMode="External"/><Relationship Id="rId5" Type="http://schemas.openxmlformats.org/officeDocument/2006/relationships/hyperlink" Target="https://github.com/dms-vep/RABV_Pasteur_G_DMS/tree/main/Additional_Data/PlasmidSequences" TargetMode="External"/><Relationship Id="rId15" Type="http://schemas.openxmlformats.org/officeDocument/2006/relationships/theme" Target="theme/theme1.xml"/><Relationship Id="rId10" Type="http://schemas.openxmlformats.org/officeDocument/2006/relationships/hyperlink" Target="https://doi.org/10.1016/j.chom.2025.04.018" TargetMode="External"/><Relationship Id="rId4" Type="http://schemas.openxmlformats.org/officeDocument/2006/relationships/webSettings" Target="webSettings.xml"/><Relationship Id="rId9" Type="http://schemas.openxmlformats.org/officeDocument/2006/relationships/hyperlink" Target="https://github.com/jbloomlab/neutcurve"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2</Pages>
  <Words>801</Words>
  <Characters>4271</Characters>
  <Application>Microsoft Office Word</Application>
  <DocSecurity>0</DocSecurity>
  <Lines>77</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Juviler, Gavin</dc:creator>
  <cp:keywords/>
  <dc:description/>
  <cp:lastModifiedBy>Juviler, Gavin</cp:lastModifiedBy>
  <cp:revision>5</cp:revision>
  <dcterms:created xsi:type="dcterms:W3CDTF">2026-02-25T21:43:00Z</dcterms:created>
  <dcterms:modified xsi:type="dcterms:W3CDTF">2026-02-26T18:55:00Z</dcterms:modified>
</cp:coreProperties>
</file>