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7224" w14:textId="77777777" w:rsidR="00C90FB1" w:rsidRPr="006314DC" w:rsidRDefault="00000000" w:rsidP="006314DC">
      <w:pPr>
        <w:jc w:val="center"/>
        <w:rPr>
          <w:b/>
          <w:bCs/>
        </w:rPr>
      </w:pPr>
      <w:r w:rsidRPr="006314DC">
        <w:rPr>
          <w:b/>
          <w:bCs/>
        </w:rPr>
        <w:t>Lending Club Loan Portfolio: Investment Analysis Writeup</w:t>
      </w:r>
    </w:p>
    <w:p w14:paraId="40DBA8EB" w14:textId="77777777" w:rsidR="00C90FB1" w:rsidRPr="006314DC" w:rsidRDefault="00000000" w:rsidP="006314DC">
      <w:pPr>
        <w:rPr>
          <w:b/>
          <w:bCs/>
        </w:rPr>
      </w:pPr>
      <w:r w:rsidRPr="006314DC">
        <w:rPr>
          <w:b/>
          <w:bCs/>
        </w:rPr>
        <w:t>1. Data Issues and How They Were Handled</w:t>
      </w:r>
    </w:p>
    <w:p w14:paraId="45EC110B" w14:textId="77777777" w:rsidR="00C90FB1" w:rsidRDefault="00000000" w:rsidP="006314DC">
      <w:r>
        <w:t>The raw Lending Club dataset contains 2,260,701 loans across 151 columns, spanning vintages from 2007 Q2 through 2018 Q4, with a snapshot date of March 2019. Several data quality issues required systematic cleaning before the portfolio could be analyzed. In total, 5,207 rows (0.23%) were dropped and 122 columns were removed, with full traceability documented for each step.</w:t>
      </w:r>
    </w:p>
    <w:p w14:paraId="0C56AC64" w14:textId="77777777" w:rsidR="00C90FB1" w:rsidRPr="006314DC" w:rsidRDefault="00000000" w:rsidP="006314DC">
      <w:pPr>
        <w:rPr>
          <w:b/>
          <w:bCs/>
        </w:rPr>
      </w:pPr>
      <w:r w:rsidRPr="006314DC">
        <w:rPr>
          <w:b/>
          <w:bCs/>
        </w:rPr>
        <w:t>Structural Issues</w:t>
      </w:r>
    </w:p>
    <w:p w14:paraId="74202030" w14:textId="77777777" w:rsidR="00C90FB1" w:rsidRDefault="00000000" w:rsidP="006314DC">
      <w:r>
        <w:t>The CSV contained 33 trailing summary rows with non-numeric ID values that were not actual loan records. These were identified and removed by filtering on the ID column. Of the 151 raw columns, only 29 are referenced by the analytics pipeline, so a strict whitelist approach was applied, reducing the SQLite database from over 1 GB to approximately 200 MB without losing any analytical capability.</w:t>
      </w:r>
    </w:p>
    <w:p w14:paraId="0F7FC38E" w14:textId="77777777" w:rsidR="00C90FB1" w:rsidRPr="006314DC" w:rsidRDefault="00000000" w:rsidP="006314DC">
      <w:pPr>
        <w:rPr>
          <w:b/>
          <w:bCs/>
        </w:rPr>
      </w:pPr>
      <w:r w:rsidRPr="006314DC">
        <w:rPr>
          <w:b/>
          <w:bCs/>
        </w:rPr>
        <w:t>Missing and Anomalous Data</w:t>
      </w:r>
    </w:p>
    <w:p w14:paraId="337DEAA4" w14:textId="77777777" w:rsidR="00C90FB1" w:rsidRDefault="00000000" w:rsidP="006314DC">
      <w:r>
        <w:t>2,427 loans had no last payment date (last_pymnt_d), making it impossible to compute amortization schedules or identify the cash flow population. These were dropped. An additional 2,737 loans (0.12%) carried a "Does not meet the credit policy" status, representing legacy originations under a defunct credit framework. Since these are not representative of the investable universe as of 2019, they were excluded. Six Current loans had last payment dates before February 2019, indicating stale or anomalous records, and were also removed.</w:t>
      </w:r>
    </w:p>
    <w:p w14:paraId="009F5712" w14:textId="77777777" w:rsidR="00C90FB1" w:rsidRPr="006314DC" w:rsidRDefault="00000000" w:rsidP="006314DC">
      <w:pPr>
        <w:rPr>
          <w:b/>
          <w:bCs/>
        </w:rPr>
      </w:pPr>
      <w:r w:rsidRPr="006314DC">
        <w:rPr>
          <w:b/>
          <w:bCs/>
        </w:rPr>
        <w:t>Status Reclassifications</w:t>
      </w:r>
    </w:p>
    <w:p w14:paraId="7BDBF792" w14:textId="77777777" w:rsidR="00C90FB1" w:rsidRDefault="00000000" w:rsidP="006314DC">
      <w:r>
        <w:t>4,537 loans were classified as "Current" but had zero outstanding principal balance, meaning they had been fully repaid. These were reclassified to "Fully Paid" to prevent them from inflating the active portfolio and distorting cash flow projections. Similarly, 168 delinquent loans (107 In Grace Period, 35 Late 16–30, 26 Late 31–120) also had zero balances and were reclassified to Fully Paid, with boolean flags preserving their original status for transition analysis.</w:t>
      </w:r>
    </w:p>
    <w:p w14:paraId="40B5986C" w14:textId="77777777" w:rsidR="00C90FB1" w:rsidRPr="006314DC" w:rsidRDefault="00000000" w:rsidP="006314DC">
      <w:pPr>
        <w:rPr>
          <w:b/>
          <w:bCs/>
        </w:rPr>
      </w:pPr>
      <w:r w:rsidRPr="006314DC">
        <w:rPr>
          <w:b/>
          <w:bCs/>
        </w:rPr>
        <w:t>Late Fee and DTI Cleaning</w:t>
      </w:r>
    </w:p>
    <w:p w14:paraId="11A53A55" w14:textId="77777777" w:rsidR="00C90FB1" w:rsidRDefault="00000000" w:rsidP="006314DC">
      <w:r>
        <w:t>Lending Club’s minimum late fee is $15. We found 675 loans with late fees between $0 and $15 (likely rounding artifacts or partial reversals) and 8 loans with negative late fees. All were zeroed out. For DTI, one negative value was set to zero and four null values (joint applications missing both individual and joint DTI) were dropped.</w:t>
      </w:r>
    </w:p>
    <w:p w14:paraId="0ABB9338" w14:textId="77777777" w:rsidR="00C90FB1" w:rsidRPr="006314DC" w:rsidRDefault="00000000" w:rsidP="006314DC">
      <w:pPr>
        <w:rPr>
          <w:b/>
          <w:bCs/>
        </w:rPr>
      </w:pPr>
      <w:r w:rsidRPr="006314DC">
        <w:rPr>
          <w:b/>
          <w:bCs/>
        </w:rPr>
        <w:t>Interest Rate Format</w:t>
      </w:r>
    </w:p>
    <w:p w14:paraId="590B71A2" w14:textId="77777777" w:rsidR="00C90FB1" w:rsidRDefault="00000000" w:rsidP="006314DC">
      <w:r>
        <w:t xml:space="preserve">Interest rates were stored as whole-number percentages (e.g., 10.78) rather than decimals (0.1078). All downstream formulas expect decimal form, so a division </w:t>
      </w:r>
      <w:proofErr w:type="gramStart"/>
      <w:r>
        <w:t>by</w:t>
      </w:r>
      <w:proofErr w:type="gramEnd"/>
      <w:r>
        <w:t xml:space="preserve"> 100 was applied globally during the cleaning pipeline.</w:t>
      </w:r>
    </w:p>
    <w:p w14:paraId="271326B9" w14:textId="77777777" w:rsidR="00C90FB1" w:rsidRPr="006314DC" w:rsidRDefault="00000000" w:rsidP="006314DC">
      <w:pPr>
        <w:rPr>
          <w:b/>
          <w:bCs/>
        </w:rPr>
      </w:pPr>
      <w:r w:rsidRPr="006314DC">
        <w:rPr>
          <w:b/>
          <w:bCs/>
        </w:rPr>
        <w:t>2. Metric and Cash Flow Definitions</w:t>
      </w:r>
    </w:p>
    <w:p w14:paraId="24C15D00" w14:textId="77777777" w:rsidR="00C90FB1" w:rsidRPr="006314DC" w:rsidRDefault="00000000" w:rsidP="006314DC">
      <w:pPr>
        <w:rPr>
          <w:b/>
          <w:bCs/>
        </w:rPr>
      </w:pPr>
      <w:r w:rsidRPr="006314DC">
        <w:rPr>
          <w:b/>
          <w:bCs/>
        </w:rPr>
        <w:t>Key Pool-Level Metrics</w:t>
      </w:r>
    </w:p>
    <w:p w14:paraId="2919A204" w14:textId="77777777" w:rsidR="00C90FB1" w:rsidRDefault="00000000" w:rsidP="006314DC">
      <w:r>
        <w:lastRenderedPageBreak/>
        <w:t>All pool-level metrics are computed from the filtered cohort and are recalculated dynamically when the user changes the strata filter on the dashboard.</w:t>
      </w:r>
    </w:p>
    <w:tbl>
      <w:tblPr>
        <w:tblStyle w:val="LightGrid-Accent1"/>
        <w:tblW w:w="0" w:type="auto"/>
        <w:tblLook w:val="04A0" w:firstRow="1" w:lastRow="0" w:firstColumn="1" w:lastColumn="0" w:noHBand="0" w:noVBand="1"/>
      </w:tblPr>
      <w:tblGrid>
        <w:gridCol w:w="2880"/>
        <w:gridCol w:w="2880"/>
        <w:gridCol w:w="2880"/>
      </w:tblGrid>
      <w:tr w:rsidR="00C90FB1" w14:paraId="243D803E" w14:textId="77777777" w:rsidTr="00C90F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694533" w14:textId="77777777" w:rsidR="00C90FB1" w:rsidRDefault="00000000">
            <w:r>
              <w:rPr>
                <w:sz w:val="18"/>
              </w:rPr>
              <w:t>Metric</w:t>
            </w:r>
          </w:p>
        </w:tc>
        <w:tc>
          <w:tcPr>
            <w:tcW w:w="2880" w:type="dxa"/>
          </w:tcPr>
          <w:p w14:paraId="7C9095E2" w14:textId="77777777" w:rsidR="00C90FB1" w:rsidRDefault="00000000">
            <w:pPr>
              <w:cnfStyle w:val="100000000000" w:firstRow="1" w:lastRow="0" w:firstColumn="0" w:lastColumn="0" w:oddVBand="0" w:evenVBand="0" w:oddHBand="0" w:evenHBand="0" w:firstRowFirstColumn="0" w:firstRowLastColumn="0" w:lastRowFirstColumn="0" w:lastRowLastColumn="0"/>
            </w:pPr>
            <w:r>
              <w:rPr>
                <w:sz w:val="18"/>
              </w:rPr>
              <w:t>Definition</w:t>
            </w:r>
          </w:p>
        </w:tc>
        <w:tc>
          <w:tcPr>
            <w:tcW w:w="2880" w:type="dxa"/>
          </w:tcPr>
          <w:p w14:paraId="51D2EF91" w14:textId="77777777" w:rsidR="00C90FB1" w:rsidRDefault="00000000">
            <w:pPr>
              <w:cnfStyle w:val="100000000000" w:firstRow="1" w:lastRow="0" w:firstColumn="0" w:lastColumn="0" w:oddVBand="0" w:evenVBand="0" w:oddHBand="0" w:evenHBand="0" w:firstRowFirstColumn="0" w:firstRowLastColumn="0" w:lastRowFirstColumn="0" w:lastRowLastColumn="0"/>
            </w:pPr>
            <w:r>
              <w:rPr>
                <w:sz w:val="18"/>
              </w:rPr>
              <w:t>Population</w:t>
            </w:r>
          </w:p>
        </w:tc>
      </w:tr>
      <w:tr w:rsidR="00C90FB1" w14:paraId="08F18D3C" w14:textId="77777777" w:rsidTr="00C90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D99F2" w14:textId="77777777" w:rsidR="00C90FB1" w:rsidRDefault="00000000">
            <w:r>
              <w:rPr>
                <w:b w:val="0"/>
                <w:sz w:val="18"/>
              </w:rPr>
              <w:t>CDR (Annualized)</w:t>
            </w:r>
          </w:p>
        </w:tc>
        <w:tc>
          <w:tcPr>
            <w:tcW w:w="2880" w:type="dxa"/>
          </w:tcPr>
          <w:p w14:paraId="15B7C770"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1 – (1 – CDR_cum)^(12/WALA), where CDR_cum = defaulted UPB / total originated UPB</w:t>
            </w:r>
          </w:p>
        </w:tc>
        <w:tc>
          <w:tcPr>
            <w:tcW w:w="2880" w:type="dxa"/>
          </w:tcPr>
          <w:p w14:paraId="466AC417"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All loans in cohort</w:t>
            </w:r>
          </w:p>
        </w:tc>
      </w:tr>
      <w:tr w:rsidR="00C90FB1" w14:paraId="68A477B9" w14:textId="77777777" w:rsidTr="00C90F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3F956" w14:textId="77777777" w:rsidR="00C90FB1" w:rsidRDefault="00000000">
            <w:r>
              <w:rPr>
                <w:b w:val="0"/>
                <w:sz w:val="18"/>
              </w:rPr>
              <w:t>CPR</w:t>
            </w:r>
          </w:p>
        </w:tc>
        <w:tc>
          <w:tcPr>
            <w:tcW w:w="2880" w:type="dxa"/>
          </w:tcPr>
          <w:p w14:paraId="3A41171C"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1 – (1 – SMM)^12, where SMM = unscheduled principal / (beginning balance – scheduled principal)</w:t>
            </w:r>
          </w:p>
        </w:tc>
        <w:tc>
          <w:tcPr>
            <w:tcW w:w="2880" w:type="dxa"/>
          </w:tcPr>
          <w:p w14:paraId="6E204FDB"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Current loans, March 2019 only</w:t>
            </w:r>
          </w:p>
        </w:tc>
      </w:tr>
      <w:tr w:rsidR="00C90FB1" w14:paraId="03E914E6" w14:textId="77777777" w:rsidTr="00C90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91D518" w14:textId="77777777" w:rsidR="00C90FB1" w:rsidRDefault="00000000">
            <w:r>
              <w:rPr>
                <w:b w:val="0"/>
                <w:sz w:val="18"/>
              </w:rPr>
              <w:t>Loss Severity</w:t>
            </w:r>
          </w:p>
        </w:tc>
        <w:tc>
          <w:tcPr>
            <w:tcW w:w="2880" w:type="dxa"/>
          </w:tcPr>
          <w:p w14:paraId="5DA8A7E0"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Capped UPB lost / exposure, where exposure = funded_amnt – total_rec_prncp for Charged Off loans</w:t>
            </w:r>
          </w:p>
        </w:tc>
        <w:tc>
          <w:tcPr>
            <w:tcW w:w="2880" w:type="dxa"/>
          </w:tcPr>
          <w:p w14:paraId="2A3D1205"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Charged Off loans</w:t>
            </w:r>
          </w:p>
        </w:tc>
      </w:tr>
      <w:tr w:rsidR="00C90FB1" w14:paraId="0E3D472A" w14:textId="77777777" w:rsidTr="00C90F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36F2F" w14:textId="77777777" w:rsidR="00C90FB1" w:rsidRDefault="00000000">
            <w:r>
              <w:rPr>
                <w:b w:val="0"/>
                <w:sz w:val="18"/>
              </w:rPr>
              <w:t>WAC</w:t>
            </w:r>
          </w:p>
        </w:tc>
        <w:tc>
          <w:tcPr>
            <w:tcW w:w="2880" w:type="dxa"/>
          </w:tcPr>
          <w:p w14:paraId="0D5D1753"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Balance-weighted average coupon (int_rate weighted by out_prncp)</w:t>
            </w:r>
          </w:p>
        </w:tc>
        <w:tc>
          <w:tcPr>
            <w:tcW w:w="2880" w:type="dxa"/>
          </w:tcPr>
          <w:p w14:paraId="475475F0"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Current loans</w:t>
            </w:r>
          </w:p>
        </w:tc>
      </w:tr>
      <w:tr w:rsidR="00C90FB1" w14:paraId="17AB1AE9" w14:textId="77777777" w:rsidTr="00C90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DFDAF7" w14:textId="77777777" w:rsidR="00C90FB1" w:rsidRDefault="00000000">
            <w:r>
              <w:rPr>
                <w:b w:val="0"/>
                <w:sz w:val="18"/>
              </w:rPr>
              <w:t>WAM</w:t>
            </w:r>
          </w:p>
        </w:tc>
        <w:tc>
          <w:tcPr>
            <w:tcW w:w="2880" w:type="dxa"/>
          </w:tcPr>
          <w:p w14:paraId="29E0253A"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Balance-weighted average remaining term (months)</w:t>
            </w:r>
          </w:p>
        </w:tc>
        <w:tc>
          <w:tcPr>
            <w:tcW w:w="2880" w:type="dxa"/>
          </w:tcPr>
          <w:p w14:paraId="1700E057"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Current loans</w:t>
            </w:r>
          </w:p>
        </w:tc>
      </w:tr>
    </w:tbl>
    <w:p w14:paraId="1A34240E" w14:textId="77777777" w:rsidR="00C90FB1" w:rsidRDefault="00C90FB1"/>
    <w:p w14:paraId="5D57E488" w14:textId="77777777" w:rsidR="00C90FB1" w:rsidRDefault="00000000">
      <w:r>
        <w:t>An important methodological note: the raw CDR is a cumulative lifetime figure (8.73% for the full portfolio). Since the portfolio spans vintages from 2007 to 2018 with a weighted average loan age (WALA) of approximately 32 months, this cumulative rate must be annualized using a compound survival formula to produce a rate suitable for monthly cash flow projection. The annualized CDR for the full portfolio is 3.27%.</w:t>
      </w:r>
    </w:p>
    <w:p w14:paraId="0FE71F22" w14:textId="77777777" w:rsidR="00C90FB1" w:rsidRPr="006314DC" w:rsidRDefault="00000000" w:rsidP="006314DC">
      <w:pPr>
        <w:rPr>
          <w:b/>
          <w:bCs/>
        </w:rPr>
      </w:pPr>
      <w:r w:rsidRPr="006314DC">
        <w:rPr>
          <w:b/>
          <w:bCs/>
        </w:rPr>
        <w:t>Monthly Cash Flow Projection</w:t>
      </w:r>
    </w:p>
    <w:p w14:paraId="30A21A25" w14:textId="77777777" w:rsidR="00C90FB1" w:rsidRDefault="00000000" w:rsidP="006314DC">
      <w:r>
        <w:t>The projection engine operates at the pool-level aggregate: one balance, one WAC, one WAM, and one monthly payment per run. For each month t (starting April 2019):</w:t>
      </w:r>
    </w:p>
    <w:p w14:paraId="55D1B929" w14:textId="77777777" w:rsidR="00C90FB1" w:rsidRDefault="00000000" w:rsidP="006314DC">
      <w:pPr>
        <w:pStyle w:val="ListParagraph"/>
        <w:numPr>
          <w:ilvl w:val="0"/>
          <w:numId w:val="10"/>
        </w:numPr>
      </w:pPr>
      <w:r w:rsidRPr="006314DC">
        <w:rPr>
          <w:b/>
        </w:rPr>
        <w:t>Defaults</w:t>
      </w:r>
      <w:r>
        <w:t xml:space="preserve"> are applied first: defaults = beginning_balance × MDR, split into losses (defaults × loss severity) and recoveries.</w:t>
      </w:r>
    </w:p>
    <w:p w14:paraId="69B92AD1" w14:textId="77777777" w:rsidR="00C90FB1" w:rsidRDefault="00000000" w:rsidP="006314DC">
      <w:pPr>
        <w:pStyle w:val="ListParagraph"/>
        <w:numPr>
          <w:ilvl w:val="0"/>
          <w:numId w:val="10"/>
        </w:numPr>
      </w:pPr>
      <w:r w:rsidRPr="006314DC">
        <w:rPr>
          <w:b/>
        </w:rPr>
        <w:t>Interest</w:t>
      </w:r>
      <w:r>
        <w:t xml:space="preserve"> accrues on the performing balance (after removing defaults): interest = performing_balance × WAC/12.</w:t>
      </w:r>
    </w:p>
    <w:p w14:paraId="7FAC745B" w14:textId="77777777" w:rsidR="00C90FB1" w:rsidRDefault="00000000" w:rsidP="006314DC">
      <w:pPr>
        <w:pStyle w:val="ListParagraph"/>
        <w:numPr>
          <w:ilvl w:val="0"/>
          <w:numId w:val="10"/>
        </w:numPr>
      </w:pPr>
      <w:r w:rsidRPr="006314DC">
        <w:rPr>
          <w:b/>
        </w:rPr>
        <w:t>Scheduled principal</w:t>
      </w:r>
      <w:r>
        <w:t xml:space="preserve"> follows standard amortization: monthly_payment – interest, capped at the performing balance.</w:t>
      </w:r>
    </w:p>
    <w:p w14:paraId="15F8BE7F" w14:textId="77777777" w:rsidR="00C90FB1" w:rsidRDefault="00000000" w:rsidP="006314DC">
      <w:pPr>
        <w:pStyle w:val="ListParagraph"/>
        <w:numPr>
          <w:ilvl w:val="0"/>
          <w:numId w:val="10"/>
        </w:numPr>
      </w:pPr>
      <w:r w:rsidRPr="006314DC">
        <w:rPr>
          <w:b/>
        </w:rPr>
        <w:t>Prepayments</w:t>
      </w:r>
      <w:r>
        <w:t xml:space="preserve"> are applied to the remaining balance: (performing_balance – scheduled_principal) × SMM.</w:t>
      </w:r>
    </w:p>
    <w:p w14:paraId="02B0D64C" w14:textId="77777777" w:rsidR="00C90FB1" w:rsidRDefault="00000000" w:rsidP="006314DC">
      <w:pPr>
        <w:pStyle w:val="ListParagraph"/>
        <w:numPr>
          <w:ilvl w:val="0"/>
          <w:numId w:val="10"/>
        </w:numPr>
      </w:pPr>
      <w:r w:rsidRPr="006314DC">
        <w:rPr>
          <w:b/>
        </w:rPr>
        <w:t>Total cash flow</w:t>
      </w:r>
      <w:r>
        <w:t xml:space="preserve"> to the investor = interest + total principal + recovery.</w:t>
      </w:r>
    </w:p>
    <w:p w14:paraId="5519D203" w14:textId="77777777" w:rsidR="00C90FB1" w:rsidRDefault="00C90FB1"/>
    <w:p w14:paraId="5A9AA3F8" w14:textId="77777777" w:rsidR="00C90FB1" w:rsidRDefault="00000000">
      <w:r>
        <w:t>IRR is computed as the monthly discount rate that sets the NPV of all cash flows (with month-0 outlay of –purchase_price × UPB) to zero, then annualized via compounding: (1 + monthly_irr)^12 – 1. A price solver (Brent’s method) inverts this relationship to find the purchase price that achieves any target IRR.</w:t>
      </w:r>
    </w:p>
    <w:p w14:paraId="79913AA1" w14:textId="77777777" w:rsidR="00C90FB1" w:rsidRPr="006314DC" w:rsidRDefault="00000000" w:rsidP="006314DC">
      <w:pPr>
        <w:rPr>
          <w:b/>
          <w:bCs/>
        </w:rPr>
      </w:pPr>
      <w:r w:rsidRPr="006314DC">
        <w:rPr>
          <w:b/>
          <w:bCs/>
        </w:rPr>
        <w:lastRenderedPageBreak/>
        <w:t>3. Key Insights About the Portfolio</w:t>
      </w:r>
    </w:p>
    <w:p w14:paraId="53833503" w14:textId="77777777" w:rsidR="00C90FB1" w:rsidRPr="006314DC" w:rsidRDefault="00000000" w:rsidP="006314DC">
      <w:pPr>
        <w:rPr>
          <w:b/>
          <w:bCs/>
        </w:rPr>
      </w:pPr>
      <w:r w:rsidRPr="006314DC">
        <w:rPr>
          <w:b/>
          <w:bCs/>
        </w:rPr>
        <w:t>Portfolio Composition</w:t>
      </w:r>
    </w:p>
    <w:p w14:paraId="6B959E1C" w14:textId="77777777" w:rsidR="00C90FB1" w:rsidRDefault="00000000" w:rsidP="006314DC">
      <w:r>
        <w:t xml:space="preserve">The 2.26 million-loan portfolio has $33.9 billion in total originated UPB, of which $9.1 billion remains outstanding across 873,773 Current loans. The portfolio is heavily concentrated </w:t>
      </w:r>
      <w:proofErr w:type="gramStart"/>
      <w:r>
        <w:t>in</w:t>
      </w:r>
      <w:proofErr w:type="gramEnd"/>
      <w:r>
        <w:t xml:space="preserve"> investment-grade credits: Grades A through C account for 77% of loans and 74% of originated volume. The weighted average coupon is 13.12%, with a weighted average remaining maturity of 34 months.</w:t>
      </w:r>
    </w:p>
    <w:p w14:paraId="65DF9932" w14:textId="77777777" w:rsidR="00C90FB1" w:rsidRPr="006314DC" w:rsidRDefault="00000000" w:rsidP="006314DC">
      <w:pPr>
        <w:rPr>
          <w:b/>
          <w:bCs/>
        </w:rPr>
      </w:pPr>
      <w:r w:rsidRPr="006314DC">
        <w:rPr>
          <w:b/>
          <w:bCs/>
        </w:rPr>
        <w:t>Credit Performance and Default Gradient</w:t>
      </w:r>
    </w:p>
    <w:p w14:paraId="4E050B46" w14:textId="77777777" w:rsidR="00C90FB1" w:rsidRDefault="00000000" w:rsidP="006314DC">
      <w:r>
        <w:t>The annualized CDR exhibits a steep credit gradient across Lending Club grades:</w:t>
      </w:r>
    </w:p>
    <w:tbl>
      <w:tblPr>
        <w:tblStyle w:val="LightGrid-Accent1"/>
        <w:tblW w:w="0" w:type="auto"/>
        <w:tblLook w:val="04A0" w:firstRow="1" w:lastRow="0" w:firstColumn="1" w:lastColumn="0" w:noHBand="0" w:noVBand="1"/>
      </w:tblPr>
      <w:tblGrid>
        <w:gridCol w:w="2160"/>
        <w:gridCol w:w="2160"/>
        <w:gridCol w:w="2160"/>
        <w:gridCol w:w="2160"/>
      </w:tblGrid>
      <w:tr w:rsidR="00C90FB1" w14:paraId="4F07B122" w14:textId="77777777" w:rsidTr="00C90F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8E5CCA" w14:textId="77777777" w:rsidR="00C90FB1" w:rsidRDefault="00000000">
            <w:r>
              <w:rPr>
                <w:sz w:val="18"/>
              </w:rPr>
              <w:t>Grade</w:t>
            </w:r>
          </w:p>
        </w:tc>
        <w:tc>
          <w:tcPr>
            <w:tcW w:w="2160" w:type="dxa"/>
          </w:tcPr>
          <w:p w14:paraId="1A8A7B7D" w14:textId="77777777" w:rsidR="00C90FB1" w:rsidRDefault="00000000">
            <w:pPr>
              <w:cnfStyle w:val="100000000000" w:firstRow="1" w:lastRow="0" w:firstColumn="0" w:lastColumn="0" w:oddVBand="0" w:evenVBand="0" w:oddHBand="0" w:evenHBand="0" w:firstRowFirstColumn="0" w:firstRowLastColumn="0" w:lastRowFirstColumn="0" w:lastRowLastColumn="0"/>
            </w:pPr>
            <w:r>
              <w:rPr>
                <w:sz w:val="18"/>
              </w:rPr>
              <w:t>Annualized CDR</w:t>
            </w:r>
          </w:p>
        </w:tc>
        <w:tc>
          <w:tcPr>
            <w:tcW w:w="2160" w:type="dxa"/>
          </w:tcPr>
          <w:p w14:paraId="4DB03689" w14:textId="77777777" w:rsidR="00C90FB1" w:rsidRDefault="00000000">
            <w:pPr>
              <w:cnfStyle w:val="100000000000" w:firstRow="1" w:lastRow="0" w:firstColumn="0" w:lastColumn="0" w:oddVBand="0" w:evenVBand="0" w:oddHBand="0" w:evenHBand="0" w:firstRowFirstColumn="0" w:firstRowLastColumn="0" w:lastRowFirstColumn="0" w:lastRowLastColumn="0"/>
            </w:pPr>
            <w:r>
              <w:rPr>
                <w:sz w:val="18"/>
              </w:rPr>
              <w:t>Avg Rate</w:t>
            </w:r>
          </w:p>
        </w:tc>
        <w:tc>
          <w:tcPr>
            <w:tcW w:w="2160" w:type="dxa"/>
          </w:tcPr>
          <w:p w14:paraId="7C291496" w14:textId="77777777" w:rsidR="00C90FB1" w:rsidRDefault="00000000">
            <w:pPr>
              <w:cnfStyle w:val="100000000000" w:firstRow="1" w:lastRow="0" w:firstColumn="0" w:lastColumn="0" w:oddVBand="0" w:evenVBand="0" w:oddHBand="0" w:evenHBand="0" w:firstRowFirstColumn="0" w:firstRowLastColumn="0" w:lastRowFirstColumn="0" w:lastRowLastColumn="0"/>
            </w:pPr>
            <w:r>
              <w:rPr>
                <w:sz w:val="18"/>
              </w:rPr>
              <w:t>Avg FICO</w:t>
            </w:r>
          </w:p>
        </w:tc>
      </w:tr>
      <w:tr w:rsidR="00C90FB1" w14:paraId="400F6C66" w14:textId="77777777" w:rsidTr="00C90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233BE4" w14:textId="77777777" w:rsidR="00C90FB1" w:rsidRDefault="00000000">
            <w:r>
              <w:rPr>
                <w:b w:val="0"/>
                <w:sz w:val="18"/>
              </w:rPr>
              <w:t>A</w:t>
            </w:r>
          </w:p>
        </w:tc>
        <w:tc>
          <w:tcPr>
            <w:tcW w:w="2160" w:type="dxa"/>
          </w:tcPr>
          <w:p w14:paraId="63BD9229"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0.73%</w:t>
            </w:r>
          </w:p>
        </w:tc>
        <w:tc>
          <w:tcPr>
            <w:tcW w:w="2160" w:type="dxa"/>
          </w:tcPr>
          <w:p w14:paraId="7A9D244E"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7.08%</w:t>
            </w:r>
          </w:p>
        </w:tc>
        <w:tc>
          <w:tcPr>
            <w:tcW w:w="2160" w:type="dxa"/>
          </w:tcPr>
          <w:p w14:paraId="7986B660"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~745</w:t>
            </w:r>
          </w:p>
        </w:tc>
      </w:tr>
      <w:tr w:rsidR="00C90FB1" w14:paraId="5679D9B6" w14:textId="77777777" w:rsidTr="00C90F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BE51B5" w14:textId="77777777" w:rsidR="00C90FB1" w:rsidRDefault="00000000">
            <w:r>
              <w:rPr>
                <w:b w:val="0"/>
                <w:sz w:val="18"/>
              </w:rPr>
              <w:t>B</w:t>
            </w:r>
          </w:p>
        </w:tc>
        <w:tc>
          <w:tcPr>
            <w:tcW w:w="2160" w:type="dxa"/>
          </w:tcPr>
          <w:p w14:paraId="62515F9F"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1.78%</w:t>
            </w:r>
          </w:p>
        </w:tc>
        <w:tc>
          <w:tcPr>
            <w:tcW w:w="2160" w:type="dxa"/>
          </w:tcPr>
          <w:p w14:paraId="66CE52EA"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10.68%</w:t>
            </w:r>
          </w:p>
        </w:tc>
        <w:tc>
          <w:tcPr>
            <w:tcW w:w="2160" w:type="dxa"/>
          </w:tcPr>
          <w:p w14:paraId="144FDA64"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~710</w:t>
            </w:r>
          </w:p>
        </w:tc>
      </w:tr>
      <w:tr w:rsidR="00C90FB1" w14:paraId="2AE50ED2" w14:textId="77777777" w:rsidTr="00C90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A1FB7A" w14:textId="77777777" w:rsidR="00C90FB1" w:rsidRDefault="00000000">
            <w:r>
              <w:rPr>
                <w:b w:val="0"/>
                <w:sz w:val="18"/>
              </w:rPr>
              <w:t>C</w:t>
            </w:r>
          </w:p>
        </w:tc>
        <w:tc>
          <w:tcPr>
            <w:tcW w:w="2160" w:type="dxa"/>
          </w:tcPr>
          <w:p w14:paraId="3039416D"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3.40%</w:t>
            </w:r>
          </w:p>
        </w:tc>
        <w:tc>
          <w:tcPr>
            <w:tcW w:w="2160" w:type="dxa"/>
          </w:tcPr>
          <w:p w14:paraId="1F8FBEBA"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14.14%</w:t>
            </w:r>
          </w:p>
        </w:tc>
        <w:tc>
          <w:tcPr>
            <w:tcW w:w="2160" w:type="dxa"/>
          </w:tcPr>
          <w:p w14:paraId="6894AE06"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~690</w:t>
            </w:r>
          </w:p>
        </w:tc>
      </w:tr>
      <w:tr w:rsidR="00C90FB1" w14:paraId="509DE5AA" w14:textId="77777777" w:rsidTr="00C90F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7664AF" w14:textId="77777777" w:rsidR="00C90FB1" w:rsidRDefault="00000000">
            <w:r>
              <w:rPr>
                <w:b w:val="0"/>
                <w:sz w:val="18"/>
              </w:rPr>
              <w:t>D</w:t>
            </w:r>
          </w:p>
        </w:tc>
        <w:tc>
          <w:tcPr>
            <w:tcW w:w="2160" w:type="dxa"/>
          </w:tcPr>
          <w:p w14:paraId="4901519C"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5.14%</w:t>
            </w:r>
          </w:p>
        </w:tc>
        <w:tc>
          <w:tcPr>
            <w:tcW w:w="2160" w:type="dxa"/>
          </w:tcPr>
          <w:p w14:paraId="52A4A4D0"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18.15%</w:t>
            </w:r>
          </w:p>
        </w:tc>
        <w:tc>
          <w:tcPr>
            <w:tcW w:w="2160" w:type="dxa"/>
          </w:tcPr>
          <w:p w14:paraId="1153A2EC"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~680</w:t>
            </w:r>
          </w:p>
        </w:tc>
      </w:tr>
      <w:tr w:rsidR="00C90FB1" w14:paraId="1F6F06EC" w14:textId="77777777" w:rsidTr="00C90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8091DC" w14:textId="77777777" w:rsidR="00C90FB1" w:rsidRDefault="00000000">
            <w:r>
              <w:rPr>
                <w:b w:val="0"/>
                <w:sz w:val="18"/>
              </w:rPr>
              <w:t>E</w:t>
            </w:r>
          </w:p>
        </w:tc>
        <w:tc>
          <w:tcPr>
            <w:tcW w:w="2160" w:type="dxa"/>
          </w:tcPr>
          <w:p w14:paraId="63687C5D"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7.07%</w:t>
            </w:r>
          </w:p>
        </w:tc>
        <w:tc>
          <w:tcPr>
            <w:tcW w:w="2160" w:type="dxa"/>
          </w:tcPr>
          <w:p w14:paraId="3A77D4A7"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21.85%</w:t>
            </w:r>
          </w:p>
        </w:tc>
        <w:tc>
          <w:tcPr>
            <w:tcW w:w="2160" w:type="dxa"/>
          </w:tcPr>
          <w:p w14:paraId="2225CE7B"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~675</w:t>
            </w:r>
          </w:p>
        </w:tc>
      </w:tr>
      <w:tr w:rsidR="00C90FB1" w14:paraId="429D17BE" w14:textId="77777777" w:rsidTr="00C90F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695518" w14:textId="77777777" w:rsidR="00C90FB1" w:rsidRDefault="00000000">
            <w:r>
              <w:rPr>
                <w:b w:val="0"/>
                <w:sz w:val="18"/>
              </w:rPr>
              <w:t>F</w:t>
            </w:r>
          </w:p>
        </w:tc>
        <w:tc>
          <w:tcPr>
            <w:tcW w:w="2160" w:type="dxa"/>
          </w:tcPr>
          <w:p w14:paraId="40F22687"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9.30%</w:t>
            </w:r>
          </w:p>
        </w:tc>
        <w:tc>
          <w:tcPr>
            <w:tcW w:w="2160" w:type="dxa"/>
          </w:tcPr>
          <w:p w14:paraId="24BCD459"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25.50%</w:t>
            </w:r>
          </w:p>
        </w:tc>
        <w:tc>
          <w:tcPr>
            <w:tcW w:w="2160" w:type="dxa"/>
          </w:tcPr>
          <w:p w14:paraId="7B2B2E53"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~670</w:t>
            </w:r>
          </w:p>
        </w:tc>
      </w:tr>
      <w:tr w:rsidR="00C90FB1" w14:paraId="77F8547E" w14:textId="77777777" w:rsidTr="00C90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A4BBF4" w14:textId="77777777" w:rsidR="00C90FB1" w:rsidRDefault="00000000">
            <w:r>
              <w:rPr>
                <w:b w:val="0"/>
                <w:sz w:val="18"/>
              </w:rPr>
              <w:t>G</w:t>
            </w:r>
          </w:p>
        </w:tc>
        <w:tc>
          <w:tcPr>
            <w:tcW w:w="2160" w:type="dxa"/>
          </w:tcPr>
          <w:p w14:paraId="0DCB30A6"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11.35%</w:t>
            </w:r>
          </w:p>
        </w:tc>
        <w:tc>
          <w:tcPr>
            <w:tcW w:w="2160" w:type="dxa"/>
          </w:tcPr>
          <w:p w14:paraId="4715FBD7"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28.21%</w:t>
            </w:r>
          </w:p>
        </w:tc>
        <w:tc>
          <w:tcPr>
            <w:tcW w:w="2160" w:type="dxa"/>
          </w:tcPr>
          <w:p w14:paraId="316B2F0A"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~665</w:t>
            </w:r>
          </w:p>
        </w:tc>
      </w:tr>
    </w:tbl>
    <w:p w14:paraId="0CCE5904" w14:textId="77777777" w:rsidR="00C90FB1" w:rsidRDefault="00C90FB1"/>
    <w:p w14:paraId="6339B003" w14:textId="77777777" w:rsidR="00C90FB1" w:rsidRDefault="00000000">
      <w:r>
        <w:t>The default rate roughly doubles with each two-grade step down: Grade A defaults at under 1% annually while Grade G defaults at over 11%. However, coupon rates also widen significantly (7% to 28%), meaning the net return question is whether the higher yield adequately compensates for the elevated credit risk. The pool-level loss severity is 89.2% with a recovery rate of only 10.8%, reflecting the unsecured nature of these consumer loans—there is no collateral to liquidate, so recovery depends entirely on post-charge-off collections.</w:t>
      </w:r>
    </w:p>
    <w:p w14:paraId="372260D2" w14:textId="77777777" w:rsidR="00C90FB1" w:rsidRPr="006314DC" w:rsidRDefault="00000000" w:rsidP="006314DC">
      <w:pPr>
        <w:rPr>
          <w:b/>
          <w:bCs/>
        </w:rPr>
      </w:pPr>
      <w:r w:rsidRPr="006314DC">
        <w:rPr>
          <w:b/>
          <w:bCs/>
        </w:rPr>
        <w:t>Delinquency Pipeline</w:t>
      </w:r>
    </w:p>
    <w:p w14:paraId="3CE92A30" w14:textId="77777777" w:rsidR="00C90FB1" w:rsidRDefault="00000000" w:rsidP="006314DC">
      <w:r>
        <w:t>The transition matrix reveals that 1.52% of the Current loan pool enters the delinquency pipeline each period (moving to In Grace Period). Of those entering grace, roughly 60% remain in grace and 40% progress to Late (16–30 days). From the Late (16–30) bucket, about 23% cure back to Current, 44% remain in the same bucket, and 33% progress further to Late (31–120 days). From Late (31–120), approximately 68% remain and 32% charge off. This cascading pattern means that once a loan enters the delinquency pipeline, it has a substantial probability of eventually charging off—the cure rates at each stage are relatively modest.</w:t>
      </w:r>
    </w:p>
    <w:p w14:paraId="58043B5E" w14:textId="77777777" w:rsidR="00C90FB1" w:rsidRPr="006314DC" w:rsidRDefault="00000000" w:rsidP="006314DC">
      <w:pPr>
        <w:rPr>
          <w:b/>
          <w:bCs/>
        </w:rPr>
      </w:pPr>
      <w:r w:rsidRPr="006314DC">
        <w:rPr>
          <w:b/>
          <w:bCs/>
        </w:rPr>
        <w:t>Prepayment Behavior</w:t>
      </w:r>
    </w:p>
    <w:p w14:paraId="35666D60" w14:textId="77777777" w:rsidR="00C90FB1" w:rsidRDefault="00000000" w:rsidP="006314DC">
      <w:r>
        <w:t xml:space="preserve">The observed CPR of 1.49% is low compared to typical structured finance benchmarks, reflecting the fact that Lending Club borrowers face limited refinancing options for unsecured personal </w:t>
      </w:r>
      <w:r>
        <w:lastRenderedPageBreak/>
        <w:t>loans. This low prepayment rate is favorable for investors purchasing at a discount, as it extends the period over which above-market coupons are collected.</w:t>
      </w:r>
    </w:p>
    <w:p w14:paraId="357EC8C1" w14:textId="77777777" w:rsidR="00C90FB1" w:rsidRPr="006314DC" w:rsidRDefault="00000000" w:rsidP="006314DC">
      <w:pPr>
        <w:rPr>
          <w:b/>
          <w:bCs/>
        </w:rPr>
      </w:pPr>
      <w:r w:rsidRPr="006314DC">
        <w:rPr>
          <w:b/>
          <w:bCs/>
        </w:rPr>
        <w:t>4. Stress Testing Recommendations</w:t>
      </w:r>
    </w:p>
    <w:p w14:paraId="5BE85586" w14:textId="77777777" w:rsidR="00C90FB1" w:rsidRDefault="00000000" w:rsidP="006314DC">
      <w:r>
        <w:t>The dashboard implements a multiplicative scenario framework where CDR and CPR are shifted by a user-adjustable percentage (default ±15%), while loss severity remains fixed. Below are the scenarios I would recommend and the rationale for each.</w:t>
      </w:r>
    </w:p>
    <w:p w14:paraId="7B25E578" w14:textId="77777777" w:rsidR="00C90FB1" w:rsidRDefault="00000000">
      <w:pPr>
        <w:pStyle w:val="Heading3"/>
      </w:pPr>
      <w:r>
        <w:t>Recommended Scenario Set</w:t>
      </w:r>
    </w:p>
    <w:tbl>
      <w:tblPr>
        <w:tblStyle w:val="LightGrid-Accent1"/>
        <w:tblW w:w="0" w:type="auto"/>
        <w:tblLook w:val="04A0" w:firstRow="1" w:lastRow="0" w:firstColumn="1" w:lastColumn="0" w:noHBand="0" w:noVBand="1"/>
      </w:tblPr>
      <w:tblGrid>
        <w:gridCol w:w="2160"/>
        <w:gridCol w:w="2160"/>
        <w:gridCol w:w="2160"/>
        <w:gridCol w:w="2160"/>
      </w:tblGrid>
      <w:tr w:rsidR="00C90FB1" w14:paraId="43C60CD0" w14:textId="77777777" w:rsidTr="00C90F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E12D18" w14:textId="77777777" w:rsidR="00C90FB1" w:rsidRDefault="00000000">
            <w:r>
              <w:rPr>
                <w:sz w:val="18"/>
              </w:rPr>
              <w:t>Scenario</w:t>
            </w:r>
          </w:p>
        </w:tc>
        <w:tc>
          <w:tcPr>
            <w:tcW w:w="2160" w:type="dxa"/>
          </w:tcPr>
          <w:p w14:paraId="148BDF58" w14:textId="77777777" w:rsidR="00C90FB1" w:rsidRDefault="00000000">
            <w:pPr>
              <w:cnfStyle w:val="100000000000" w:firstRow="1" w:lastRow="0" w:firstColumn="0" w:lastColumn="0" w:oddVBand="0" w:evenVBand="0" w:oddHBand="0" w:evenHBand="0" w:firstRowFirstColumn="0" w:firstRowLastColumn="0" w:lastRowFirstColumn="0" w:lastRowLastColumn="0"/>
            </w:pPr>
            <w:r>
              <w:rPr>
                <w:sz w:val="18"/>
              </w:rPr>
              <w:t>CDR Shift</w:t>
            </w:r>
          </w:p>
        </w:tc>
        <w:tc>
          <w:tcPr>
            <w:tcW w:w="2160" w:type="dxa"/>
          </w:tcPr>
          <w:p w14:paraId="5503DC8E" w14:textId="77777777" w:rsidR="00C90FB1" w:rsidRDefault="00000000">
            <w:pPr>
              <w:cnfStyle w:val="100000000000" w:firstRow="1" w:lastRow="0" w:firstColumn="0" w:lastColumn="0" w:oddVBand="0" w:evenVBand="0" w:oddHBand="0" w:evenHBand="0" w:firstRowFirstColumn="0" w:firstRowLastColumn="0" w:lastRowFirstColumn="0" w:lastRowLastColumn="0"/>
            </w:pPr>
            <w:r>
              <w:rPr>
                <w:sz w:val="18"/>
              </w:rPr>
              <w:t>CPR Shift</w:t>
            </w:r>
          </w:p>
        </w:tc>
        <w:tc>
          <w:tcPr>
            <w:tcW w:w="2160" w:type="dxa"/>
          </w:tcPr>
          <w:p w14:paraId="10310629" w14:textId="77777777" w:rsidR="00C90FB1" w:rsidRDefault="00000000">
            <w:pPr>
              <w:cnfStyle w:val="100000000000" w:firstRow="1" w:lastRow="0" w:firstColumn="0" w:lastColumn="0" w:oddVBand="0" w:evenVBand="0" w:oddHBand="0" w:evenHBand="0" w:firstRowFirstColumn="0" w:firstRowLastColumn="0" w:lastRowFirstColumn="0" w:lastRowLastColumn="0"/>
            </w:pPr>
            <w:r>
              <w:rPr>
                <w:sz w:val="18"/>
              </w:rPr>
              <w:t>Rationale</w:t>
            </w:r>
          </w:p>
        </w:tc>
      </w:tr>
      <w:tr w:rsidR="00C90FB1" w14:paraId="4E4A18E8" w14:textId="77777777" w:rsidTr="00C90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E67110" w14:textId="77777777" w:rsidR="00C90FB1" w:rsidRDefault="00000000">
            <w:r>
              <w:rPr>
                <w:b w:val="0"/>
                <w:sz w:val="18"/>
              </w:rPr>
              <w:t>Base Case</w:t>
            </w:r>
          </w:p>
        </w:tc>
        <w:tc>
          <w:tcPr>
            <w:tcW w:w="2160" w:type="dxa"/>
          </w:tcPr>
          <w:p w14:paraId="668C430F"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2160" w:type="dxa"/>
          </w:tcPr>
          <w:p w14:paraId="2DF584E5"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2160" w:type="dxa"/>
          </w:tcPr>
          <w:p w14:paraId="3EF814FE"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Historical performance of the filtered cohort. Assumes current economic conditions persist.</w:t>
            </w:r>
          </w:p>
        </w:tc>
      </w:tr>
      <w:tr w:rsidR="00C90FB1" w14:paraId="7D8FFB53" w14:textId="77777777" w:rsidTr="00C90F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AA64CF" w14:textId="77777777" w:rsidR="00C90FB1" w:rsidRDefault="00000000">
            <w:r>
              <w:rPr>
                <w:b w:val="0"/>
                <w:sz w:val="18"/>
              </w:rPr>
              <w:t>Mild Stress (+15%)</w:t>
            </w:r>
          </w:p>
        </w:tc>
        <w:tc>
          <w:tcPr>
            <w:tcW w:w="2160" w:type="dxa"/>
          </w:tcPr>
          <w:p w14:paraId="22EA1B96"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160" w:type="dxa"/>
          </w:tcPr>
          <w:p w14:paraId="0A3120CA"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160" w:type="dxa"/>
          </w:tcPr>
          <w:p w14:paraId="19C389F3"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A moderate deterioration: defaults rise 15%, prepayments slow 15%. Represents a garden-variety economic slowdown.</w:t>
            </w:r>
          </w:p>
        </w:tc>
      </w:tr>
      <w:tr w:rsidR="00C90FB1" w14:paraId="2FE2F766" w14:textId="77777777" w:rsidTr="00C90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A9AD5E" w14:textId="77777777" w:rsidR="00C90FB1" w:rsidRDefault="00000000">
            <w:r>
              <w:rPr>
                <w:b w:val="0"/>
                <w:sz w:val="18"/>
              </w:rPr>
              <w:t>Severe Stress (+40%)</w:t>
            </w:r>
          </w:p>
        </w:tc>
        <w:tc>
          <w:tcPr>
            <w:tcW w:w="2160" w:type="dxa"/>
          </w:tcPr>
          <w:p w14:paraId="636CBFB2"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+40%</w:t>
            </w:r>
          </w:p>
        </w:tc>
        <w:tc>
          <w:tcPr>
            <w:tcW w:w="2160" w:type="dxa"/>
          </w:tcPr>
          <w:p w14:paraId="5E02F39E"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2160" w:type="dxa"/>
          </w:tcPr>
          <w:p w14:paraId="3248DA14" w14:textId="77777777" w:rsidR="00C90FB1" w:rsidRDefault="00000000">
            <w:pPr>
              <w:cnfStyle w:val="000000100000" w:firstRow="0" w:lastRow="0" w:firstColumn="0" w:lastColumn="0" w:oddVBand="0" w:evenVBand="0" w:oddHBand="1" w:evenHBand="0" w:firstRowFirstColumn="0" w:firstRowLastColumn="0" w:lastRowFirstColumn="0" w:lastRowLastColumn="0"/>
            </w:pPr>
            <w:r>
              <w:rPr>
                <w:sz w:val="18"/>
              </w:rPr>
              <w:t>A recessionary scenario. Unemployment spikes, borrowers lose ability to service debt, and refinancing activity dries up.</w:t>
            </w:r>
          </w:p>
        </w:tc>
      </w:tr>
      <w:tr w:rsidR="00C90FB1" w14:paraId="7500549B" w14:textId="77777777" w:rsidTr="00C90F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39DE7F" w14:textId="77777777" w:rsidR="00C90FB1" w:rsidRDefault="00000000">
            <w:r>
              <w:rPr>
                <w:b w:val="0"/>
                <w:sz w:val="18"/>
              </w:rPr>
              <w:t>Upside (−15%)</w:t>
            </w:r>
          </w:p>
        </w:tc>
        <w:tc>
          <w:tcPr>
            <w:tcW w:w="2160" w:type="dxa"/>
          </w:tcPr>
          <w:p w14:paraId="14196AD5"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160" w:type="dxa"/>
          </w:tcPr>
          <w:p w14:paraId="2E2425CD"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160" w:type="dxa"/>
          </w:tcPr>
          <w:p w14:paraId="3BCAFAB2" w14:textId="77777777" w:rsidR="00C90FB1" w:rsidRDefault="00000000">
            <w:pPr>
              <w:cnfStyle w:val="000000010000" w:firstRow="0" w:lastRow="0" w:firstColumn="0" w:lastColumn="0" w:oddVBand="0" w:evenVBand="0" w:oddHBand="0" w:evenHBand="1" w:firstRowFirstColumn="0" w:firstRowLastColumn="0" w:lastRowFirstColumn="0" w:lastRowLastColumn="0"/>
            </w:pPr>
            <w:r>
              <w:rPr>
                <w:sz w:val="18"/>
              </w:rPr>
              <w:t>An improving economy: borrowers perform better and prepay more freely. IRR improves but WAL shortens.</w:t>
            </w:r>
          </w:p>
        </w:tc>
      </w:tr>
    </w:tbl>
    <w:p w14:paraId="28BAA543" w14:textId="77777777" w:rsidR="00C90FB1" w:rsidRDefault="00C90FB1"/>
    <w:p w14:paraId="1B62C4FF" w14:textId="77777777" w:rsidR="00C90FB1" w:rsidRPr="006314DC" w:rsidRDefault="00000000" w:rsidP="006314DC">
      <w:pPr>
        <w:rPr>
          <w:b/>
          <w:bCs/>
        </w:rPr>
      </w:pPr>
      <w:r w:rsidRPr="006314DC">
        <w:rPr>
          <w:b/>
          <w:bCs/>
        </w:rPr>
        <w:t>Why These Scenarios</w:t>
      </w:r>
    </w:p>
    <w:p w14:paraId="372C3351" w14:textId="77777777" w:rsidR="00C90FB1" w:rsidRDefault="00000000" w:rsidP="006314DC">
      <w:r>
        <w:rPr>
          <w:b/>
        </w:rPr>
        <w:t>Mild Stress (±15%)</w:t>
      </w:r>
      <w:r>
        <w:t xml:space="preserve"> is the minimum sensitivity every investor should examine. It answers the question: "If things get modestly worse, does this portfolio still meet my return threshold?" For the full portfolio at a 95-cent purchase price, the base IRR is positive and remains positive under mild stress, confirming basic resilience.</w:t>
      </w:r>
    </w:p>
    <w:p w14:paraId="35B98B9C" w14:textId="77777777" w:rsidR="00C90FB1" w:rsidRDefault="00000000" w:rsidP="006314DC">
      <w:r>
        <w:rPr>
          <w:b/>
        </w:rPr>
        <w:t>Severe Stress (+40% CDR / −30% CPR)</w:t>
      </w:r>
      <w:r>
        <w:t xml:space="preserve"> is calibrated to historical recession experience. During the 2008–2010 financial crisis, consumer unsecured credit defaults roughly doubled from pre-crisis levels. A +40% CDR shift approximates this magnitude for already-seasoned cohorts and reveals whether the coupon income can absorb significantly elevated losses. The CPR reduction to −30% reflects credit tightening: borrowers who would normally refinance cannot obtain new credit. This is the scenario an investor should focus on for downside protection—if the portfolio still generates a positive IRR at this stress level, it has meaningful credit cushion.</w:t>
      </w:r>
    </w:p>
    <w:p w14:paraId="2A2DA9B4" w14:textId="77777777" w:rsidR="00C90FB1" w:rsidRDefault="00000000" w:rsidP="006314DC">
      <w:r>
        <w:rPr>
          <w:b/>
        </w:rPr>
        <w:lastRenderedPageBreak/>
        <w:t>Upside (−15%)</w:t>
      </w:r>
      <w:r>
        <w:t xml:space="preserve"> is included to bound the range of outcomes. It shows the return potential if economic conditions </w:t>
      </w:r>
      <w:proofErr w:type="gramStart"/>
      <w:r>
        <w:t>improve, but</w:t>
      </w:r>
      <w:proofErr w:type="gramEnd"/>
      <w:r>
        <w:t xml:space="preserve"> also highlights a trade-off: higher prepayments reduce WAL and may cause the investor to be repaid faster than expected, creating reinvestment risk.</w:t>
      </w:r>
    </w:p>
    <w:p w14:paraId="34D4238D" w14:textId="77777777" w:rsidR="00C90FB1" w:rsidRPr="006314DC" w:rsidRDefault="00000000" w:rsidP="006314DC">
      <w:pPr>
        <w:rPr>
          <w:b/>
          <w:bCs/>
        </w:rPr>
      </w:pPr>
      <w:r w:rsidRPr="006314DC">
        <w:rPr>
          <w:b/>
          <w:bCs/>
        </w:rPr>
        <w:t>Additional Considerations</w:t>
      </w:r>
    </w:p>
    <w:p w14:paraId="4964A4CD" w14:textId="77777777" w:rsidR="00C90FB1" w:rsidRDefault="00000000" w:rsidP="006314DC">
      <w:r>
        <w:t xml:space="preserve">Loss severity is held fixed across all scenarios at 89.2%. This is conservative: in a true </w:t>
      </w:r>
      <w:proofErr w:type="gramStart"/>
      <w:r>
        <w:t>stress</w:t>
      </w:r>
      <w:proofErr w:type="gramEnd"/>
      <w:r>
        <w:t xml:space="preserve"> environment, recoveries may decline further as collection agencies face higher volumes and lower success rates. An investor could extend the framework by also stressing loss severity (e.g., 92–95% in severe stress) for a more pessimistic bound.</w:t>
      </w:r>
    </w:p>
    <w:p w14:paraId="35131860" w14:textId="77777777" w:rsidR="00C90FB1" w:rsidRDefault="00000000" w:rsidP="006314DC">
      <w:r>
        <w:t>Grade-level analysis is particularly valuable for stress testing. Grade A loans default at 0.73% annually while Grade G defaults at 11.35%. An investor purchasing a slice of the portfolio could use the dashboard’s strata filter to run scenarios on individual grades, identifying which credit tiers offer the best risk-adjusted returns under stress. For example, Grade C loans offer a 14.1% coupon against a 3.4% annualized CDR—a ratio that may still be attractive even at +40% stress (CDR of 4.8%), whereas Grade F at 25.5% coupon versus 9.3% CDR has a thinner margin that erodes quickly under stress.</w:t>
      </w:r>
    </w:p>
    <w:p w14:paraId="389AF4CA" w14:textId="77777777" w:rsidR="00C90FB1" w:rsidRDefault="00000000" w:rsidP="006314DC">
      <w:r>
        <w:t>Finally, vintage-level stress is important because earlier vintages (2012–2015) have fully seasoned and their default behavior is largely realized, while 2017–2018 vintages are still in their peak default window. Applying uniform stress across all vintages is conservative for the older cohorts and realistic for the newer ones.</w:t>
      </w:r>
    </w:p>
    <w:sectPr w:rsidR="00C90F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6E25E8"/>
    <w:multiLevelType w:val="hybridMultilevel"/>
    <w:tmpl w:val="C3DE9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900536">
    <w:abstractNumId w:val="8"/>
  </w:num>
  <w:num w:numId="2" w16cid:durableId="1063143750">
    <w:abstractNumId w:val="6"/>
  </w:num>
  <w:num w:numId="3" w16cid:durableId="514808849">
    <w:abstractNumId w:val="5"/>
  </w:num>
  <w:num w:numId="4" w16cid:durableId="1266881200">
    <w:abstractNumId w:val="4"/>
  </w:num>
  <w:num w:numId="5" w16cid:durableId="228661320">
    <w:abstractNumId w:val="7"/>
  </w:num>
  <w:num w:numId="6" w16cid:durableId="1596785378">
    <w:abstractNumId w:val="3"/>
  </w:num>
  <w:num w:numId="7" w16cid:durableId="1901674491">
    <w:abstractNumId w:val="2"/>
  </w:num>
  <w:num w:numId="8" w16cid:durableId="1061101414">
    <w:abstractNumId w:val="1"/>
  </w:num>
  <w:num w:numId="9" w16cid:durableId="975180860">
    <w:abstractNumId w:val="0"/>
  </w:num>
  <w:num w:numId="10" w16cid:durableId="8526455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EF4"/>
    <w:rsid w:val="0029639D"/>
    <w:rsid w:val="00326F90"/>
    <w:rsid w:val="006314DC"/>
    <w:rsid w:val="00AA1D8D"/>
    <w:rsid w:val="00B47730"/>
    <w:rsid w:val="00C90F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C9078"/>
  <w14:defaultImageDpi w14:val="300"/>
  <w15:docId w15:val="{0DBD0D20-E2C3-43E7-8CB4-92D3AAD7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GAVIN ROSS</cp:lastModifiedBy>
  <cp:revision>2</cp:revision>
  <dcterms:created xsi:type="dcterms:W3CDTF">2013-12-23T23:15:00Z</dcterms:created>
  <dcterms:modified xsi:type="dcterms:W3CDTF">2026-02-09T00:30:00Z</dcterms:modified>
  <cp:category/>
</cp:coreProperties>
</file>