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Гаврилейко Алина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bookmarkStart w:id="26" w:name="fig:001"/>
    <w:p>
      <w:pPr>
        <w:pStyle w:val="CaptionedFigure"/>
      </w:pPr>
      <w:r>
        <w:drawing>
          <wp:inline>
            <wp:extent cx="3733800" cy="80058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созданный файл программу из листинга. (рис. 2).</w:t>
      </w:r>
    </w:p>
    <w:bookmarkStart w:id="30" w:name="fig:002"/>
    <w:p>
      <w:pPr>
        <w:pStyle w:val="CaptionedFigure"/>
      </w:pPr>
      <w:r>
        <w:drawing>
          <wp:inline>
            <wp:extent cx="3733800" cy="4302292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155820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3733800" cy="4195506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1013046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4303138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1513301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3169920"/>
            <wp:effectExtent b="0" l="0" r="0" t="0"/>
            <wp:docPr descr="Рис. 8: Копирование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987491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4413336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481012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5311461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478692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10x-4,</w:t>
      </w:r>
      <w:r>
        <w:t xml:space="preserve"> </w:t>
      </w:r>
      <w:r>
        <w:t xml:space="preserve">которая совпадает с моим девытым варинтом (рис. 14).</w:t>
      </w:r>
    </w:p>
    <w:bookmarkStart w:id="80" w:name="fig:014"/>
    <w:p>
      <w:pPr>
        <w:pStyle w:val="CaptionedFigure"/>
      </w:pPr>
      <w:r>
        <w:drawing>
          <wp:inline>
            <wp:extent cx="3733800" cy="3659863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5(2 + x)"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      </w:t>
      </w:r>
      <w:r>
        <w:rPr>
          <w:rStyle w:val="CommentTok"/>
        </w:rPr>
        <w:t xml:space="preserve">; Выводим сообщение с описанием функции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Получаем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Пропускаем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Уменьшаем на 1, так как имя программы не считается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Переменная для суммы результата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Если все аргументы обработаны, переходим к завершению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Считываем следующий аргумент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Вычисляем (2 +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Умножаем на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Добавляем результат к общей сумме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546826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Гаврилейко Алина Александровна</dc:creator>
  <dc:language>ru-RU</dc:language>
  <cp:keywords/>
  <dcterms:created xsi:type="dcterms:W3CDTF">2024-11-29T13:11:40Z</dcterms:created>
  <dcterms:modified xsi:type="dcterms:W3CDTF">2024-11-29T13:11:40Z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