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Гаврилейко Алина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bookmarkStart w:id="26" w:name="fig:001"/>
    <w:p>
      <w:pPr>
        <w:pStyle w:val="CaptionedFigure"/>
      </w:pPr>
      <w:r>
        <w:drawing>
          <wp:inline>
            <wp:extent cx="3733800" cy="80058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созданный файл программу из листинга. (рис. 2).</w:t>
      </w:r>
    </w:p>
    <w:bookmarkStart w:id="30" w:name="fig:002"/>
    <w:p>
      <w:pPr>
        <w:pStyle w:val="CaptionedFigure"/>
      </w:pPr>
      <w:r>
        <w:drawing>
          <wp:inline>
            <wp:extent cx="3733800" cy="4302292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155820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3733800" cy="4195506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1013046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4303138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1513301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3169920"/>
            <wp:effectExtent b="0" l="0" r="0" t="0"/>
            <wp:docPr descr="Рис. 8: Копирование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987491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4413336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481012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5311461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478692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10x-4,</w:t>
      </w:r>
      <w:r>
        <w:t xml:space="preserve"> </w:t>
      </w:r>
      <w:r>
        <w:t xml:space="preserve">которая совпадает с моим девытым варинтом (рис. 14).</w:t>
      </w:r>
    </w:p>
    <w:bookmarkStart w:id="80" w:name="fig:014"/>
    <w:p>
      <w:pPr>
        <w:pStyle w:val="CaptionedFigure"/>
      </w:pPr>
      <w:r>
        <w:drawing>
          <wp:inline>
            <wp:extent cx="3733800" cy="3659863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5(2 + x)"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      </w:t>
      </w:r>
      <w:r>
        <w:rPr>
          <w:rStyle w:val="CommentTok"/>
        </w:rPr>
        <w:t xml:space="preserve">; Выводим сообщение с описанием функции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Получаем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Пропускаем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Уменьшаем на 1, так как имя программы не считается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Переменная для суммы результата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Если все аргументы обработаны, переходим к завершению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Считываем следующий аргумент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Вычисляем (2 +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Умножаем на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Добавляем результат к общей сумме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546826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Гаврилейко Алина Александровна</dc:creator>
  <dc:language>ru-RU</dc:language>
  <cp:keywords/>
  <dcterms:created xsi:type="dcterms:W3CDTF">2024-12-03T07:58:04Z</dcterms:created>
  <dcterms:modified xsi:type="dcterms:W3CDTF">2024-12-03T07:58:04Z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