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0B2A" w:rsidRDefault="008A0B2A" w:rsidP="008A0B2A">
      <w:pPr>
        <w:pStyle w:val="NormalWeb"/>
        <w:shd w:val="clear" w:color="auto" w:fill="FFFFFF"/>
        <w:spacing w:before="0" w:beforeAutospacing="0" w:after="288" w:afterAutospacing="0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Are tariffs weighing down your portfolio? Recent sharp market declines and incoming tariffs on global imports are a clear reminder that relying solely on equities leaves investors vulnerable.</w:t>
      </w:r>
    </w:p>
    <w:p w:rsidR="008A0B2A" w:rsidRDefault="008A0B2A" w:rsidP="008A0B2A">
      <w:pPr>
        <w:pStyle w:val="NormalWeb"/>
        <w:shd w:val="clear" w:color="auto" w:fill="FFFFFF"/>
        <w:spacing w:before="0" w:beforeAutospacing="0" w:after="288" w:afterAutospacing="0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Here's the good news: unlike many imported goods, </w:t>
      </w:r>
      <w:hyperlink r:id="rId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artwork remains exempt</w:t>
        </w:r>
      </w:hyperlink>
      <w:r>
        <w:rPr>
          <w:rFonts w:ascii="Arial" w:hAnsi="Arial" w:cs="Arial"/>
          <w:color w:val="1A1A1A"/>
        </w:rPr>
        <w:t> from new US tariffs, potentially offering an advantage as trade restrictions impact many other markets.</w:t>
      </w:r>
    </w:p>
    <w:p w:rsidR="008A0B2A" w:rsidRDefault="008A0B2A" w:rsidP="008A0B2A">
      <w:pPr>
        <w:pStyle w:val="NormalWeb"/>
        <w:shd w:val="clear" w:color="auto" w:fill="FFFFFF"/>
        <w:spacing w:before="0" w:beforeAutospacing="0" w:after="288" w:afterAutospacing="0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Leading financial strategists, including JP Morgan and BlackRock CEO Larry Fink, recommend diversifying portfolios by allocating roughly 20% to alternative assets (alongside stocks and bonds), to help navigate market volatility.</w:t>
      </w:r>
    </w:p>
    <w:p w:rsidR="008A0B2A" w:rsidRDefault="008A0B2A" w:rsidP="008A0B2A">
      <w:pPr>
        <w:pStyle w:val="NormalWeb"/>
        <w:shd w:val="clear" w:color="auto" w:fill="FFFFFF"/>
        <w:spacing w:before="0" w:beforeAutospacing="0" w:after="288" w:afterAutospacing="0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If you're </w:t>
      </w:r>
      <w:hyperlink r:id="rId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exploring alternative assets</w:t>
        </w:r>
      </w:hyperlink>
      <w:r>
        <w:rPr>
          <w:rFonts w:ascii="Arial" w:hAnsi="Arial" w:cs="Arial"/>
          <w:color w:val="1A1A1A"/>
        </w:rPr>
        <w:t> for your portfolio, contemporary art has demonstrated a low correlation with public equity markets historically. While Fink and JP Morgan did not cite art explicitly, the asset class has provided valuable diversification during certain periods of economic distress</w:t>
      </w:r>
    </w:p>
    <w:p w:rsidR="00C14AC7" w:rsidRDefault="00C14AC7"/>
    <w:sectPr w:rsidR="00C14AC7" w:rsidSect="008A0B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E6"/>
    <w:rsid w:val="00076EE6"/>
    <w:rsid w:val="000A2AF1"/>
    <w:rsid w:val="008A0B2A"/>
    <w:rsid w:val="00C1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0B298DE-D3F1-5F4B-A529-15595BF1B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6EE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076EE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76EE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6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xrc4vvt.r.us-east-1.awstrack.me/L0/https:%2F%2Fwww.masterworks.com%2Fwizard%2Fmembership%3Futm_source=system%26utm_medium=email%26utm_campaign=NBE453BanksyTariffs%26uid=5466c379-0487-441f-a326-bd1a6620f0c5%26userToken=tSHwubsWVY-1Y5DT.knbz1efU-MYfmqgsOMPf6A9zamiuPffnmCL8bAea5NlfEXgilys8UiZduWl8xYOeJ9E.vWhpeqzshTYLzHSHLfFKfw/2/0100019616605443-eb4df9e7-a840-478a-85dc-941d005bbcb1-000000/MD7c1x6eLR9meudMeo8V2PtuP2w=421" TargetMode="External"/><Relationship Id="rId4" Type="http://schemas.openxmlformats.org/officeDocument/2006/relationships/hyperlink" Target="https://pxrc4vvt.r.us-east-1.awstrack.me/L0/https:%2F%2Fwww.masterworks.com%2Fwizard%2Fmembership%3Futm_source=system%26utm_medium=email%26utm_campaign=NBE453BanksyTariffs%26uid=5466c379-0487-441f-a326-bd1a6620f0c5%26userToken=tSHwubsWVY-1Y5DT.knbz1efU-MYfmqgsOMPf6A9zamiuPffnmCL8bAea5NlfEXgilys8UiZduWl8xYOeJ9E.vWhpeqzshTYLzHSHLfFKfw/1/0100019616605443-eb4df9e7-a840-478a-85dc-941d005bbcb1-000000/XtTIirKhV0mv6dcSzz6Sv9z7OFs=4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2025-04-09T08:06:00Z</dcterms:created>
  <dcterms:modified xsi:type="dcterms:W3CDTF">2026-03-17T07:57:00Z</dcterms:modified>
</cp:coreProperties>
</file>