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</w:pPr>
      <w:r>
        <w:t xml:space="preserve">检索质量评估</w:t>
      </w:r>
    </w:p>
    <w:p>
      <w:pPr>
        <w:pStyle w:val="Heading2"/>
      </w:pPr>
      <w:r>
        <w:t xml:space="preserve">检索质量评估</w:t>
      </w:r>
    </w:p>
    <w:p>
      <w:r>
        <w:t xml:space="preserve">本例用合成数据说明检索指标。</w:t>
      </w:r>
      <w:r>
        <w:rPr>
          <w:b/>
        </w:rPr>
        <w:t xml:space="preserve">推荐方案 A</w:t>
      </w:r>
      <w:r>
        <w:t xml:space="preserve">，其准确率和召回率较为均衡。所有数值仅用于验证文档导出。</w:t>
      </w:r>
      <w:r>
        <w:rPr>
          <w:vertAlign w:val="superscript"/>
        </w:rPr>
        <w:t xml:space="preserve">[1]</w:t>
      </w:r>
    </w:p>
    <w:tbl>
      <w:tblPr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701"/>
        <w:gridCol w:w="5956"/>
        <w:gridCol w:w="1703"/>
      </w:tblGrid>
      <w:tr>
        <w:trPr>
          <w:tblHeader/>
        </w:trPr>
        <w:tc>
          <w:tcPr>
            <w:tcW w:w="1701" w:type="dxa"/>
            <w:shd w:fill="E7EEF5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指标</w:t>
            </w:r>
          </w:p>
        </w:tc>
        <w:tc>
          <w:tcPr>
            <w:tcW w:w="5956" w:type="dxa"/>
            <w:shd w:fill="E7EEF5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计算公式</w:t>
            </w:r>
          </w:p>
        </w:tc>
        <w:tc>
          <w:tcPr>
            <w:tcW w:w="1703" w:type="dxa"/>
            <w:shd w:fill="E7EEF5"/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数值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after="0"/>
              <w:jc w:val="left"/>
            </w:pPr>
            <w:r>
              <w:t xml:space="preserve">准确率 P</w:t>
            </w:r>
          </w:p>
        </w:tc>
        <w:tc>
          <w:tcPr>
            <w:tcW w:w="5956" w:type="dxa"/>
            <w:vAlign w:val="center"/>
          </w:tcPr>
          <w:p>
            <w:pPr>
              <w:spacing w:after="0"/>
              <w:jc w:val="center"/>
            </w:pPr>
            <m:oMath>
              <m:r>
                <m:rPr>
                  <m:sty m:val="i"/>
                </m:rPr>
                <w:rPr>
                  <w:rFonts w:ascii="Cambria Math" w:hAnsi="Cambria Math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T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P</m:t>
                  </m:r>
                </m:num>
                <m:den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T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F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P</m:t>
                  </m:r>
                </m:den>
              </m:f>
            </m:oMath>
          </w:p>
        </w:tc>
        <w:tc>
          <w:tcPr>
            <w:tcW w:w="1703" w:type="dxa"/>
            <w:vAlign w:val="center"/>
          </w:tcPr>
          <w:p>
            <w:pPr>
              <w:spacing w:after="0"/>
              <w:jc w:val="right"/>
            </w:pPr>
            <w:r>
              <w:t xml:space="preserve">0.90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after="0"/>
              <w:jc w:val="left"/>
            </w:pPr>
            <w:r>
              <w:t xml:space="preserve">召回率 R</w:t>
            </w:r>
          </w:p>
        </w:tc>
        <w:tc>
          <w:tcPr>
            <w:tcW w:w="5956" w:type="dxa"/>
            <w:vAlign w:val="center"/>
          </w:tcPr>
          <w:p>
            <w:pPr>
              <w:spacing w:after="0"/>
              <w:jc w:val="center"/>
            </w:pPr>
            <m:oMath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T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P</m:t>
                  </m:r>
                </m:num>
                <m:den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T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F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oMath>
          </w:p>
        </w:tc>
        <w:tc>
          <w:tcPr>
            <w:tcW w:w="1703" w:type="dxa"/>
            <w:vAlign w:val="center"/>
          </w:tcPr>
          <w:p>
            <w:pPr>
              <w:spacing w:after="0"/>
              <w:jc w:val="right"/>
            </w:pPr>
            <w:r>
              <w:t xml:space="preserve">0.80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after="0"/>
              <w:jc w:val="left"/>
            </w:pPr>
            <w:r>
              <w:t xml:space="preserve">综合指标</w:t>
            </w:r>
          </w:p>
        </w:tc>
        <w:tc>
          <w:tcPr>
            <w:tcW w:w="5956" w:type="dxa"/>
            <w:vAlign w:val="center"/>
          </w:tcPr>
          <w:p>
            <w:pPr>
              <w:spacing w:after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P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R</m:t>
                  </m:r>
                </m:num>
                <m:den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R</m:t>
                  </m:r>
                </m:den>
              </m:f>
            </m:oMath>
          </w:p>
        </w:tc>
        <w:tc>
          <w:tcPr>
            <w:tcW w:w="1703" w:type="dxa"/>
            <w:vAlign w:val="center"/>
          </w:tcPr>
          <w:p>
            <w:pPr>
              <w:spacing w:after="0"/>
              <w:jc w:val="right"/>
            </w:pPr>
            <w:r>
              <w:t xml:space="preserve">0.847</w:t>
            </w:r>
          </w:p>
        </w:tc>
      </w:tr>
    </w:tbl>
    <w:p/>
    <w:p>
      <w:pPr>
        <w:pStyle w:val="Heading3"/>
      </w:pPr>
      <w:r>
        <w:t xml:space="preserve">数学说明</w:t>
      </w:r>
    </w:p>
    <w:p>
      <w:r>
        <w:t xml:space="preserve">均值与标准差分别为 </w:t>
      </w:r>
      <m:oMath>
        <m:bar>
          <m:barPr>
            <m:pos m:val="top"/>
          </m:barPr>
          <m:e>
            <m:r>
              <m:rPr>
                <m:sty m:val="i"/>
              </m:rPr>
              <w:rPr>
                <w:rFonts w:ascii="Cambria Math" w:hAnsi="Cambria Math"/>
              </w:rPr>
              <m:t xml:space="preserve">x</m:t>
            </m:r>
          </m:e>
        </m:ba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 xml:space="preserve">σ</m:t>
        </m:r>
      </m:oMath>
      <w:r>
        <w:t xml:space="preserve">。归一化使用 </w:t>
      </w:r>
      <m:oMath>
        <m:sSubSup>
          <m:e>
            <m:r>
              <m:rPr>
                <m:sty m:val="i"/>
              </m:rP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2</m:t>
            </m:r>
          </m:sup>
        </m:sSubSup>
      </m:oMath>
      <w:r>
        <w:t xml:space="preserve"> 与 </w:t>
      </w:r>
      <m:oMath>
        <m:rad>
          <m:radPr>
            <m:degHide m:val="1"/>
          </m:radPr>
          <m:deg/>
          <m:e>
            <m:sSup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+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 xml:space="preserve"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  <w:r>
        <w:t xml:space="preserve">，高阶根式为 </w:t>
      </w:r>
      <m:oMath>
        <m:rad>
          <m:deg>
            <m:r>
              <m:rPr>
                <m:sty m:val="p"/>
              </m:rPr>
              <w:rPr>
                <w:rFonts w:ascii="Cambria Math" w:hAnsi="Cambria Math"/>
              </w:rPr>
              <m:t xml:space="preserve"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 xml:space="preserve">8</m:t>
            </m:r>
          </m:e>
        </m:rad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2</m:t>
        </m:r>
      </m:oMath>
      <w:r>
        <w:t xml:space="preserve">。</w:t>
      </w:r>
    </w:p>
    <w:p>
      <m:oMathPara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</m:oMath>
      </m:oMathPara>
    </w:p>
    <w:p>
      <m:oMathPara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p>
            <m:e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  <m:r>
            <m:rPr>
              <m:nor/>
            </m:rPr>
            <w:rPr>
              <w:rFonts w:ascii="Cambria Math" w:hAnsi="Cambria Math"/>
            </w:rPr>
            <m:t xml:space="preserve"> </m:t>
          </m:r>
          <m:r>
            <m:rPr>
              <m:sty m:val="i"/>
            </m:rPr>
            <w:rPr>
              <w:rFonts w:ascii="Cambria Math" w:hAnsi="Cambria Math"/>
            </w:rPr>
            <m:t xml:space="preserve">d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den>
          </m:f>
        </m:oMath>
      </m:oMathPara>
    </w:p>
    <w:p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pPr>
        <w:pStyle w:val="Heading3"/>
      </w:pPr>
      <w:r>
        <w:t xml:space="preserve">使用步骤</w:t>
      </w:r>
    </w:p>
    <w:p>
      <w:pPr>
        <w:numPr>
          <w:ilvl w:val="0"/>
          <w:numId w:val="1"/>
        </w:numPr>
        <w:ind w:left="360" w:hanging="240"/>
      </w:pPr>
      <w:r>
        <w:t xml:space="preserve">准备相同的评估集。</w:t>
      </w:r>
    </w:p>
    <w:p>
      <w:pPr>
        <w:numPr>
          <w:ilvl w:val="0"/>
          <w:numId w:val="1"/>
        </w:numPr>
        <w:ind w:left="360" w:hanging="240"/>
      </w:pPr>
      <w:r>
        <w:t xml:space="preserve">计算指标，核对来源。</w:t>
      </w:r>
    </w:p>
    <w:p>
      <w:pPr>
        <w:numPr>
          <w:ilvl w:val="0"/>
          <w:numId w:val="1"/>
        </w:numPr>
        <w:ind w:left="360" w:hanging="240"/>
      </w:pPr>
      <w:r>
        <w:t xml:space="preserve">在 Word 中调整表格与公式。</w:t>
      </w:r>
    </w:p>
    <w:p>
      <w:pPr>
        <w:ind w:left="360"/>
        <w:pBdr>
          <w:left w:val="single" w:sz="12" w:space="8" w:color="D9D9D9"/>
        </w:pBdr>
      </w:pPr>
      <w:r>
        <w:t xml:space="preserve">表格数值可以人工修改；公式为可编辑的数学对象。</w:t>
      </w:r>
    </w:p>
    <w:p>
      <w:pPr>
        <w:pStyle w:val="Code"/>
      </w:pPr>
      <w:r>
        <w:rPr>
          <w:rFonts w:ascii="Consolas" w:hAnsi="Consolas"/>
          <w:sz w:val="19"/>
        </w:rPr>
        <w:t xml:space="preserve">score = 2 * precision * recall / (precision + recall)</w:t>
      </w:r>
    </w:p>
    <w:p>
      <w:pPr>
        <w:pStyle w:val="Heading1"/>
      </w:pPr>
      <w:r>
        <w:t xml:space="preserve">参考来源</w:t>
      </w:r>
    </w:p>
    <w:p>
      <w:r>
        <w:t xml:space="preserve">[1] 检索评估说明 · 分块 1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compat>
    <w:compatSetting w:name="compatibilityMode" w:uri="http://schemas.microsoft.com/office/word" w:val="15"/>
  </w:compat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en-US" w:eastAsia="zh-CN"/>
      </w:rPr>
    </w:rPrDefault>
    <w:pPrDefault>
      <w:pPr>
        <w:spacing w:after="140" w:line="30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spacing w:before="220" w:after="140"/>
    </w:pPr>
    <w:rPr>
      <w:b/>
      <w:color w:val="000000"/>
      <w:sz w:val="36"/>
    </w:rPr>
  </w:style>
  <w:style w:type="paragraph" w:styleId="Heading1">
    <w:name w:val="Heading1"/>
    <w:basedOn w:val="Normal"/>
    <w:next w:val="Normal"/>
    <w:pPr>
      <w:keepNext/>
      <w:spacing w:before="220" w:after="140"/>
    </w:pPr>
    <w:rPr>
      <w:b/>
      <w:color w:val="000000"/>
      <w:sz w:val="30"/>
    </w:rPr>
  </w:style>
  <w:style w:type="paragraph" w:styleId="Heading2">
    <w:name w:val="Heading2"/>
    <w:basedOn w:val="Normal"/>
    <w:next w:val="Normal"/>
    <w:pPr>
      <w:keepNext/>
      <w:spacing w:before="220" w:after="140"/>
    </w:pPr>
    <w:rPr>
      <w:b/>
      <w:color w:val="000000"/>
      <w:sz w:val="28"/>
    </w:rPr>
  </w:style>
  <w:style w:type="paragraph" w:styleId="Heading3">
    <w:name w:val="Heading3"/>
    <w:basedOn w:val="Normal"/>
    <w:next w:val="Normal"/>
    <w:pPr>
      <w:keepNext/>
      <w:spacing w:before="220" w:after="140"/>
    </w:pPr>
    <w:rPr>
      <w:b/>
      <w:color w:val="000000"/>
      <w:sz w:val="26"/>
    </w:rPr>
  </w:style>
  <w:style w:type="paragraph" w:styleId="Heading4">
    <w:name w:val="Heading4"/>
    <w:basedOn w:val="Normal"/>
    <w:next w:val="Normal"/>
    <w:pPr>
      <w:keepNext/>
      <w:spacing w:before="220" w:after="140"/>
    </w:pPr>
    <w:rPr>
      <w:b/>
      <w:color w:val="000000"/>
      <w:sz w:val="24"/>
    </w:rPr>
  </w:style>
  <w:style w:type="paragraph" w:styleId="Heading5">
    <w:name w:val="Heading5"/>
    <w:basedOn w:val="Normal"/>
    <w:next w:val="Normal"/>
    <w:pPr>
      <w:keepNext/>
      <w:spacing w:before="220" w:after="140"/>
    </w:pPr>
    <w:rPr>
      <w:b/>
      <w:color w:val="000000"/>
      <w:sz w:val="22"/>
    </w:rPr>
  </w:style>
  <w:style w:type="paragraph" w:styleId="Heading6">
    <w:name w:val="Heading6"/>
    <w:basedOn w:val="Normal"/>
    <w:next w:val="Normal"/>
    <w:pPr>
      <w:keepNext/>
      <w:spacing w:before="220" w:after="140"/>
    </w:pPr>
    <w:rPr>
      <w:b/>
      <w:color w:val="000000"/>
      <w:sz w:val="20"/>
    </w:rPr>
  </w:style>
  <w:style w:type="paragraph" w:styleId="Code">
    <w:name w:val="Code"/>
    <w:basedOn w:val="Normal"/>
    <w:pPr>
      <w:spacing w:after="0"/>
      <w:shd w:fill="F3F4F6"/>
    </w:p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