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t xml:space="preserve">带中文标注箭头验证</w:t>
      </w:r>
    </w:p>
    <w:p>
      <w:pPr>
        <w:pStyle w:val="Heading2"/>
      </w:pPr>
      <w:r>
        <w:t xml:space="preserve">带中文标注箭头的合成导出样例</w:t>
      </w:r>
    </w:p>
    <w:p>
      <w:r>
        <w:t xml:space="preserve">合成验证：前九个公式使用普通结构，第十个公式使用已修正为合法命令的复现表达式。</w:t>
      </w:r>
    </w:p>
    <w:p>
      <w:pPr>
        <w:numPr>
          <w:ilvl w:val="0"/>
          <w:numId w:val="1"/>
        </w:numPr>
        <w:ind w:left="360" w:hanging="240"/>
      </w:pPr>
      <w:r>
        <w:t xml:space="preserve">加法：</w:t>
      </w:r>
      <m:oMath>
        <m:r>
          <m:rPr>
            <m:sty m:val="i"/>
          </m:rPr>
          <w:rPr>
            <w:rFonts w:ascii="Cambria Math" w:hAnsi="Cambria Math"/>
          </w:rPr>
          <m:t xml:space="preserve">a</m:t>
        </m:r>
        <m:r>
          <m:rPr>
            <m:sty m:val="p"/>
          </m:rPr>
          <w:rPr>
            <w:rFonts w:ascii="Cambria Math" w:hAnsi="Cambria Math"/>
          </w:rPr>
          <m:t xml:space="preserve">+</m:t>
        </m:r>
        <m:r>
          <m:rPr>
            <m:sty m:val="i"/>
          </m:rPr>
          <w:rPr>
            <w:rFonts w:ascii="Cambria Math" w:hAnsi="Cambria Math"/>
          </w:rPr>
          <m:t xml:space="preserve">b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i"/>
          </m:rPr>
          <w:rPr>
            <w:rFonts w:ascii="Cambria Math" w:hAnsi="Cambria Math"/>
          </w:rPr>
          <m:t xml:space="preserve">c</m:t>
        </m:r>
      </m:oMath>
      <w:r>
        <w:t xml:space="preserve">。</w:t>
      </w:r>
    </w:p>
    <w:p>
      <w:pPr>
        <w:numPr>
          <w:ilvl w:val="0"/>
          <w:numId w:val="1"/>
        </w:numPr>
        <w:ind w:left="360" w:hanging="240"/>
      </w:pPr>
      <w:r>
        <w:t xml:space="preserve">下标与上标：</w:t>
      </w:r>
      <m:oMath>
        <m:sSubSup>
          <m:e>
            <m:r>
              <m:rPr>
                <m:sty m:val="i"/>
              </m:rP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 xml:space="preserve"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。</w:t>
      </w:r>
    </w:p>
    <w:p>
      <w:pPr>
        <w:numPr>
          <w:ilvl w:val="0"/>
          <w:numId w:val="1"/>
        </w:numPr>
        <w:ind w:left="360" w:hanging="240"/>
      </w:pPr>
      <w:r>
        <w:t xml:space="preserve">根式：</w:t>
      </w:r>
      <m:oMath>
        <m:rad>
          <m:radPr>
            <m:degHide m:val="1"/>
          </m:radPr>
          <m:deg/>
          <m:e>
            <m:r>
              <m:rPr>
                <m:sty m:val="i"/>
              </m:rP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。</w:t>
      </w:r>
    </w:p>
    <w:tbl>
      <w:tblPr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72"/>
        <w:gridCol w:w="1872"/>
        <w:gridCol w:w="5616"/>
      </w:tblGrid>
      <w:tr>
        <w:trPr>
          <w:tblHeader/>
        </w:trPr>
        <w:tc>
          <w:tcPr>
            <w:tcW w:w="1872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序号</w:t>
            </w:r>
          </w:p>
        </w:tc>
        <w:tc>
          <w:tcPr>
            <w:tcW w:w="1872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说明</w:t>
            </w:r>
          </w:p>
        </w:tc>
        <w:tc>
          <w:tcPr>
            <w:tcW w:w="5616" w:type="dxa"/>
            <w:shd w:fill="E7EEF5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公式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0"/>
              <w:jc w:val="left"/>
            </w:pPr>
            <w:r>
              <w:t xml:space="preserve">4</w:t>
            </w:r>
          </w:p>
        </w:tc>
        <w:tc>
          <w:tcPr>
            <w:tcW w:w="1872" w:type="dxa"/>
            <w:vAlign w:val="center"/>
          </w:tcPr>
          <w:p>
            <w:pPr>
              <w:spacing w:after="0"/>
              <w:jc w:val="left"/>
            </w:pPr>
            <w:r>
              <w:t xml:space="preserve">分数</w:t>
            </w:r>
          </w:p>
        </w:tc>
        <w:tc>
          <w:tcPr>
            <w:tcW w:w="5616" w:type="dxa"/>
            <w:vAlign w:val="center"/>
          </w:tcPr>
          <w:p>
            <w:pPr>
              <w:spacing w:after="0"/>
              <w:jc w:val="left"/>
            </w:pPr>
            <m:oMath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</w:tr>
      <w:tr>
        <w:tc>
          <w:tcPr>
            <w:tcW w:w="1872" w:type="dxa"/>
            <w:vAlign w:val="center"/>
          </w:tcPr>
          <w:p>
            <w:pPr>
              <w:spacing w:after="0"/>
              <w:jc w:val="left"/>
            </w:pPr>
            <w:r>
              <w:t xml:space="preserve">5</w:t>
            </w:r>
          </w:p>
        </w:tc>
        <w:tc>
          <w:tcPr>
            <w:tcW w:w="1872" w:type="dxa"/>
            <w:vAlign w:val="center"/>
          </w:tcPr>
          <w:p>
            <w:pPr>
              <w:spacing w:after="0"/>
              <w:jc w:val="left"/>
            </w:pPr>
            <w:r>
              <w:t xml:space="preserve">求和</w:t>
            </w:r>
          </w:p>
        </w:tc>
        <w:tc>
          <w:tcPr>
            <w:tcW w:w="5616" w:type="dxa"/>
            <w:vAlign w:val="center"/>
          </w:tcPr>
          <w:p>
            <w:pPr>
              <w:spacing w:after="0"/>
              <w:jc w:val="left"/>
            </w:pPr>
            <m:oMath>
              <m:nary>
                <m:naryPr>
                  <m:chr m:val="∑"/>
                  <m:limLoc m:val="subSup"/>
                  <m:subHide m:val="0"/>
                  <m:supHide m:val="0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k</m:t>
                  </m:r>
                </m:e>
              </m:nary>
            </m:oMath>
          </w:p>
        </w:tc>
      </w:tr>
    </w:tbl>
    <w:p/>
    <w:p>
      <w:r>
        <w:t xml:space="preserve">第六个公式：</w:t>
      </w:r>
    </w:p>
    <w:p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</m:e>
          </m:nary>
          <m:r>
            <m:rPr>
              <m:nor/>
            </m:rPr>
            <w:rPr>
              <w:rFonts w:ascii="Cambria Math" w:hAnsi="Cambria Math"/>
            </w:rPr>
            <m:t xml:space="preserve"> </m:t>
          </m:r>
          <m:r>
            <m:rPr>
              <m:sty m:val="i"/>
            </m:rPr>
            <w:rPr>
              <w:rFonts w:ascii="Cambria Math" w:hAnsi="Cambria Math"/>
            </w:rPr>
            <m:t xml:space="preserve">d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</m:oMath>
      </m:oMathPara>
    </w:p>
    <w:p>
      <w:r>
        <w:t xml:space="preserve">第七个公式：</w:t>
      </w:r>
    </w:p>
    <w:p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r>
        <w:t xml:space="preserve">第八个公式：</w:t>
      </w:r>
    </w:p>
    <w:p>
      <m:oMathPara>
        <m:oMath>
          <m:acc>
            <m:accPr>
              <m:chr m:val="^"/>
            </m:accPr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acc>
            <m:accPr>
              <m:chr m:val="⃗"/>
            </m:accPr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v</m:t>
              </m:r>
            </m:e>
          </m:acc>
        </m:oMath>
      </m:oMathPara>
    </w:p>
    <w:p>
      <w:r>
        <w:t xml:space="preserve">第九个公式：</w:t>
      </w:r>
    </w:p>
    <w:p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lim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⁡</m:t>
              </m:r>
            </m:e>
            <m:lim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lim>
          </m:limLow>
          <m:r>
            <m:rPr>
              <m:sty m:val="i"/>
            </m:rPr>
            <w:rPr>
              <w:rFonts w:ascii="Cambria Math" w:hAnsi="Cambria Math"/>
            </w:rPr>
            <m:t xml:space="preserve">f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r>
        <w:t xml:space="preserve">第十个公式：</w:t>
      </w:r>
    </w:p>
    <w:p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σ</m:t>
          </m:r>
          <m:groupChr>
            <m:groupChrPr>
              <m:chr m:val="→"/>
              <m:pos m:val="bot"/>
              <m:vertJc m:val="bot"/>
            </m:groupChrPr>
            <m:e>
              <m:argPr>
                <m:argSz m:val="-1"/>
              </m:argPr>
              <m:r>
                <m:rPr>
                  <m:nor/>
                </m:rPr>
                <w:rPr>
                  <w:rFonts w:ascii="Cambria Math" w:hAnsi="Cambria Math"/>
                </w:rPr>
                <m:t xml:space="preserve">范特西-泽尼克</m:t>
              </m:r>
            </m:e>
          </m:groupChr>
          <m:r>
            <m:rPr>
              <m:sty m:val="i"/>
            </m:rPr>
            <w:rPr>
              <w:rFonts w:ascii="Cambria Math" w:hAnsi="Cambria Math"/>
            </w:rPr>
            <m:t xml:space="preserve">γ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Δ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groupChr>
            <m:groupChrPr>
              <m:chr m:val="→"/>
              <m:pos m:val="bot"/>
              <m:vertJc m:val="bot"/>
            </m:groupChrPr>
            <m:e>
              <m:argPr>
                <m:argSz m:val="-1"/>
              </m:argPr>
              <m:r>
                <m:rPr>
                  <m:nor/>
                </m:rPr>
                <w:rPr>
                  <w:rFonts w:ascii="Cambria Math" w:hAnsi="Cambria Math"/>
                </w:rPr>
                <m:t xml:space="preserve">Gamo矩阵</m:t>
              </m:r>
            </m:e>
          </m:groupChr>
          <m:r>
            <m:rPr>
              <m:sty m:val="p"/>
            </m:rPr>
            <w:rPr>
              <w:rFonts w:ascii="Cambria Math" w:hAnsi="Cambria Math"/>
            </w:rPr>
            <m:t xml:space="preserve">{</m:t>
          </m:r>
          <m:r>
            <m:rPr>
              <m:sty m:val="i"/>
            </m:rPr>
            <w:rPr>
              <w:rFonts w:ascii="Cambria Math" w:hAnsi="Cambria Math"/>
            </w:rPr>
            <m:t xml:space="preserve">λ</m:t>
          </m:r>
          <m:r>
            <m:rPr>
              <m:sty m:val="p"/>
            </m:rPr>
            <w:rPr>
              <w:rFonts w:ascii="Cambria Math" w:hAnsi="Cambria Math"/>
            </w:rPr>
            <m:t xml:space="preserve">}</m:t>
          </m:r>
        </m:oMath>
      </m:oMathPara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compat>
    <w:compatSetting w:name="compatibilityMode" w:uri="http://schemas.microsoft.com/office/word" w:val="15"/>
  </w:compat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en-US" w:eastAsia="zh-CN"/>
      </w:rPr>
    </w:rPrDefault>
    <w:pPrDefault>
      <w:pPr>
        <w:spacing w:after="140" w:line="30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spacing w:before="220" w:after="140"/>
    </w:pPr>
    <w:rPr>
      <w:b/>
      <w:color w:val="000000"/>
      <w:sz w:val="36"/>
    </w:rPr>
  </w:style>
  <w:style w:type="paragraph" w:styleId="Heading1">
    <w:name w:val="Heading1"/>
    <w:basedOn w:val="Normal"/>
    <w:next w:val="Normal"/>
    <w:pPr>
      <w:keepNext/>
      <w:spacing w:before="220" w:after="140"/>
    </w:pPr>
    <w:rPr>
      <w:b/>
      <w:color w:val="000000"/>
      <w:sz w:val="30"/>
    </w:rPr>
  </w:style>
  <w:style w:type="paragraph" w:styleId="Heading2">
    <w:name w:val="Heading2"/>
    <w:basedOn w:val="Normal"/>
    <w:next w:val="Normal"/>
    <w:pPr>
      <w:keepNext/>
      <w:spacing w:before="220" w:after="140"/>
    </w:pPr>
    <w:rPr>
      <w:b/>
      <w:color w:val="000000"/>
      <w:sz w:val="28"/>
    </w:rPr>
  </w:style>
  <w:style w:type="paragraph" w:styleId="Heading3">
    <w:name w:val="Heading3"/>
    <w:basedOn w:val="Normal"/>
    <w:next w:val="Normal"/>
    <w:pPr>
      <w:keepNext/>
      <w:spacing w:before="220" w:after="140"/>
    </w:pPr>
    <w:rPr>
      <w:b/>
      <w:color w:val="000000"/>
      <w:sz w:val="26"/>
    </w:rPr>
  </w:style>
  <w:style w:type="paragraph" w:styleId="Heading4">
    <w:name w:val="Heading4"/>
    <w:basedOn w:val="Normal"/>
    <w:next w:val="Normal"/>
    <w:pPr>
      <w:keepNext/>
      <w:spacing w:before="220" w:after="140"/>
    </w:pPr>
    <w:rPr>
      <w:b/>
      <w:color w:val="000000"/>
      <w:sz w:val="24"/>
    </w:rPr>
  </w:style>
  <w:style w:type="paragraph" w:styleId="Heading5">
    <w:name w:val="Heading5"/>
    <w:basedOn w:val="Normal"/>
    <w:next w:val="Normal"/>
    <w:pPr>
      <w:keepNext/>
      <w:spacing w:before="220" w:after="140"/>
    </w:pPr>
    <w:rPr>
      <w:b/>
      <w:color w:val="000000"/>
      <w:sz w:val="22"/>
    </w:rPr>
  </w:style>
  <w:style w:type="paragraph" w:styleId="Heading6">
    <w:name w:val="Heading6"/>
    <w:basedOn w:val="Normal"/>
    <w:next w:val="Normal"/>
    <w:pPr>
      <w:keepNext/>
      <w:spacing w:before="220" w:after="140"/>
    </w:pPr>
    <w:rPr>
      <w:b/>
      <w:color w:val="000000"/>
      <w:sz w:val="20"/>
    </w:rPr>
  </w:style>
  <w:style w:type="paragraph" w:styleId="Code">
    <w:name w:val="Code"/>
    <w:basedOn w:val="Normal"/>
    <w:pPr>
      <w:spacing w:after="0"/>
      <w:shd w:fill="F3F4F6"/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