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15E7" w14:textId="77777777" w:rsidR="00FC0508" w:rsidRDefault="00FC0508" w:rsidP="00FC0508">
      <w:pPr>
        <w:spacing w:after="400"/>
        <w:contextualSpacing/>
        <w:rPr>
          <w:rFonts w:ascii="Calibri" w:hAnsi="Calibri" w:cs="Calibri"/>
          <w:b/>
          <w:bCs/>
          <w:sz w:val="32"/>
          <w:szCs w:val="32"/>
        </w:rPr>
      </w:pPr>
      <w:r w:rsidRPr="00FC0508">
        <w:rPr>
          <w:rFonts w:ascii="Calibri" w:hAnsi="Calibri" w:cs="Calibri"/>
          <w:b/>
          <w:bCs/>
          <w:sz w:val="32"/>
          <w:szCs w:val="32"/>
        </w:rPr>
        <w:t>Accelerating Electric Vehicle Adoption</w:t>
      </w:r>
    </w:p>
    <w:p w14:paraId="66E3647D" w14:textId="26EC673B" w:rsidR="00FC0508" w:rsidRPr="00A817CF" w:rsidRDefault="00FC0508" w:rsidP="00FC0508">
      <w:pPr>
        <w:spacing w:after="400"/>
        <w:contextualSpacing/>
        <w:rPr>
          <w:rFonts w:ascii="Calibri" w:hAnsi="Calibri" w:cs="Calibri"/>
          <w:b/>
          <w:bCs/>
          <w:sz w:val="28"/>
          <w:szCs w:val="28"/>
        </w:rPr>
      </w:pPr>
      <w:r w:rsidRPr="00A817CF">
        <w:rPr>
          <w:rFonts w:ascii="Calibri" w:hAnsi="Calibri" w:cs="Calibri"/>
          <w:i/>
          <w:iCs/>
          <w:sz w:val="28"/>
          <w:szCs w:val="28"/>
        </w:rPr>
        <w:t>A County-Level Predictive Framework for Identifying High-Impact Regions</w:t>
      </w:r>
    </w:p>
    <w:p w14:paraId="074665C4" w14:textId="77777777" w:rsidR="00FC0508" w:rsidRDefault="00FC0508" w:rsidP="00FC0508">
      <w:pPr>
        <w:rPr>
          <w:i/>
          <w:iCs/>
          <w:sz w:val="24"/>
          <w:szCs w:val="24"/>
        </w:rPr>
      </w:pPr>
    </w:p>
    <w:p w14:paraId="0D8D5971" w14:textId="0F609525" w:rsidR="00FC0508" w:rsidRPr="00A817CF" w:rsidRDefault="00FC0508" w:rsidP="00FC0508">
      <w:pPr>
        <w:rPr>
          <w:rFonts w:ascii="Calibri" w:hAnsi="Calibri" w:cs="Calibri"/>
          <w:i/>
          <w:iCs/>
          <w:sz w:val="24"/>
          <w:szCs w:val="24"/>
        </w:rPr>
      </w:pPr>
      <w:r w:rsidRPr="00A817CF">
        <w:rPr>
          <w:rFonts w:ascii="Calibri" w:hAnsi="Calibri" w:cs="Calibri"/>
          <w:i/>
          <w:iCs/>
          <w:sz w:val="24"/>
          <w:szCs w:val="24"/>
        </w:rPr>
        <w:t>Springboard Capstone II</w:t>
      </w:r>
      <w:r w:rsidRPr="00A817CF">
        <w:rPr>
          <w:rFonts w:ascii="Calibri" w:hAnsi="Calibri" w:cs="Calibri"/>
          <w:i/>
          <w:iCs/>
          <w:sz w:val="24"/>
          <w:szCs w:val="24"/>
        </w:rPr>
        <w:t>I</w:t>
      </w:r>
      <w:r w:rsidRPr="00A817CF">
        <w:rPr>
          <w:rFonts w:ascii="Calibri" w:hAnsi="Calibri" w:cs="Calibri"/>
          <w:i/>
          <w:iCs/>
          <w:sz w:val="24"/>
          <w:szCs w:val="24"/>
        </w:rPr>
        <w:t xml:space="preserve"> Project Report</w:t>
      </w:r>
    </w:p>
    <w:p w14:paraId="06FA3EFB" w14:textId="1857EFFB" w:rsidR="00FC0508" w:rsidRPr="00A817CF" w:rsidRDefault="00FC0508" w:rsidP="00FC0508">
      <w:pPr>
        <w:rPr>
          <w:rFonts w:ascii="Calibri" w:hAnsi="Calibri" w:cs="Calibri"/>
          <w:i/>
          <w:iCs/>
          <w:sz w:val="24"/>
          <w:szCs w:val="24"/>
        </w:rPr>
      </w:pPr>
      <w:r w:rsidRPr="00A817CF">
        <w:rPr>
          <w:rFonts w:ascii="Calibri" w:hAnsi="Calibri" w:cs="Calibri"/>
          <w:i/>
          <w:iCs/>
          <w:sz w:val="24"/>
          <w:szCs w:val="24"/>
        </w:rPr>
        <w:t>Sailee Gawande</w:t>
      </w:r>
    </w:p>
    <w:p w14:paraId="7A6B2785" w14:textId="33BD79E6" w:rsidR="00273C16" w:rsidRPr="00FC0508" w:rsidRDefault="00000000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 w:rsidRPr="00FC0508">
        <w:rPr>
          <w:rFonts w:ascii="Calibri" w:hAnsi="Calibri" w:cs="Calibri"/>
          <w:b/>
          <w:bCs/>
          <w:sz w:val="28"/>
          <w:szCs w:val="28"/>
        </w:rPr>
        <w:t>Executive Summary</w:t>
      </w:r>
    </w:p>
    <w:p w14:paraId="7BD80848" w14:textId="2919B06F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Electric vehicle (EV) adoption is growing quickly across the United States but unevenly across regions </w:t>
      </w:r>
      <w:r w:rsidR="00A817CF">
        <w:rPr>
          <w:rFonts w:ascii="Calibri" w:hAnsi="Calibri" w:cs="Calibri"/>
          <w:sz w:val="24"/>
          <w:szCs w:val="24"/>
        </w:rPr>
        <w:t xml:space="preserve">- </w:t>
      </w:r>
      <w:r w:rsidRPr="00FC0508">
        <w:rPr>
          <w:rFonts w:ascii="Calibri" w:hAnsi="Calibri" w:cs="Calibri"/>
          <w:sz w:val="24"/>
          <w:szCs w:val="24"/>
        </w:rPr>
        <w:t>even within the same state. This project develops a data-driven framework to quantify EV adoption at the county level, identify the socioeconomic and infrastructure factors that drive it, and segment regions into actionable investment tiers, using Washington State as a case study.</w:t>
      </w:r>
    </w:p>
    <w:p w14:paraId="29C2B2CF" w14:textId="5EF0AE83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Two complementary models were built on a merged 2017–2025 county-year dataset spanning 39 Washington counties: a Ridge regression model to quantify drivers of EV adoption rate, and a K-Means clustering model to segment counties by adoption profile. The Ridge model explained approximately 96% of the variance in (transformed) adoption rate on a held-out 2024–2025 test set, with prior-year adoption momentum, median income, and charging infrastructure density emerging as the strongest predictors, in that order. The clustering model identified three distinct county segments — a high-income/high-adoption group, a </w:t>
      </w:r>
      <w:r w:rsidR="00957809" w:rsidRPr="00FC0508">
        <w:rPr>
          <w:rFonts w:ascii="Calibri" w:hAnsi="Calibri" w:cs="Calibri"/>
          <w:sz w:val="24"/>
          <w:szCs w:val="24"/>
        </w:rPr>
        <w:t xml:space="preserve">low to </w:t>
      </w:r>
      <w:r w:rsidRPr="00FC0508">
        <w:rPr>
          <w:rFonts w:ascii="Calibri" w:hAnsi="Calibri" w:cs="Calibri"/>
          <w:sz w:val="24"/>
          <w:szCs w:val="24"/>
        </w:rPr>
        <w:t>mid</w:t>
      </w:r>
      <w:r w:rsidR="00957809" w:rsidRPr="00FC0508">
        <w:rPr>
          <w:rFonts w:ascii="Calibri" w:hAnsi="Calibri" w:cs="Calibri"/>
          <w:sz w:val="24"/>
          <w:szCs w:val="24"/>
        </w:rPr>
        <w:t xml:space="preserve"> </w:t>
      </w:r>
      <w:r w:rsidRPr="00FC0508">
        <w:rPr>
          <w:rFonts w:ascii="Calibri" w:hAnsi="Calibri" w:cs="Calibri"/>
          <w:sz w:val="24"/>
          <w:szCs w:val="24"/>
        </w:rPr>
        <w:t>income/infrastructure-supported group, and a single rural "charging desert" outlier (Garfield County)</w:t>
      </w:r>
      <w:r w:rsidR="00957809" w:rsidRPr="00FC0508">
        <w:rPr>
          <w:rFonts w:ascii="Calibri" w:hAnsi="Calibri" w:cs="Calibri"/>
          <w:sz w:val="24"/>
          <w:szCs w:val="24"/>
        </w:rPr>
        <w:t xml:space="preserve">, </w:t>
      </w:r>
      <w:r w:rsidRPr="00FC0508">
        <w:rPr>
          <w:rFonts w:ascii="Calibri" w:hAnsi="Calibri" w:cs="Calibri"/>
          <w:sz w:val="24"/>
          <w:szCs w:val="24"/>
        </w:rPr>
        <w:t>each requiring a different policy strategy.</w:t>
      </w:r>
    </w:p>
    <w:p w14:paraId="5ABB905C" w14:textId="77777777" w:rsidR="00957809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These findings support a three-phase infrastructure and policy prioritization matrix: </w:t>
      </w:r>
    </w:p>
    <w:p w14:paraId="11A37F52" w14:textId="5D72D3FF" w:rsidR="00957809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1</w:t>
      </w:r>
      <w:r w:rsidR="00957809" w:rsidRPr="00FC0508">
        <w:rPr>
          <w:rFonts w:ascii="Calibri" w:hAnsi="Calibri" w:cs="Calibri"/>
          <w:sz w:val="24"/>
          <w:szCs w:val="24"/>
        </w:rPr>
        <w:t>.</w:t>
      </w:r>
      <w:r w:rsidRPr="00FC0508">
        <w:rPr>
          <w:rFonts w:ascii="Calibri" w:hAnsi="Calibri" w:cs="Calibri"/>
          <w:sz w:val="24"/>
          <w:szCs w:val="24"/>
        </w:rPr>
        <w:t xml:space="preserve"> </w:t>
      </w:r>
      <w:r w:rsidR="00957809" w:rsidRPr="00FC0508">
        <w:rPr>
          <w:rFonts w:ascii="Calibri" w:hAnsi="Calibri" w:cs="Calibri"/>
          <w:sz w:val="24"/>
          <w:szCs w:val="24"/>
        </w:rPr>
        <w:t>P</w:t>
      </w:r>
      <w:r w:rsidRPr="00FC0508">
        <w:rPr>
          <w:rFonts w:ascii="Calibri" w:hAnsi="Calibri" w:cs="Calibri"/>
          <w:sz w:val="24"/>
          <w:szCs w:val="24"/>
        </w:rPr>
        <w:t>ublicly funded foundational charging for the rural outlier</w:t>
      </w:r>
      <w:r w:rsidR="00957809" w:rsidRPr="00FC0508">
        <w:rPr>
          <w:rFonts w:ascii="Calibri" w:hAnsi="Calibri" w:cs="Calibri"/>
          <w:sz w:val="24"/>
          <w:szCs w:val="24"/>
        </w:rPr>
        <w:t xml:space="preserve"> county Garfield</w:t>
      </w:r>
      <w:r w:rsidRPr="00FC0508">
        <w:rPr>
          <w:rFonts w:ascii="Calibri" w:hAnsi="Calibri" w:cs="Calibri"/>
          <w:sz w:val="24"/>
          <w:szCs w:val="24"/>
        </w:rPr>
        <w:t xml:space="preserve">, </w:t>
      </w:r>
    </w:p>
    <w:p w14:paraId="79CECBDE" w14:textId="22A458E0" w:rsidR="00957809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2</w:t>
      </w:r>
      <w:r w:rsidR="00957809" w:rsidRPr="00FC0508">
        <w:rPr>
          <w:rFonts w:ascii="Calibri" w:hAnsi="Calibri" w:cs="Calibri"/>
          <w:sz w:val="24"/>
          <w:szCs w:val="24"/>
        </w:rPr>
        <w:t>.</w:t>
      </w:r>
      <w:r w:rsidRPr="00FC0508">
        <w:rPr>
          <w:rFonts w:ascii="Calibri" w:hAnsi="Calibri" w:cs="Calibri"/>
          <w:sz w:val="24"/>
          <w:szCs w:val="24"/>
        </w:rPr>
        <w:t xml:space="preserve"> </w:t>
      </w:r>
      <w:r w:rsidR="00957809" w:rsidRPr="00FC0508">
        <w:rPr>
          <w:rFonts w:ascii="Calibri" w:hAnsi="Calibri" w:cs="Calibri"/>
          <w:sz w:val="24"/>
          <w:szCs w:val="24"/>
        </w:rPr>
        <w:t>D</w:t>
      </w:r>
      <w:r w:rsidRPr="00FC0508">
        <w:rPr>
          <w:rFonts w:ascii="Calibri" w:hAnsi="Calibri" w:cs="Calibri"/>
          <w:sz w:val="24"/>
          <w:szCs w:val="24"/>
        </w:rPr>
        <w:t>emand-side subsidies and infrastructure maintenance for mid-income/infrastructure-rich counties, and</w:t>
      </w:r>
    </w:p>
    <w:p w14:paraId="2D528465" w14:textId="475291C2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3</w:t>
      </w:r>
      <w:r w:rsidR="00957809" w:rsidRPr="00FC0508">
        <w:rPr>
          <w:rFonts w:ascii="Calibri" w:hAnsi="Calibri" w:cs="Calibri"/>
          <w:sz w:val="24"/>
          <w:szCs w:val="24"/>
        </w:rPr>
        <w:t>.</w:t>
      </w:r>
      <w:r w:rsidRPr="00FC0508">
        <w:rPr>
          <w:rFonts w:ascii="Calibri" w:hAnsi="Calibri" w:cs="Calibri"/>
          <w:sz w:val="24"/>
          <w:szCs w:val="24"/>
        </w:rPr>
        <w:t xml:space="preserve"> </w:t>
      </w:r>
      <w:r w:rsidR="00957809" w:rsidRPr="00FC0508">
        <w:rPr>
          <w:rFonts w:ascii="Calibri" w:hAnsi="Calibri" w:cs="Calibri"/>
          <w:sz w:val="24"/>
          <w:szCs w:val="24"/>
        </w:rPr>
        <w:t>R</w:t>
      </w:r>
      <w:r w:rsidRPr="00FC0508">
        <w:rPr>
          <w:rFonts w:ascii="Calibri" w:hAnsi="Calibri" w:cs="Calibri"/>
          <w:sz w:val="24"/>
          <w:szCs w:val="24"/>
        </w:rPr>
        <w:t>eliance on private capital in high-income/high-adoption counties, with limited public investment reserved for underserved pockets.</w:t>
      </w:r>
    </w:p>
    <w:p w14:paraId="51ADDE52" w14:textId="77777777" w:rsidR="00273C16" w:rsidRPr="00FC0508" w:rsidRDefault="00000000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 w:rsidRPr="00FC0508">
        <w:rPr>
          <w:rFonts w:ascii="Calibri" w:hAnsi="Calibri" w:cs="Calibri"/>
          <w:b/>
          <w:bCs/>
          <w:sz w:val="28"/>
          <w:szCs w:val="28"/>
        </w:rPr>
        <w:t>1. Problem Identification &amp; Context</w:t>
      </w:r>
    </w:p>
    <w:p w14:paraId="1636E282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Electric Vehicle adoption has grown significantly in the USA over the past decade, but adoption is very uneven across regions — some counties see rapid adoption while others </w:t>
      </w:r>
      <w:proofErr w:type="gramStart"/>
      <w:r w:rsidRPr="00FC0508">
        <w:rPr>
          <w:rFonts w:ascii="Calibri" w:hAnsi="Calibri" w:cs="Calibri"/>
          <w:sz w:val="24"/>
          <w:szCs w:val="24"/>
        </w:rPr>
        <w:t>lag behind</w:t>
      </w:r>
      <w:proofErr w:type="gramEnd"/>
      <w:r w:rsidRPr="00FC0508">
        <w:rPr>
          <w:rFonts w:ascii="Calibri" w:hAnsi="Calibri" w:cs="Calibri"/>
          <w:sz w:val="24"/>
          <w:szCs w:val="24"/>
        </w:rPr>
        <w:t xml:space="preserve"> despite being in the same state. This variation suggests that socioeconomic, technological, and policy factors interact to drive regional adoption, and this project explores those interactions.</w:t>
      </w:r>
    </w:p>
    <w:p w14:paraId="529C4C39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Conventional (fossil-fuel) transportation contributed roughly 28% of U.S. greenhouse gas emissions in 2022 (EPA), making accelerated EV adoption important for emissions and sustainability goals. However, EV infrastructure — charging networks, incentives, and supply chain investment — is expensive and must be strategically targeted; without data-driven prioritization, investment risks being misallocated to low-impact regions.</w:t>
      </w:r>
    </w:p>
    <w:p w14:paraId="51250CFC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lastRenderedPageBreak/>
        <w:t>This project's objective is to develop a data-driven framework to quantify EV adoption at the county level and identify its key drivers, using Washington State as a case study. EV adoption rate is constructed as the proportion of electric vehicle registrations to total passenger vehicle registrations, at county/year granularity.</w:t>
      </w:r>
    </w:p>
    <w:p w14:paraId="156FF711" w14:textId="77777777" w:rsidR="00273C16" w:rsidRPr="00FC0508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FC0508">
        <w:rPr>
          <w:rFonts w:ascii="Calibri" w:hAnsi="Calibri" w:cs="Calibri"/>
          <w:b/>
          <w:bCs/>
          <w:sz w:val="24"/>
          <w:szCs w:val="24"/>
        </w:rPr>
        <w:t>1.1 Criteria for Success</w:t>
      </w:r>
    </w:p>
    <w:p w14:paraId="036600A6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A Ridge regression model that achieves meaningful explanatory power and identifies significant features driving regional EV adoption.</w:t>
      </w:r>
    </w:p>
    <w:p w14:paraId="7B339FFE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Identification of interpretable, stable EV adoption segments (clusters) to support clear policy strategy.</w:t>
      </w:r>
    </w:p>
    <w:p w14:paraId="068DBC40" w14:textId="04C03E6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Actionable recommendations for </w:t>
      </w:r>
      <w:r w:rsidR="00957809" w:rsidRPr="00FC0508">
        <w:rPr>
          <w:rFonts w:ascii="Calibri" w:hAnsi="Calibri" w:cs="Calibri"/>
          <w:sz w:val="24"/>
          <w:szCs w:val="24"/>
        </w:rPr>
        <w:t xml:space="preserve">EV </w:t>
      </w:r>
      <w:r w:rsidRPr="00FC0508">
        <w:rPr>
          <w:rFonts w:ascii="Calibri" w:hAnsi="Calibri" w:cs="Calibri"/>
          <w:sz w:val="24"/>
          <w:szCs w:val="24"/>
        </w:rPr>
        <w:t>infrastructure investment and policy targeting.</w:t>
      </w:r>
    </w:p>
    <w:p w14:paraId="067BA929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1.2 Scope</w:t>
      </w:r>
    </w:p>
    <w:p w14:paraId="0B163748" w14:textId="77777777" w:rsidR="00957809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In scope: </w:t>
      </w:r>
    </w:p>
    <w:p w14:paraId="44CA77A9" w14:textId="77777777" w:rsidR="00957809" w:rsidRPr="00FC0508" w:rsidRDefault="00957809" w:rsidP="00957809">
      <w:pPr>
        <w:pStyle w:val="ListParagraph"/>
        <w:numPr>
          <w:ilvl w:val="0"/>
          <w:numId w:val="2"/>
        </w:num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F</w:t>
      </w:r>
      <w:r w:rsidR="00000000" w:rsidRPr="00FC0508">
        <w:rPr>
          <w:rFonts w:ascii="Calibri" w:hAnsi="Calibri" w:cs="Calibri"/>
          <w:sz w:val="24"/>
          <w:szCs w:val="24"/>
        </w:rPr>
        <w:t xml:space="preserve">eature engineering and target variable construction, </w:t>
      </w:r>
    </w:p>
    <w:p w14:paraId="64BF2341" w14:textId="36601966" w:rsidR="00957809" w:rsidRPr="00FC0508" w:rsidRDefault="00957809" w:rsidP="00957809">
      <w:pPr>
        <w:pStyle w:val="ListParagraph"/>
        <w:numPr>
          <w:ilvl w:val="0"/>
          <w:numId w:val="2"/>
        </w:num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R</w:t>
      </w:r>
      <w:r w:rsidR="00000000" w:rsidRPr="00FC0508">
        <w:rPr>
          <w:rFonts w:ascii="Calibri" w:hAnsi="Calibri" w:cs="Calibri"/>
          <w:sz w:val="24"/>
          <w:szCs w:val="24"/>
        </w:rPr>
        <w:t>egional EV adoption analysis</w:t>
      </w:r>
    </w:p>
    <w:p w14:paraId="68E6C5B2" w14:textId="0E6EBCA0" w:rsidR="00957809" w:rsidRPr="00FC0508" w:rsidRDefault="00957809" w:rsidP="00957809">
      <w:pPr>
        <w:pStyle w:val="ListParagraph"/>
        <w:numPr>
          <w:ilvl w:val="0"/>
          <w:numId w:val="2"/>
        </w:num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P</w:t>
      </w:r>
      <w:r w:rsidR="00000000" w:rsidRPr="00FC0508">
        <w:rPr>
          <w:rFonts w:ascii="Calibri" w:hAnsi="Calibri" w:cs="Calibri"/>
          <w:sz w:val="24"/>
          <w:szCs w:val="24"/>
        </w:rPr>
        <w:t>redictive modeling of adoption potential, county segmentation</w:t>
      </w:r>
    </w:p>
    <w:p w14:paraId="674D085D" w14:textId="27D8C0BC" w:rsidR="00957809" w:rsidRPr="00FC0508" w:rsidRDefault="00957809" w:rsidP="00957809">
      <w:pPr>
        <w:pStyle w:val="ListParagraph"/>
        <w:numPr>
          <w:ilvl w:val="0"/>
          <w:numId w:val="2"/>
        </w:num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B</w:t>
      </w:r>
      <w:r w:rsidR="00000000" w:rsidRPr="00FC0508">
        <w:rPr>
          <w:rFonts w:ascii="Calibri" w:hAnsi="Calibri" w:cs="Calibri"/>
          <w:sz w:val="24"/>
          <w:szCs w:val="24"/>
        </w:rPr>
        <w:t xml:space="preserve">usiness recommendation framework. </w:t>
      </w:r>
    </w:p>
    <w:p w14:paraId="2504CD8E" w14:textId="77777777" w:rsidR="00957809" w:rsidRPr="00FC0508" w:rsidRDefault="00000000" w:rsidP="00957809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Out of scope:</w:t>
      </w:r>
    </w:p>
    <w:p w14:paraId="34E03E21" w14:textId="19BC422C" w:rsidR="00957809" w:rsidRPr="00FC0508" w:rsidRDefault="00957809" w:rsidP="00957809">
      <w:pPr>
        <w:pStyle w:val="ListParagraph"/>
        <w:numPr>
          <w:ilvl w:val="0"/>
          <w:numId w:val="3"/>
        </w:num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I</w:t>
      </w:r>
      <w:r w:rsidR="00000000" w:rsidRPr="00FC0508">
        <w:rPr>
          <w:rFonts w:ascii="Calibri" w:hAnsi="Calibri" w:cs="Calibri"/>
          <w:sz w:val="24"/>
          <w:szCs w:val="24"/>
        </w:rPr>
        <w:t xml:space="preserve">ndividual consumer-level behavior modeling (not available in the data) and </w:t>
      </w:r>
    </w:p>
    <w:p w14:paraId="51154F6D" w14:textId="1EE143E3" w:rsidR="00273C16" w:rsidRPr="00FC0508" w:rsidRDefault="00957809" w:rsidP="00957809">
      <w:pPr>
        <w:pStyle w:val="ListParagraph"/>
        <w:numPr>
          <w:ilvl w:val="0"/>
          <w:numId w:val="3"/>
        </w:num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C</w:t>
      </w:r>
      <w:r w:rsidR="00000000" w:rsidRPr="00FC0508">
        <w:rPr>
          <w:rFonts w:ascii="Calibri" w:hAnsi="Calibri" w:cs="Calibri"/>
          <w:sz w:val="24"/>
          <w:szCs w:val="24"/>
        </w:rPr>
        <w:t>harging network route-level optimization.</w:t>
      </w:r>
    </w:p>
    <w:p w14:paraId="3994F804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1.3 Stakeholders</w:t>
      </w:r>
    </w:p>
    <w:p w14:paraId="22FB8F1E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Electric vehicle manufacturers</w:t>
      </w:r>
    </w:p>
    <w:p w14:paraId="27AE2753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Government and transportation policymakers (incentive allocation)</w:t>
      </w:r>
    </w:p>
    <w:p w14:paraId="5F27622F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EV charging infrastructure providers</w:t>
      </w:r>
    </w:p>
    <w:p w14:paraId="04EE8669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Utility companies</w:t>
      </w:r>
    </w:p>
    <w:p w14:paraId="4DA71BBF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Sustainability investors</w:t>
      </w:r>
    </w:p>
    <w:p w14:paraId="1EE051AB" w14:textId="77777777" w:rsidR="00273C16" w:rsidRPr="00A817CF" w:rsidRDefault="00000000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 w:rsidRPr="00A817CF">
        <w:rPr>
          <w:rFonts w:ascii="Calibri" w:hAnsi="Calibri" w:cs="Calibri"/>
          <w:b/>
          <w:bCs/>
          <w:sz w:val="28"/>
          <w:szCs w:val="28"/>
        </w:rPr>
        <w:t>2. Data Sources</w:t>
      </w:r>
    </w:p>
    <w:p w14:paraId="1EA9DA73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All data sources are Washington State public data, aggregated to county/year granularity for 2017–2025: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00"/>
      </w:tblGrid>
      <w:tr w:rsidR="00273C16" w:rsidRPr="00FC0508" w14:paraId="69E89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8"/>
          </w:tcPr>
          <w:p w14:paraId="752E32A2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5800" w:type="dxa"/>
            <w:shd w:val="clear" w:color="auto" w:fill="1F4E78"/>
          </w:tcPr>
          <w:p w14:paraId="08596E4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73C16" w:rsidRPr="00FC0508" w14:paraId="77EFBC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BD018A8" w14:textId="18A0A051" w:rsidR="00273C16" w:rsidRPr="00FC0508" w:rsidRDefault="001A6271">
            <w:pPr>
              <w:rPr>
                <w:rFonts w:ascii="Calibri" w:hAnsi="Calibri" w:cs="Calibri"/>
                <w:sz w:val="24"/>
                <w:szCs w:val="24"/>
              </w:rPr>
            </w:pPr>
            <w:hyperlink r:id="rId5" w:history="1">
              <w:r w:rsidR="00000000" w:rsidRPr="001A6271">
                <w:rPr>
                  <w:rStyle w:val="Hyperlink"/>
                  <w:rFonts w:ascii="Calibri" w:hAnsi="Calibri" w:cs="Calibri"/>
                  <w:sz w:val="24"/>
                  <w:szCs w:val="24"/>
                </w:rPr>
                <w:t>Electric Vehicle Population Data</w:t>
              </w:r>
            </w:hyperlink>
            <w:r w:rsidR="00000000" w:rsidRPr="00FC0508">
              <w:rPr>
                <w:rFonts w:ascii="Calibri" w:hAnsi="Calibri" w:cs="Calibri"/>
                <w:sz w:val="24"/>
                <w:szCs w:val="24"/>
              </w:rPr>
              <w:t xml:space="preserve"> (Data.WA.gov)</w:t>
            </w:r>
          </w:p>
        </w:tc>
        <w:tc>
          <w:tcPr>
            <w:tcW w:w="5800" w:type="dxa"/>
          </w:tcPr>
          <w:p w14:paraId="194E9D28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Washington DOL registered EV records: make, model, type, electric range, CAFV eligibility</w:t>
            </w:r>
          </w:p>
        </w:tc>
      </w:tr>
      <w:tr w:rsidR="00273C16" w:rsidRPr="00FC0508" w14:paraId="051227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32DEA2A" w14:textId="135DCA41" w:rsidR="00273C16" w:rsidRPr="00FC0508" w:rsidRDefault="001A6271">
            <w:pPr>
              <w:rPr>
                <w:rFonts w:ascii="Calibri" w:hAnsi="Calibri" w:cs="Calibri"/>
                <w:sz w:val="24"/>
                <w:szCs w:val="24"/>
              </w:rPr>
            </w:pPr>
            <w:hyperlink r:id="rId6" w:history="1">
              <w:r w:rsidR="00000000" w:rsidRPr="001A6271">
                <w:rPr>
                  <w:rStyle w:val="Hyperlink"/>
                  <w:rFonts w:ascii="Calibri" w:hAnsi="Calibri" w:cs="Calibri"/>
                  <w:sz w:val="24"/>
                  <w:szCs w:val="24"/>
                </w:rPr>
                <w:t>Vehicle Registrations by Class and County</w:t>
              </w:r>
            </w:hyperlink>
            <w:r w:rsidR="00000000" w:rsidRPr="00FC0508">
              <w:rPr>
                <w:rFonts w:ascii="Calibri" w:hAnsi="Calibri" w:cs="Calibri"/>
                <w:sz w:val="24"/>
                <w:szCs w:val="24"/>
              </w:rPr>
              <w:t xml:space="preserve"> (Data.WA.gov)</w:t>
            </w:r>
          </w:p>
        </w:tc>
        <w:tc>
          <w:tcPr>
            <w:tcW w:w="5800" w:type="dxa"/>
          </w:tcPr>
          <w:p w14:paraId="537D32C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All passenger vehicle registrations; used as the adoption-rate denominator</w:t>
            </w:r>
          </w:p>
        </w:tc>
      </w:tr>
      <w:tr w:rsidR="00273C16" w:rsidRPr="00FC0508" w14:paraId="75DF86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4853B73" w14:textId="266BFEBF" w:rsidR="00273C16" w:rsidRPr="00FC0508" w:rsidRDefault="001A6271">
            <w:pPr>
              <w:rPr>
                <w:rFonts w:ascii="Calibri" w:hAnsi="Calibri" w:cs="Calibri"/>
                <w:sz w:val="24"/>
                <w:szCs w:val="24"/>
              </w:rPr>
            </w:pPr>
            <w:hyperlink r:id="rId7" w:history="1">
              <w:r w:rsidR="00000000" w:rsidRPr="001A6271">
                <w:rPr>
                  <w:rStyle w:val="Hyperlink"/>
                  <w:rFonts w:ascii="Calibri" w:hAnsi="Calibri" w:cs="Calibri"/>
                  <w:sz w:val="24"/>
                  <w:szCs w:val="24"/>
                </w:rPr>
                <w:t>Median Household Income Estimates</w:t>
              </w:r>
            </w:hyperlink>
            <w:r w:rsidR="00000000" w:rsidRPr="00FC0508">
              <w:rPr>
                <w:rFonts w:ascii="Calibri" w:hAnsi="Calibri" w:cs="Calibri"/>
                <w:sz w:val="24"/>
                <w:szCs w:val="24"/>
              </w:rPr>
              <w:t xml:space="preserve"> (OFM)</w:t>
            </w:r>
          </w:p>
        </w:tc>
        <w:tc>
          <w:tcPr>
            <w:tcW w:w="5800" w:type="dxa"/>
          </w:tcPr>
          <w:p w14:paraId="264666B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County-level median household income</w:t>
            </w:r>
          </w:p>
        </w:tc>
      </w:tr>
      <w:tr w:rsidR="00273C16" w:rsidRPr="00FC0508" w14:paraId="1D5839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08D08B4" w14:textId="77777777" w:rsidR="00273C16" w:rsidRDefault="001A6271">
            <w:pPr>
              <w:rPr>
                <w:rFonts w:ascii="Calibri" w:hAnsi="Calibri" w:cs="Calibri"/>
                <w:sz w:val="24"/>
                <w:szCs w:val="24"/>
              </w:rPr>
            </w:pPr>
            <w:hyperlink r:id="rId8" w:history="1">
              <w:r w:rsidR="00000000" w:rsidRPr="001A6271">
                <w:rPr>
                  <w:rStyle w:val="Hyperlink"/>
                  <w:rFonts w:ascii="Calibri" w:hAnsi="Calibri" w:cs="Calibri"/>
                  <w:sz w:val="24"/>
                  <w:szCs w:val="24"/>
                </w:rPr>
                <w:t>Population Estimates (OFM)</w:t>
              </w:r>
            </w:hyperlink>
          </w:p>
          <w:p w14:paraId="1B3E488E" w14:textId="22085B75" w:rsidR="001A6271" w:rsidRPr="00FC0508" w:rsidRDefault="001A6271">
            <w:pPr>
              <w:rPr>
                <w:rFonts w:ascii="Calibri" w:hAnsi="Calibri" w:cs="Calibri"/>
                <w:sz w:val="24"/>
                <w:szCs w:val="24"/>
              </w:rPr>
            </w:pPr>
            <w:hyperlink r:id="rId9" w:history="1">
              <w:r w:rsidRPr="001A6271">
                <w:rPr>
                  <w:rStyle w:val="Hyperlink"/>
                  <w:rFonts w:ascii="Calibri" w:hAnsi="Calibri" w:cs="Calibri"/>
                  <w:sz w:val="24"/>
                  <w:szCs w:val="24"/>
                </w:rPr>
                <w:t>Population Archive</w:t>
              </w:r>
            </w:hyperlink>
          </w:p>
        </w:tc>
        <w:tc>
          <w:tcPr>
            <w:tcW w:w="5800" w:type="dxa"/>
          </w:tcPr>
          <w:p w14:paraId="3F7241EF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County-level population</w:t>
            </w:r>
          </w:p>
        </w:tc>
      </w:tr>
      <w:tr w:rsidR="00273C16" w:rsidRPr="00FC0508" w14:paraId="6D78FA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C974F63" w14:textId="06885EEB" w:rsidR="00273C16" w:rsidRPr="00FC0508" w:rsidRDefault="001A6271">
            <w:pPr>
              <w:rPr>
                <w:rFonts w:ascii="Calibri" w:hAnsi="Calibri" w:cs="Calibri"/>
                <w:sz w:val="24"/>
                <w:szCs w:val="24"/>
              </w:rPr>
            </w:pPr>
            <w:hyperlink r:id="rId10" w:history="1">
              <w:r w:rsidR="00000000" w:rsidRPr="001A6271">
                <w:rPr>
                  <w:rStyle w:val="Hyperlink"/>
                  <w:rFonts w:ascii="Calibri" w:hAnsi="Calibri" w:cs="Calibri"/>
                  <w:sz w:val="24"/>
                  <w:szCs w:val="24"/>
                </w:rPr>
                <w:t>EV Charging Stations Data (WSDOT)</w:t>
              </w:r>
            </w:hyperlink>
          </w:p>
        </w:tc>
        <w:tc>
          <w:tcPr>
            <w:tcW w:w="5800" w:type="dxa"/>
          </w:tcPr>
          <w:p w14:paraId="33CD7E74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Public EV charging station locations and counts</w:t>
            </w:r>
          </w:p>
        </w:tc>
      </w:tr>
    </w:tbl>
    <w:p w14:paraId="5539D845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i/>
          <w:iCs/>
          <w:sz w:val="24"/>
          <w:szCs w:val="24"/>
        </w:rPr>
        <w:t>The median income, population, and charging station datasets were pre-merged into a single supporting file prior to the data wrangling step.</w:t>
      </w:r>
    </w:p>
    <w:p w14:paraId="272AB499" w14:textId="77777777" w:rsidR="00273C16" w:rsidRPr="00A817CF" w:rsidRDefault="00000000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 w:rsidRPr="00A817CF">
        <w:rPr>
          <w:rFonts w:ascii="Calibri" w:hAnsi="Calibri" w:cs="Calibri"/>
          <w:b/>
          <w:bCs/>
          <w:sz w:val="28"/>
          <w:szCs w:val="28"/>
        </w:rPr>
        <w:t>3. Methodology</w:t>
      </w:r>
    </w:p>
    <w:p w14:paraId="2C5F09C8" w14:textId="43F7D8C1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Th</w:t>
      </w:r>
      <w:r w:rsidR="001A6271">
        <w:rPr>
          <w:rFonts w:ascii="Calibri" w:hAnsi="Calibri" w:cs="Calibri"/>
          <w:sz w:val="24"/>
          <w:szCs w:val="24"/>
        </w:rPr>
        <w:t>is</w:t>
      </w:r>
      <w:r w:rsidRPr="00FC0508">
        <w:rPr>
          <w:rFonts w:ascii="Calibri" w:hAnsi="Calibri" w:cs="Calibri"/>
          <w:sz w:val="24"/>
          <w:szCs w:val="24"/>
        </w:rPr>
        <w:t xml:space="preserve"> project followed the standard data science method: problem identification, data wrangling, exploratory data analysis, preprocessing and training</w:t>
      </w:r>
      <w:r w:rsidR="001A6271">
        <w:rPr>
          <w:rFonts w:ascii="Calibri" w:hAnsi="Calibri" w:cs="Calibri"/>
          <w:sz w:val="24"/>
          <w:szCs w:val="24"/>
        </w:rPr>
        <w:t>/test</w:t>
      </w:r>
      <w:r w:rsidRPr="00FC0508">
        <w:rPr>
          <w:rFonts w:ascii="Calibri" w:hAnsi="Calibri" w:cs="Calibri"/>
          <w:sz w:val="24"/>
          <w:szCs w:val="24"/>
        </w:rPr>
        <w:t xml:space="preserve"> set development, modeling, and documentation.</w:t>
      </w:r>
    </w:p>
    <w:p w14:paraId="5506F9F9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3.1 Data Wrangling</w:t>
      </w:r>
    </w:p>
    <w:p w14:paraId="07B0A7C4" w14:textId="1768EB4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Three </w:t>
      </w:r>
      <w:r w:rsidR="001A6271">
        <w:rPr>
          <w:rFonts w:ascii="Calibri" w:hAnsi="Calibri" w:cs="Calibri"/>
          <w:sz w:val="24"/>
          <w:szCs w:val="24"/>
        </w:rPr>
        <w:t xml:space="preserve">data </w:t>
      </w:r>
      <w:r w:rsidRPr="00FC0508">
        <w:rPr>
          <w:rFonts w:ascii="Calibri" w:hAnsi="Calibri" w:cs="Calibri"/>
          <w:sz w:val="24"/>
          <w:szCs w:val="24"/>
        </w:rPr>
        <w:t>sources — EV registrations, all-vehicle registrations, and socioeconomic/infrastructure data — were cleaned, standardized, and merged to the county-year grain (39 Washington counties, 2017–2025).</w:t>
      </w:r>
    </w:p>
    <w:p w14:paraId="1F20C9AB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Filtered EV data to Washington State only; dropped fields not needed for county-level analysis (Legislative District, Vehicle Location, 2020 Census Tract).</w:t>
      </w:r>
    </w:p>
    <w:p w14:paraId="47E57931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Imputed a small number of missing Electric Range values using make/model medians, with one external lookup applied for a model with no comparable in-dataset records.</w:t>
      </w:r>
    </w:p>
    <w:p w14:paraId="49671EFF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Aggregated EV records to county-year level: BEV/PHEV mix, CAFV eligibility rate, and EV counts by model year.</w:t>
      </w:r>
    </w:p>
    <w:p w14:paraId="141D0072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Aggregated all-vehicle registrations to county-year totals and EV-only subtotals, then merged with the EV aggregate.</w:t>
      </w:r>
    </w:p>
    <w:p w14:paraId="37A6C6CB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Merged in the socioeconomic/infrastructure support dataset (population, median income, charging stations) by county and year.</w:t>
      </w:r>
    </w:p>
    <w:p w14:paraId="14252820" w14:textId="6513F311" w:rsidR="00273C16" w:rsidRPr="00FC0508" w:rsidRDefault="00000000">
      <w:pPr>
        <w:pStyle w:val="ListParagraph"/>
        <w:numPr>
          <w:ilvl w:val="0"/>
          <w:numId w:val="1"/>
        </w:numPr>
        <w:spacing w:after="10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b/>
          <w:bCs/>
          <w:sz w:val="24"/>
          <w:szCs w:val="24"/>
        </w:rPr>
        <w:t xml:space="preserve">Target variable — EV Adoption Rate: </w:t>
      </w:r>
      <w:r w:rsidR="002018AE">
        <w:rPr>
          <w:rFonts w:ascii="Calibri" w:hAnsi="Calibri" w:cs="Calibri"/>
          <w:b/>
          <w:bCs/>
          <w:sz w:val="24"/>
          <w:szCs w:val="24"/>
        </w:rPr>
        <w:t>(</w:t>
      </w:r>
      <w:r w:rsidRPr="00FC0508">
        <w:rPr>
          <w:rFonts w:ascii="Calibri" w:hAnsi="Calibri" w:cs="Calibri"/>
          <w:sz w:val="24"/>
          <w:szCs w:val="24"/>
        </w:rPr>
        <w:t>registered electric vehicles ÷ total registered passenger vehicles,</w:t>
      </w:r>
      <w:r w:rsidR="002018AE">
        <w:rPr>
          <w:rFonts w:ascii="Calibri" w:hAnsi="Calibri" w:cs="Calibri"/>
          <w:sz w:val="24"/>
          <w:szCs w:val="24"/>
        </w:rPr>
        <w:t xml:space="preserve">) x </w:t>
      </w:r>
      <w:r w:rsidRPr="00FC0508">
        <w:rPr>
          <w:rFonts w:ascii="Calibri" w:hAnsi="Calibri" w:cs="Calibri"/>
          <w:sz w:val="24"/>
          <w:szCs w:val="24"/>
        </w:rPr>
        <w:t>100, at county/year level.</w:t>
      </w:r>
    </w:p>
    <w:p w14:paraId="708106F3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Additional engineered features included EV growth rate, EV adoption lag (constructed using strictly prior-year values to prevent temporal leakage), a high-adoption flag, adoption segment tiers, income per vehicle, and EV charging density (charging stations per capita).</w:t>
      </w:r>
    </w:p>
    <w:p w14:paraId="20F48261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During validation, average BEV range was found to be implausibly low starting around 2021; further research confirmed that Washington State stopped tracking BEV electric range in its official data after 2020. The range-related fields (bev_avg_range, phev_avg_range, </w:t>
      </w:r>
      <w:r w:rsidRPr="00FC0508">
        <w:rPr>
          <w:rFonts w:ascii="Calibri" w:hAnsi="Calibri" w:cs="Calibri"/>
          <w:sz w:val="24"/>
          <w:szCs w:val="24"/>
        </w:rPr>
        <w:lastRenderedPageBreak/>
        <w:t>range_missing_rate) were dropped as unusable for modeling — a data availability limitation rather than a modeling choice.</w:t>
      </w:r>
    </w:p>
    <w:p w14:paraId="5F3A7E81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3.2 Exploratory Data Analysis</w:t>
      </w:r>
    </w:p>
    <w:p w14:paraId="62140EB3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EDA focused on understanding feature and target distributions, feature relationships, time trends, and model readiness.</w:t>
      </w:r>
    </w:p>
    <w:p w14:paraId="3684E230" w14:textId="77777777" w:rsidR="00273C16" w:rsidRPr="00A817CF" w:rsidRDefault="00000000">
      <w:pPr>
        <w:pStyle w:val="Heading3"/>
        <w:spacing w:before="220" w:after="120"/>
        <w:rPr>
          <w:rFonts w:ascii="Calibri" w:hAnsi="Calibri" w:cs="Calibri"/>
          <w:b/>
          <w:bCs/>
        </w:rPr>
      </w:pPr>
      <w:r w:rsidRPr="00A817CF">
        <w:rPr>
          <w:rFonts w:ascii="Calibri" w:hAnsi="Calibri" w:cs="Calibri"/>
          <w:b/>
          <w:bCs/>
        </w:rPr>
        <w:t>3.2.1 Distributions</w:t>
      </w:r>
    </w:p>
    <w:p w14:paraId="22E61A44" w14:textId="3B1C1DB9" w:rsidR="00273C16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EV adoption rate, EV adoption lag, population, and EV charging density/stations were all </w:t>
      </w:r>
      <w:proofErr w:type="gramStart"/>
      <w:r w:rsidRPr="00FC0508">
        <w:rPr>
          <w:rFonts w:ascii="Calibri" w:hAnsi="Calibri" w:cs="Calibri"/>
          <w:sz w:val="24"/>
          <w:szCs w:val="24"/>
        </w:rPr>
        <w:t>right-skewed</w:t>
      </w:r>
      <w:proofErr w:type="gramEnd"/>
      <w:r w:rsidRPr="00FC0508">
        <w:rPr>
          <w:rFonts w:ascii="Calibri" w:hAnsi="Calibri" w:cs="Calibri"/>
          <w:sz w:val="24"/>
          <w:szCs w:val="24"/>
        </w:rPr>
        <w:t>, indicating a need for transformation prior to modeling. CAFV eligibility rate and BEV share</w:t>
      </w:r>
      <w:r w:rsidR="002018AE">
        <w:rPr>
          <w:rFonts w:ascii="Calibri" w:hAnsi="Calibri" w:cs="Calibri"/>
          <w:sz w:val="24"/>
          <w:szCs w:val="24"/>
        </w:rPr>
        <w:t xml:space="preserve"> (from all EVs)</w:t>
      </w:r>
      <w:r w:rsidRPr="00FC0508">
        <w:rPr>
          <w:rFonts w:ascii="Calibri" w:hAnsi="Calibri" w:cs="Calibri"/>
          <w:sz w:val="24"/>
          <w:szCs w:val="24"/>
        </w:rPr>
        <w:t xml:space="preserve"> were left-skewed, reflecting the dominance of high-eligibility, BEV</w:t>
      </w:r>
      <w:r w:rsidR="002018AE">
        <w:rPr>
          <w:rFonts w:ascii="Calibri" w:hAnsi="Calibri" w:cs="Calibri"/>
          <w:sz w:val="24"/>
          <w:szCs w:val="24"/>
        </w:rPr>
        <w:t xml:space="preserve"> share (from amongst all EVs)</w:t>
      </w:r>
      <w:r w:rsidRPr="00FC0508">
        <w:rPr>
          <w:rFonts w:ascii="Calibri" w:hAnsi="Calibri" w:cs="Calibri"/>
          <w:sz w:val="24"/>
          <w:szCs w:val="24"/>
        </w:rPr>
        <w:t>-heavy counties.</w:t>
      </w:r>
    </w:p>
    <w:p w14:paraId="56C69830" w14:textId="279B474A" w:rsidR="00FE499D" w:rsidRDefault="00FE499D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B0AA506" wp14:editId="133B6FFE">
            <wp:extent cx="5943600" cy="1953260"/>
            <wp:effectExtent l="0" t="0" r="0" b="8890"/>
            <wp:docPr id="18026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5803" name="Picture 1802615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A4DE" w14:textId="7DA47EA3" w:rsidR="00FE499D" w:rsidRDefault="00FE499D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A9B276E" wp14:editId="275216A5">
            <wp:extent cx="5943600" cy="1953260"/>
            <wp:effectExtent l="0" t="0" r="0" b="8890"/>
            <wp:docPr id="179494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2548" name="Picture 17949425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27E3" w14:textId="18DF91C0" w:rsidR="00FE499D" w:rsidRDefault="0035527C">
      <w:pPr>
        <w:spacing w:after="160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F703E7D" wp14:editId="50B421E0">
            <wp:extent cx="5943600" cy="1953260"/>
            <wp:effectExtent l="0" t="0" r="0" b="8890"/>
            <wp:docPr id="1360087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7503" name="Picture 13600875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B026" w14:textId="00919994" w:rsidR="0035527C" w:rsidRPr="00FC0508" w:rsidRDefault="0035527C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CBD69A7" wp14:editId="05C77A86">
            <wp:extent cx="5943600" cy="1953260"/>
            <wp:effectExtent l="0" t="0" r="0" b="8890"/>
            <wp:docPr id="2034918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18382" name="Picture 20349183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5979" w14:textId="77777777" w:rsidR="00273C16" w:rsidRPr="00A817CF" w:rsidRDefault="00000000">
      <w:pPr>
        <w:pStyle w:val="Heading3"/>
        <w:spacing w:before="220" w:after="120"/>
        <w:rPr>
          <w:rFonts w:ascii="Calibri" w:hAnsi="Calibri" w:cs="Calibri"/>
          <w:b/>
          <w:bCs/>
        </w:rPr>
      </w:pPr>
      <w:r w:rsidRPr="00A817CF">
        <w:rPr>
          <w:rFonts w:ascii="Calibri" w:hAnsi="Calibri" w:cs="Calibri"/>
          <w:b/>
          <w:bCs/>
        </w:rPr>
        <w:t>3.2.2 Bivariate Relationships with Adoption Rate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00"/>
      </w:tblGrid>
      <w:tr w:rsidR="00273C16" w:rsidRPr="00FC0508" w14:paraId="5D4263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8"/>
          </w:tcPr>
          <w:p w14:paraId="06976EB2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5800" w:type="dxa"/>
            <w:shd w:val="clear" w:color="auto" w:fill="1F4E78"/>
          </w:tcPr>
          <w:p w14:paraId="7A7E6054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Correlation with EV Adoption Rate</w:t>
            </w:r>
          </w:p>
        </w:tc>
      </w:tr>
      <w:tr w:rsidR="00273C16" w:rsidRPr="00FC0508" w14:paraId="0EA05C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6E3046B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ev_adoption_lag</w:t>
            </w:r>
          </w:p>
        </w:tc>
        <w:tc>
          <w:tcPr>
            <w:tcW w:w="5800" w:type="dxa"/>
          </w:tcPr>
          <w:p w14:paraId="5E2D659F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0.99</w:t>
            </w:r>
          </w:p>
        </w:tc>
      </w:tr>
      <w:tr w:rsidR="00273C16" w:rsidRPr="00FC0508" w14:paraId="2A02BD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8F85004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median_income</w:t>
            </w:r>
          </w:p>
        </w:tc>
        <w:tc>
          <w:tcPr>
            <w:tcW w:w="5800" w:type="dxa"/>
          </w:tcPr>
          <w:p w14:paraId="29227582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0.77</w:t>
            </w:r>
          </w:p>
        </w:tc>
      </w:tr>
      <w:tr w:rsidR="00273C16" w:rsidRPr="00FC0508" w14:paraId="6B99E0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634E5E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ev_charging_density</w:t>
            </w:r>
          </w:p>
        </w:tc>
        <w:tc>
          <w:tcPr>
            <w:tcW w:w="5800" w:type="dxa"/>
          </w:tcPr>
          <w:p w14:paraId="7663BEC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0.63</w:t>
            </w:r>
          </w:p>
        </w:tc>
      </w:tr>
      <w:tr w:rsidR="00273C16" w:rsidRPr="00FC0508" w14:paraId="03CE17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9347EBB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ev_charging_stations</w:t>
            </w:r>
          </w:p>
        </w:tc>
        <w:tc>
          <w:tcPr>
            <w:tcW w:w="5800" w:type="dxa"/>
          </w:tcPr>
          <w:p w14:paraId="3DEE8E1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0.58</w:t>
            </w:r>
          </w:p>
        </w:tc>
      </w:tr>
      <w:tr w:rsidR="00273C16" w:rsidRPr="00FC0508" w14:paraId="321276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4672DE3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population</w:t>
            </w:r>
          </w:p>
        </w:tc>
        <w:tc>
          <w:tcPr>
            <w:tcW w:w="5800" w:type="dxa"/>
          </w:tcPr>
          <w:p w14:paraId="55582864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0.43</w:t>
            </w:r>
          </w:p>
        </w:tc>
      </w:tr>
      <w:tr w:rsidR="00273C16" w:rsidRPr="00FC0508" w14:paraId="05526C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9623EE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cafv_eligibility_rate</w:t>
            </w:r>
          </w:p>
        </w:tc>
        <w:tc>
          <w:tcPr>
            <w:tcW w:w="5800" w:type="dxa"/>
          </w:tcPr>
          <w:p w14:paraId="1912E7C7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0.31</w:t>
            </w:r>
          </w:p>
        </w:tc>
      </w:tr>
      <w:tr w:rsidR="00273C16" w:rsidRPr="00FC0508" w14:paraId="5F0E5D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62A6DD5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bev_ratio_within_ev</w:t>
            </w:r>
          </w:p>
        </w:tc>
        <w:tc>
          <w:tcPr>
            <w:tcW w:w="5800" w:type="dxa"/>
          </w:tcPr>
          <w:p w14:paraId="64C47020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0.24</w:t>
            </w:r>
          </w:p>
        </w:tc>
      </w:tr>
      <w:tr w:rsidR="00273C16" w:rsidRPr="00FC0508" w14:paraId="39B6D3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516BAB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ev_growth_rate</w:t>
            </w:r>
          </w:p>
        </w:tc>
        <w:tc>
          <w:tcPr>
            <w:tcW w:w="5800" w:type="dxa"/>
          </w:tcPr>
          <w:p w14:paraId="1405B328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0.07</w:t>
            </w:r>
          </w:p>
        </w:tc>
      </w:tr>
      <w:tr w:rsidR="00273C16" w:rsidRPr="00FC0508" w14:paraId="5EC1A0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5E0C57D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income_per_vehicle</w:t>
            </w:r>
          </w:p>
        </w:tc>
        <w:tc>
          <w:tcPr>
            <w:tcW w:w="5800" w:type="dxa"/>
          </w:tcPr>
          <w:p w14:paraId="0B0520A2" w14:textId="73D30F36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-0.1</w:t>
            </w:r>
            <w:r w:rsidR="0035527C">
              <w:rPr>
                <w:rFonts w:ascii="Calibri" w:hAnsi="Calibri" w:cs="Calibri"/>
                <w:sz w:val="24"/>
                <w:szCs w:val="24"/>
              </w:rPr>
              <w:t>6</w:t>
            </w:r>
            <w:r w:rsidRPr="00FC0508">
              <w:rPr>
                <w:rFonts w:ascii="Calibri" w:hAnsi="Calibri" w:cs="Calibri"/>
                <w:sz w:val="24"/>
                <w:szCs w:val="24"/>
              </w:rPr>
              <w:t xml:space="preserve"> (distorted by rural outliers)</w:t>
            </w:r>
          </w:p>
        </w:tc>
      </w:tr>
      <w:tr w:rsidR="00273C16" w:rsidRPr="00FC0508" w14:paraId="28CD30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53BCF53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new_ev_purchase_ratio</w:t>
            </w:r>
          </w:p>
        </w:tc>
        <w:tc>
          <w:tcPr>
            <w:tcW w:w="5800" w:type="dxa"/>
          </w:tcPr>
          <w:p w14:paraId="228D7BA5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-0.36 (distorted by reporting lag)</w:t>
            </w:r>
          </w:p>
        </w:tc>
      </w:tr>
    </w:tbl>
    <w:p w14:paraId="62C1C445" w14:textId="77777777" w:rsidR="00273C16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Income per vehicle and new EV purchase ratio both showed extreme outlier-driven distortion (small rural vehicle counts and end-of-timeline registration reporting lag, respectively) and were excluded from modeling rather than corrected, since the anomalies reflected data artifacts rather than genuine signal.</w:t>
      </w:r>
    </w:p>
    <w:p w14:paraId="47BF692D" w14:textId="58093B2B" w:rsidR="0035527C" w:rsidRDefault="0035527C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52FB73C" wp14:editId="02FB826E">
            <wp:extent cx="5943600" cy="5203190"/>
            <wp:effectExtent l="0" t="0" r="0" b="0"/>
            <wp:docPr id="1664044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4651" name="Picture 16640446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E66F" w14:textId="0A495E9A" w:rsidR="00A422A1" w:rsidRDefault="00A422A1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BBEF284" wp14:editId="5D2923BC">
            <wp:extent cx="5943600" cy="4914900"/>
            <wp:effectExtent l="0" t="0" r="0" b="0"/>
            <wp:docPr id="980221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1679" name="Picture 98022167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CB2EE" w14:textId="77777777" w:rsidR="00A422A1" w:rsidRPr="00FC0508" w:rsidRDefault="00A422A1">
      <w:pPr>
        <w:spacing w:after="160"/>
        <w:rPr>
          <w:rFonts w:ascii="Calibri" w:hAnsi="Calibri" w:cs="Calibri"/>
          <w:sz w:val="24"/>
          <w:szCs w:val="24"/>
        </w:rPr>
      </w:pPr>
    </w:p>
    <w:p w14:paraId="3E9378E9" w14:textId="77777777" w:rsidR="00273C16" w:rsidRPr="00A817CF" w:rsidRDefault="00000000">
      <w:pPr>
        <w:pStyle w:val="Heading3"/>
        <w:spacing w:before="220" w:after="120"/>
        <w:rPr>
          <w:rFonts w:ascii="Calibri" w:hAnsi="Calibri" w:cs="Calibri"/>
          <w:b/>
          <w:bCs/>
        </w:rPr>
      </w:pPr>
      <w:r w:rsidRPr="00A817CF">
        <w:rPr>
          <w:rFonts w:ascii="Calibri" w:hAnsi="Calibri" w:cs="Calibri"/>
          <w:b/>
          <w:bCs/>
        </w:rPr>
        <w:t>3.2.3 Time Trends</w:t>
      </w:r>
    </w:p>
    <w:p w14:paraId="3A92676C" w14:textId="77777777" w:rsidR="00273C16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Socioeconomic indicators (income, population) grew steadily from 2017–2025. EV adoption rate, adoption lag, and charging infrastructure all showed accelerating, near-exponential growth over the same period. CAFV eligibility and EV technology mix showed early momentum followed by stabilization, consistent with a maturing market.</w:t>
      </w:r>
    </w:p>
    <w:p w14:paraId="2A4A0D2B" w14:textId="564C8D4F" w:rsidR="00427425" w:rsidRDefault="00FF375B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51D5E5F1" wp14:editId="729BB3E8">
            <wp:extent cx="5943600" cy="4443730"/>
            <wp:effectExtent l="0" t="0" r="0" b="0"/>
            <wp:docPr id="1685641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1802" name="Picture 16856418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F640" w14:textId="2C83EA4B" w:rsidR="00FF375B" w:rsidRPr="00FC0508" w:rsidRDefault="00190BB5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5BBFF75E" wp14:editId="6948EF8E">
            <wp:extent cx="5754636" cy="4291593"/>
            <wp:effectExtent l="0" t="0" r="0" b="0"/>
            <wp:docPr id="1146352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2224" name="Picture 11463522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36" cy="42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7FD7" w14:textId="77777777" w:rsidR="00273C16" w:rsidRPr="00A817CF" w:rsidRDefault="00000000">
      <w:pPr>
        <w:pStyle w:val="Heading3"/>
        <w:spacing w:before="220" w:after="120"/>
        <w:rPr>
          <w:rFonts w:ascii="Calibri" w:hAnsi="Calibri" w:cs="Calibri"/>
          <w:b/>
          <w:bCs/>
        </w:rPr>
      </w:pPr>
      <w:r w:rsidRPr="00A817CF">
        <w:rPr>
          <w:rFonts w:ascii="Calibri" w:hAnsi="Calibri" w:cs="Calibri"/>
          <w:b/>
          <w:bCs/>
        </w:rPr>
        <w:t>3.2.4 Feature Transformation &amp; Multicollinearity</w:t>
      </w:r>
    </w:p>
    <w:p w14:paraId="31B31A45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Log transformation reduced but did not fully normalize skew in several key features. A Yeo–Johnson power transform was applied instead to population, median income, EV charging density, EV adoption lag, and the target variable, producing more model-friendly (though still non-normal, block-shaped) distributions. Because Ridge regression's core requirement is normally distributed residuals — not normally distributed inputs — and Ridge's L2 penalty stabilizes coefficients under non-normal feature distributions, this was judged acceptable. A variance inflation factor (VIF) check confirmed low multicollinearity across the retained feature set (all VIF values below 4.3).</w:t>
      </w:r>
    </w:p>
    <w:p w14:paraId="3F03A7A0" w14:textId="77777777" w:rsidR="00273C16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Weakly correlated or anomaly-prone features (income_per_vehicle, new_ev_purchase_ratio, bev_ratio_within_ev, cafv_eligibility_rate, ev_charging_stations, ev_growth_rate) were dropped from the modeling dataset, leaving a compact, low-collinearity feature set.</w:t>
      </w:r>
    </w:p>
    <w:p w14:paraId="7C4DF49E" w14:textId="40D5C4CB" w:rsidR="003D23CF" w:rsidRPr="00FC0508" w:rsidRDefault="00191DA0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3EB8173" wp14:editId="23596B0A">
            <wp:extent cx="5800356" cy="3343663"/>
            <wp:effectExtent l="0" t="0" r="0" b="9525"/>
            <wp:docPr id="1264645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502" name="Picture 1264645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356" cy="334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87CF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3.3 Preprocessing &amp; Training Set Development</w:t>
      </w:r>
    </w:p>
    <w:p w14:paraId="3560CC25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Two feature sets were finalized for the two modeling approaches:</w:t>
      </w:r>
    </w:p>
    <w:p w14:paraId="5D8466E7" w14:textId="77777777" w:rsidR="00273C16" w:rsidRPr="00FC0508" w:rsidRDefault="00000000">
      <w:pPr>
        <w:pStyle w:val="ListParagraph"/>
        <w:numPr>
          <w:ilvl w:val="0"/>
          <w:numId w:val="1"/>
        </w:numPr>
        <w:spacing w:after="10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b/>
          <w:bCs/>
          <w:sz w:val="24"/>
          <w:szCs w:val="24"/>
        </w:rPr>
        <w:t xml:space="preserve">Ridge Regression features: </w:t>
      </w:r>
      <w:r w:rsidRPr="00FC0508">
        <w:rPr>
          <w:rFonts w:ascii="Calibri" w:hAnsi="Calibri" w:cs="Calibri"/>
          <w:sz w:val="24"/>
          <w:szCs w:val="24"/>
        </w:rPr>
        <w:t>yj_population, yj_median_income, yj_ev_adoption_lag, yj_ev_charging_density, has_charging_infrastructure, lag_missing_flag</w:t>
      </w:r>
    </w:p>
    <w:p w14:paraId="3B6CA65A" w14:textId="77777777" w:rsidR="00273C16" w:rsidRPr="00FC0508" w:rsidRDefault="00000000">
      <w:pPr>
        <w:pStyle w:val="ListParagraph"/>
        <w:numPr>
          <w:ilvl w:val="0"/>
          <w:numId w:val="1"/>
        </w:numPr>
        <w:spacing w:after="10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b/>
          <w:bCs/>
          <w:sz w:val="24"/>
          <w:szCs w:val="24"/>
        </w:rPr>
        <w:t xml:space="preserve">K-Means features: </w:t>
      </w:r>
      <w:r w:rsidRPr="00FC0508">
        <w:rPr>
          <w:rFonts w:ascii="Calibri" w:hAnsi="Calibri" w:cs="Calibri"/>
          <w:sz w:val="24"/>
          <w:szCs w:val="24"/>
        </w:rPr>
        <w:t>yj_population, yj_median_income, yj_ev_charging_density, has_charging_infrastructure</w:t>
      </w:r>
    </w:p>
    <w:p w14:paraId="52369CE4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County was intentionally excluded as a model feature — for regression, to keep coefficients generalizable rather than county-memorized; for clustering, to avoid geography-driven clusters that would defeat the purpose of behavioral segmentation. County and year were retained as reference columns for interpretation.</w:t>
      </w:r>
    </w:p>
    <w:p w14:paraId="142DBAA3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Because the dataset is a county-year panel / time series, a time-aware split was used: training data covers 2017–2023 and test data covers 2024–2025 (an approximately 80/20 split). A random split was avoided to prevent future information from leaking into training. Numeric features were standardized with a StandardScaler fit on the training data only (for the regression set); no train/test split was applied for the unsupervised K-Means model, which used the full dataset with the adoption rate retained purely as a post-hoc interpretive label.</w:t>
      </w:r>
    </w:p>
    <w:p w14:paraId="395DB098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3.4 Modeling</w:t>
      </w:r>
    </w:p>
    <w:p w14:paraId="5A4C8598" w14:textId="77777777" w:rsidR="00273C16" w:rsidRPr="00A817CF" w:rsidRDefault="00000000">
      <w:pPr>
        <w:pStyle w:val="Heading3"/>
        <w:spacing w:before="220" w:after="120"/>
        <w:rPr>
          <w:rFonts w:ascii="Calibri" w:hAnsi="Calibri" w:cs="Calibri"/>
          <w:b/>
          <w:bCs/>
        </w:rPr>
      </w:pPr>
      <w:r w:rsidRPr="00A817CF">
        <w:rPr>
          <w:rFonts w:ascii="Calibri" w:hAnsi="Calibri" w:cs="Calibri"/>
          <w:b/>
          <w:bCs/>
        </w:rPr>
        <w:t>3.4.1 Ridge Regression</w:t>
      </w:r>
    </w:p>
    <w:p w14:paraId="44ADF1E8" w14:textId="364D7DC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Ridge regression was selected over ordinary least squares because of the modest test set size (~78 rows) </w:t>
      </w:r>
      <w:r w:rsidR="00C96388">
        <w:rPr>
          <w:rFonts w:ascii="Calibri" w:hAnsi="Calibri" w:cs="Calibri"/>
          <w:sz w:val="24"/>
          <w:szCs w:val="24"/>
        </w:rPr>
        <w:t xml:space="preserve">- </w:t>
      </w:r>
      <w:r w:rsidRPr="00FC0508">
        <w:rPr>
          <w:rFonts w:ascii="Calibri" w:hAnsi="Calibri" w:cs="Calibri"/>
          <w:sz w:val="24"/>
          <w:szCs w:val="24"/>
        </w:rPr>
        <w:t xml:space="preserve"> Ridge's L2 regularization reduces overfitting risk while retaining all features (as </w:t>
      </w:r>
      <w:r w:rsidRPr="00FC0508">
        <w:rPr>
          <w:rFonts w:ascii="Calibri" w:hAnsi="Calibri" w:cs="Calibri"/>
          <w:sz w:val="24"/>
          <w:szCs w:val="24"/>
        </w:rPr>
        <w:lastRenderedPageBreak/>
        <w:t>opposed to Lasso, which can zero out coefficients entirely). The regularization strength (alpha) was tuned via GridSearchCV using TimeSeriesSplit cross-validation (5 folds) to respect the temporal structure of the data and avoid leakage across folds.</w:t>
      </w:r>
    </w:p>
    <w:p w14:paraId="60263B61" w14:textId="77777777" w:rsidR="00273C16" w:rsidRPr="00A817CF" w:rsidRDefault="00000000">
      <w:pPr>
        <w:pStyle w:val="Heading3"/>
        <w:spacing w:before="220" w:after="120"/>
        <w:rPr>
          <w:rFonts w:ascii="Calibri" w:hAnsi="Calibri" w:cs="Calibri"/>
          <w:b/>
          <w:bCs/>
        </w:rPr>
      </w:pPr>
      <w:r w:rsidRPr="00A817CF">
        <w:rPr>
          <w:rFonts w:ascii="Calibri" w:hAnsi="Calibri" w:cs="Calibri"/>
          <w:b/>
          <w:bCs/>
        </w:rPr>
        <w:t>3.4.2 K-Means Clustering</w:t>
      </w:r>
    </w:p>
    <w:p w14:paraId="35C0D9DF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For county segmentation, K-Means was applied to the latest available year of standardized data for each of the 39 counties. The optimal number of clusters (k=3) was selected using the elbow method and confirmed by a peak in silhouette score.</w:t>
      </w:r>
    </w:p>
    <w:p w14:paraId="42730D7D" w14:textId="77777777" w:rsidR="00273C16" w:rsidRPr="00A817CF" w:rsidRDefault="00000000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 w:rsidRPr="00A817CF">
        <w:rPr>
          <w:rFonts w:ascii="Calibri" w:hAnsi="Calibri" w:cs="Calibri"/>
          <w:b/>
          <w:bCs/>
          <w:sz w:val="28"/>
          <w:szCs w:val="28"/>
        </w:rPr>
        <w:t>4. Results</w:t>
      </w:r>
    </w:p>
    <w:p w14:paraId="52D94735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4.1 Ridge Regression: Adoption Drivers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500"/>
      </w:tblGrid>
      <w:tr w:rsidR="00273C16" w:rsidRPr="00FC0508" w14:paraId="2B2CB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</w:tcPr>
          <w:p w14:paraId="748D8B13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3500" w:type="dxa"/>
            <w:shd w:val="clear" w:color="auto" w:fill="1F4E78"/>
          </w:tcPr>
          <w:p w14:paraId="751D5B6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Train (2017–2023)</w:t>
            </w:r>
          </w:p>
        </w:tc>
        <w:tc>
          <w:tcPr>
            <w:tcW w:w="3500" w:type="dxa"/>
            <w:shd w:val="clear" w:color="auto" w:fill="1F4E78"/>
          </w:tcPr>
          <w:p w14:paraId="02484FDE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Test (2024–2025)</w:t>
            </w:r>
          </w:p>
        </w:tc>
      </w:tr>
      <w:tr w:rsidR="00273C16" w:rsidRPr="00FC0508" w14:paraId="7256B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3D1ECF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R²</w:t>
            </w:r>
          </w:p>
        </w:tc>
        <w:tc>
          <w:tcPr>
            <w:tcW w:w="3500" w:type="dxa"/>
          </w:tcPr>
          <w:p w14:paraId="39D3EF13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  <w:tc>
          <w:tcPr>
            <w:tcW w:w="3500" w:type="dxa"/>
          </w:tcPr>
          <w:p w14:paraId="128779C2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≈ 0.96</w:t>
            </w:r>
          </w:p>
        </w:tc>
      </w:tr>
      <w:tr w:rsidR="00273C16" w:rsidRPr="00FC0508" w14:paraId="5E8AF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B9A68D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RMSE</w:t>
            </w:r>
          </w:p>
        </w:tc>
        <w:tc>
          <w:tcPr>
            <w:tcW w:w="3500" w:type="dxa"/>
          </w:tcPr>
          <w:p w14:paraId="273727F2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  <w:tc>
          <w:tcPr>
            <w:tcW w:w="3500" w:type="dxa"/>
          </w:tcPr>
          <w:p w14:paraId="0A0435A7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≈ 0.14</w:t>
            </w:r>
          </w:p>
        </w:tc>
      </w:tr>
      <w:tr w:rsidR="00273C16" w:rsidRPr="00FC0508" w14:paraId="11F4AC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362797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MAE</w:t>
            </w:r>
          </w:p>
        </w:tc>
        <w:tc>
          <w:tcPr>
            <w:tcW w:w="3500" w:type="dxa"/>
          </w:tcPr>
          <w:p w14:paraId="5999881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—</w:t>
            </w:r>
          </w:p>
        </w:tc>
        <w:tc>
          <w:tcPr>
            <w:tcW w:w="3500" w:type="dxa"/>
          </w:tcPr>
          <w:p w14:paraId="7207026B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≈ 0.11</w:t>
            </w:r>
          </w:p>
        </w:tc>
      </w:tr>
    </w:tbl>
    <w:p w14:paraId="7296C822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i/>
          <w:iCs/>
          <w:sz w:val="24"/>
          <w:szCs w:val="24"/>
        </w:rPr>
        <w:t>(Metrics computed on the Yeo–Johnson-transformed adoption rate. R² of ~0.96 on the held-out 2024–2025 test set indicates the model explains the large majority of variance in county-level adoption; RMSE and MAE are both low, indicating predictions are close to actual values.)</w:t>
      </w:r>
    </w:p>
    <w:p w14:paraId="1D88A402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 </w:t>
      </w:r>
    </w:p>
    <w:p w14:paraId="1E08AAAF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Feature importance, assessed via standardized Ridge coefficients, in descending order:</w:t>
      </w:r>
    </w:p>
    <w:p w14:paraId="4D88B9C4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EV adoption lag (prior-year adoption) — by far the dominant driver; historical adoption momentum strongly predicts future adoption.</w:t>
      </w:r>
    </w:p>
    <w:p w14:paraId="114B64E7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Median income — a strong secondary driver, slightly ahead of charging infrastructure, indicating infrastructure investment alone is unlikely to drive adoption without supportive socioeconomic conditions.</w:t>
      </w:r>
    </w:p>
    <w:p w14:paraId="146ABD73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EV charging density and has_charging_infrastructure — meaningful positive contributors.</w:t>
      </w:r>
    </w:p>
    <w:p w14:paraId="5DF29BD9" w14:textId="77777777" w:rsidR="00273C16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Population — a comparatively weak driver; higher population alone does not guarantee higher adoption rate.</w:t>
      </w:r>
    </w:p>
    <w:p w14:paraId="378B350D" w14:textId="597B9387" w:rsidR="00191DA0" w:rsidRPr="00191DA0" w:rsidRDefault="00191DA0" w:rsidP="00191DA0">
      <w:p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4D79282" wp14:editId="72438530">
            <wp:extent cx="5760732" cy="4300737"/>
            <wp:effectExtent l="0" t="0" r="0" b="5080"/>
            <wp:docPr id="1616656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56889" name="Picture 16166568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32" cy="43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C114" w14:textId="4824CAE8" w:rsidR="00273C16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Residual analysis showed errors roughly centered at zero and approximately normally distributed, satisfying the core linear regression assumption on residuals. A mild tendency to over-predict at higher adoption values and under-predict at lower values was observed, suggesting some residual non-linearity, but </w:t>
      </w:r>
      <w:r w:rsidR="00C4012D" w:rsidRPr="00FC0508">
        <w:rPr>
          <w:rFonts w:ascii="Calibri" w:hAnsi="Calibri" w:cs="Calibri"/>
          <w:sz w:val="24"/>
          <w:szCs w:val="24"/>
        </w:rPr>
        <w:t>overall,</w:t>
      </w:r>
      <w:r w:rsidRPr="00FC0508">
        <w:rPr>
          <w:rFonts w:ascii="Calibri" w:hAnsi="Calibri" w:cs="Calibri"/>
          <w:sz w:val="24"/>
          <w:szCs w:val="24"/>
        </w:rPr>
        <w:t xml:space="preserve"> the model captures the dominant signal well and provides a decent fit.</w:t>
      </w:r>
    </w:p>
    <w:p w14:paraId="3EF6F1E4" w14:textId="0310B0E7" w:rsidR="00357710" w:rsidRDefault="00357710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25F4272" wp14:editId="05C518C2">
            <wp:extent cx="5218187" cy="4117856"/>
            <wp:effectExtent l="0" t="0" r="1905" b="0"/>
            <wp:docPr id="17069999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9989" name="Picture 17069999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187" cy="411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8AFA" w14:textId="1E5613B9" w:rsidR="00191DA0" w:rsidRPr="00FC0508" w:rsidRDefault="00191DA0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73F7480" wp14:editId="2598CED5">
            <wp:extent cx="5221235" cy="4117856"/>
            <wp:effectExtent l="0" t="0" r="0" b="0"/>
            <wp:docPr id="9353490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9034" name="Picture 9353490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5" cy="411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EFA9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4.2 K-Means Clustering: County Segmentation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1574"/>
        <w:gridCol w:w="1575"/>
        <w:gridCol w:w="1375"/>
        <w:gridCol w:w="1572"/>
        <w:gridCol w:w="1369"/>
      </w:tblGrid>
      <w:tr w:rsidR="00273C16" w:rsidRPr="00FC0508" w14:paraId="0C58F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</w:tcPr>
          <w:p w14:paraId="5ABF069A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Cluster</w:t>
            </w:r>
          </w:p>
        </w:tc>
        <w:tc>
          <w:tcPr>
            <w:tcW w:w="1600" w:type="dxa"/>
            <w:shd w:val="clear" w:color="auto" w:fill="1F4E78"/>
          </w:tcPr>
          <w:p w14:paraId="6D6D247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Counties</w:t>
            </w:r>
          </w:p>
        </w:tc>
        <w:tc>
          <w:tcPr>
            <w:tcW w:w="1600" w:type="dxa"/>
            <w:shd w:val="clear" w:color="auto" w:fill="1F4E78"/>
          </w:tcPr>
          <w:p w14:paraId="0F1D30B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Avg. Adoption Rate</w:t>
            </w:r>
          </w:p>
        </w:tc>
        <w:tc>
          <w:tcPr>
            <w:tcW w:w="1400" w:type="dxa"/>
            <w:shd w:val="clear" w:color="auto" w:fill="1F4E78"/>
          </w:tcPr>
          <w:p w14:paraId="6DE1BE28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Avg. Income</w:t>
            </w:r>
          </w:p>
        </w:tc>
        <w:tc>
          <w:tcPr>
            <w:tcW w:w="1600" w:type="dxa"/>
            <w:shd w:val="clear" w:color="auto" w:fill="1F4E78"/>
          </w:tcPr>
          <w:p w14:paraId="0848E5CB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Avg. Charging Density</w:t>
            </w:r>
          </w:p>
        </w:tc>
        <w:tc>
          <w:tcPr>
            <w:tcW w:w="1200" w:type="dxa"/>
            <w:shd w:val="clear" w:color="auto" w:fill="1F4E78"/>
          </w:tcPr>
          <w:p w14:paraId="6FA44787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Profile</w:t>
            </w:r>
          </w:p>
        </w:tc>
      </w:tr>
      <w:tr w:rsidR="00273C16" w:rsidRPr="00FC0508" w14:paraId="7EF3B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CB0A37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0 — High Adoption</w:t>
            </w:r>
          </w:p>
        </w:tc>
        <w:tc>
          <w:tcPr>
            <w:tcW w:w="1600" w:type="dxa"/>
          </w:tcPr>
          <w:p w14:paraId="2F7BBCEF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16 (41%)</w:t>
            </w:r>
          </w:p>
        </w:tc>
        <w:tc>
          <w:tcPr>
            <w:tcW w:w="1600" w:type="dxa"/>
          </w:tcPr>
          <w:p w14:paraId="390BF93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~3.0%</w:t>
            </w:r>
          </w:p>
        </w:tc>
        <w:tc>
          <w:tcPr>
            <w:tcW w:w="1400" w:type="dxa"/>
          </w:tcPr>
          <w:p w14:paraId="1B64650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~$96K</w:t>
            </w:r>
          </w:p>
        </w:tc>
        <w:tc>
          <w:tcPr>
            <w:tcW w:w="1600" w:type="dxa"/>
          </w:tcPr>
          <w:p w14:paraId="7584CAA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~0.03</w:t>
            </w:r>
          </w:p>
        </w:tc>
        <w:tc>
          <w:tcPr>
            <w:tcW w:w="1200" w:type="dxa"/>
          </w:tcPr>
          <w:p w14:paraId="025E83D2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High income, high population; adoption driven by purchasing power / likely home charging</w:t>
            </w:r>
          </w:p>
        </w:tc>
      </w:tr>
      <w:tr w:rsidR="00273C16" w:rsidRPr="00FC0508" w14:paraId="26E29D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BACAF3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1 — Medium Adoption</w:t>
            </w:r>
          </w:p>
        </w:tc>
        <w:tc>
          <w:tcPr>
            <w:tcW w:w="1600" w:type="dxa"/>
          </w:tcPr>
          <w:p w14:paraId="4A08AEF5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22 (56%)</w:t>
            </w:r>
          </w:p>
        </w:tc>
        <w:tc>
          <w:tcPr>
            <w:tcW w:w="1600" w:type="dxa"/>
          </w:tcPr>
          <w:p w14:paraId="4A2CCF4F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~1.6%</w:t>
            </w:r>
          </w:p>
        </w:tc>
        <w:tc>
          <w:tcPr>
            <w:tcW w:w="1400" w:type="dxa"/>
          </w:tcPr>
          <w:p w14:paraId="3419EF87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~$60K–95K</w:t>
            </w:r>
          </w:p>
        </w:tc>
        <w:tc>
          <w:tcPr>
            <w:tcW w:w="1600" w:type="dxa"/>
          </w:tcPr>
          <w:p w14:paraId="6206E21C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~0.04</w:t>
            </w:r>
          </w:p>
        </w:tc>
        <w:tc>
          <w:tcPr>
            <w:tcW w:w="1200" w:type="dxa"/>
          </w:tcPr>
          <w:p w14:paraId="3D1D44BB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Lower income, lower population, but strong public charging density</w:t>
            </w:r>
          </w:p>
        </w:tc>
      </w:tr>
      <w:tr w:rsidR="00273C16" w:rsidRPr="00FC0508" w14:paraId="0E453D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ECA336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lastRenderedPageBreak/>
              <w:t>2 — Rural Isolation Outlier</w:t>
            </w:r>
          </w:p>
        </w:tc>
        <w:tc>
          <w:tcPr>
            <w:tcW w:w="1600" w:type="dxa"/>
          </w:tcPr>
          <w:p w14:paraId="0E22C4CC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1 (Garfield)</w:t>
            </w:r>
          </w:p>
        </w:tc>
        <w:tc>
          <w:tcPr>
            <w:tcW w:w="1600" w:type="dxa"/>
          </w:tcPr>
          <w:p w14:paraId="66E4796F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~0.08%</w:t>
            </w:r>
          </w:p>
        </w:tc>
        <w:tc>
          <w:tcPr>
            <w:tcW w:w="1400" w:type="dxa"/>
          </w:tcPr>
          <w:p w14:paraId="6613816C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~$71K</w:t>
            </w:r>
          </w:p>
        </w:tc>
        <w:tc>
          <w:tcPr>
            <w:tcW w:w="1600" w:type="dxa"/>
          </w:tcPr>
          <w:p w14:paraId="1558EDDE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~0.00</w:t>
            </w:r>
          </w:p>
        </w:tc>
        <w:tc>
          <w:tcPr>
            <w:tcW w:w="1200" w:type="dxa"/>
          </w:tcPr>
          <w:p w14:paraId="0FAA2B2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Small, rural, zero public charging infrastructure — a structural charging desert</w:t>
            </w:r>
          </w:p>
        </w:tc>
      </w:tr>
    </w:tbl>
    <w:p w14:paraId="11522710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 </w:t>
      </w:r>
    </w:p>
    <w:p w14:paraId="17B14796" w14:textId="15BC76BE" w:rsidR="00273C16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Cluster 0 counties (e.g., King, Snohomish, Clark) lead the state in adoption and represent self-sustaining markets where private capital can drive further infrastructure buildout. Cluster 1 counties (</w:t>
      </w:r>
      <w:r w:rsidR="00CF3D21" w:rsidRPr="00CF3D21">
        <w:rPr>
          <w:rFonts w:ascii="Calibri" w:hAnsi="Calibri" w:cs="Calibri"/>
          <w:sz w:val="24"/>
          <w:szCs w:val="24"/>
        </w:rPr>
        <w:t>e.g., Whitman, Adams, Okanogan, Jefferson</w:t>
      </w:r>
      <w:r w:rsidRPr="00FC0508">
        <w:rPr>
          <w:rFonts w:ascii="Calibri" w:hAnsi="Calibri" w:cs="Calibri"/>
          <w:sz w:val="24"/>
          <w:szCs w:val="24"/>
        </w:rPr>
        <w:t>) have already solved much of the infrastructure gap and are primarily limited by vehicle affordability. Cluster 2 (Garfield County) is an outlier with comparable income to parts of Cluster 1 but zero charging infrastructure and negligible population, resulting in adoption trapped near zero — momentum cannot start without a foundational infrastructure investment.</w:t>
      </w:r>
    </w:p>
    <w:p w14:paraId="0F82BD68" w14:textId="5CD2E61D" w:rsidR="0043379B" w:rsidRDefault="0043379B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1D2CE2A" wp14:editId="473EF345">
            <wp:extent cx="5943600" cy="4128135"/>
            <wp:effectExtent l="0" t="0" r="0" b="5715"/>
            <wp:docPr id="2154949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4919" name="Picture 2154949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EE0B" w14:textId="0A0BEB9A" w:rsidR="0043379B" w:rsidRPr="00FC0508" w:rsidRDefault="0043379B">
      <w:pPr>
        <w:spacing w:after="1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065A3B08" wp14:editId="424AB643">
            <wp:extent cx="5943600" cy="2967355"/>
            <wp:effectExtent l="0" t="0" r="0" b="4445"/>
            <wp:docPr id="12996813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1376" name="Picture 12996813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16DE" w14:textId="77777777" w:rsidR="00273C16" w:rsidRPr="00A817CF" w:rsidRDefault="00000000">
      <w:pPr>
        <w:pStyle w:val="Heading2"/>
        <w:spacing w:before="280" w:after="140"/>
        <w:rPr>
          <w:rFonts w:ascii="Calibri" w:hAnsi="Calibri" w:cs="Calibri"/>
          <w:b/>
          <w:bCs/>
          <w:sz w:val="24"/>
          <w:szCs w:val="24"/>
        </w:rPr>
      </w:pPr>
      <w:r w:rsidRPr="00A817CF">
        <w:rPr>
          <w:rFonts w:ascii="Calibri" w:hAnsi="Calibri" w:cs="Calibri"/>
          <w:b/>
          <w:bCs/>
          <w:sz w:val="24"/>
          <w:szCs w:val="24"/>
        </w:rPr>
        <w:t>4.3 Combined Insights</w:t>
      </w:r>
    </w:p>
    <w:p w14:paraId="28BE002B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Income Elasticity Threshold: Higher income triggers the adoption momentum loop, explaining Cluster 0's leading ~3% adoption rate — but K-Means shows high income is not strictly required if infrastructure exists (Cluster 1).</w:t>
      </w:r>
    </w:p>
    <w:p w14:paraId="1C1929F8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Infrastructure as an Equalizer: Cluster 1, despite a lower income profile, sustains meaningful adoption through higher public charging density — infrastructure can partly substitute for income.</w:t>
      </w:r>
    </w:p>
    <w:p w14:paraId="0C6BD95A" w14:textId="69A3E3E1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 xml:space="preserve">Structural Starvation Baseline: Cluster 2 (Garfield) has income comparable to parts of Cluster 1 but </w:t>
      </w:r>
      <w:r w:rsidR="00CF3D21">
        <w:rPr>
          <w:rFonts w:ascii="Calibri" w:hAnsi="Calibri" w:cs="Calibri"/>
          <w:sz w:val="24"/>
          <w:szCs w:val="24"/>
        </w:rPr>
        <w:t xml:space="preserve">due to </w:t>
      </w:r>
      <w:r w:rsidRPr="00FC0508">
        <w:rPr>
          <w:rFonts w:ascii="Calibri" w:hAnsi="Calibri" w:cs="Calibri"/>
          <w:sz w:val="24"/>
          <w:szCs w:val="24"/>
        </w:rPr>
        <w:t>zero infrastructure and low population, adoption remains near a structural floor</w:t>
      </w:r>
      <w:r w:rsidR="00CF3D21">
        <w:rPr>
          <w:rFonts w:ascii="Calibri" w:hAnsi="Calibri" w:cs="Calibri"/>
          <w:sz w:val="24"/>
          <w:szCs w:val="24"/>
        </w:rPr>
        <w:t>. M</w:t>
      </w:r>
      <w:r w:rsidRPr="00FC0508">
        <w:rPr>
          <w:rFonts w:ascii="Calibri" w:hAnsi="Calibri" w:cs="Calibri"/>
          <w:sz w:val="24"/>
          <w:szCs w:val="24"/>
        </w:rPr>
        <w:t>omentum cannot begin without an infrastructure foundation.</w:t>
      </w:r>
    </w:p>
    <w:p w14:paraId="207E0566" w14:textId="77777777" w:rsidR="00273C16" w:rsidRPr="00A817CF" w:rsidRDefault="00000000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 w:rsidRPr="00A817CF">
        <w:rPr>
          <w:rFonts w:ascii="Calibri" w:hAnsi="Calibri" w:cs="Calibri"/>
          <w:b/>
          <w:bCs/>
          <w:sz w:val="28"/>
          <w:szCs w:val="28"/>
        </w:rPr>
        <w:t>5. Business Recommendations: Three-Phase Prioritization Matrix</w:t>
      </w:r>
    </w:p>
    <w:p w14:paraId="1DA1DA45" w14:textId="77777777" w:rsidR="00273C16" w:rsidRPr="00FC0508" w:rsidRDefault="00000000">
      <w:pPr>
        <w:spacing w:after="16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Combining the regression-identified drivers with the cluster-based segments produces a deployment blueprint that matches funding mechanism and strategy to each group's specific constraints.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400"/>
        <w:gridCol w:w="2900"/>
        <w:gridCol w:w="1700"/>
      </w:tblGrid>
      <w:tr w:rsidR="00273C16" w:rsidRPr="00FC0508" w14:paraId="6B0E3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</w:tcPr>
          <w:p w14:paraId="653F5617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1600" w:type="dxa"/>
            <w:shd w:val="clear" w:color="auto" w:fill="1F4E78"/>
          </w:tcPr>
          <w:p w14:paraId="49D6A61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400" w:type="dxa"/>
            <w:shd w:val="clear" w:color="auto" w:fill="1F4E78"/>
          </w:tcPr>
          <w:p w14:paraId="4AADC1BA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Target Counties</w:t>
            </w:r>
          </w:p>
        </w:tc>
        <w:tc>
          <w:tcPr>
            <w:tcW w:w="2900" w:type="dxa"/>
            <w:shd w:val="clear" w:color="auto" w:fill="1F4E78"/>
          </w:tcPr>
          <w:p w14:paraId="06EDD77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Core Strategy</w:t>
            </w:r>
          </w:p>
        </w:tc>
        <w:tc>
          <w:tcPr>
            <w:tcW w:w="1700" w:type="dxa"/>
            <w:shd w:val="clear" w:color="auto" w:fill="1F4E78"/>
          </w:tcPr>
          <w:p w14:paraId="6D6F8A0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Funding Mechanism</w:t>
            </w:r>
          </w:p>
        </w:tc>
      </w:tr>
      <w:tr w:rsidR="00273C16" w:rsidRPr="00FC0508" w14:paraId="5C23DF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B0BD69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1 — Foundation</w:t>
            </w:r>
          </w:p>
        </w:tc>
        <w:tc>
          <w:tcPr>
            <w:tcW w:w="1600" w:type="dxa"/>
          </w:tcPr>
          <w:p w14:paraId="3033408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Critical / Immediate</w:t>
            </w:r>
          </w:p>
        </w:tc>
        <w:tc>
          <w:tcPr>
            <w:tcW w:w="2400" w:type="dxa"/>
          </w:tcPr>
          <w:p w14:paraId="393F82AA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Garfield</w:t>
            </w:r>
          </w:p>
        </w:tc>
        <w:tc>
          <w:tcPr>
            <w:tcW w:w="2900" w:type="dxa"/>
          </w:tcPr>
          <w:p w14:paraId="548484C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Seed baseline highway-corridor charging to eliminate the state's only total charging desert</w:t>
            </w:r>
          </w:p>
        </w:tc>
        <w:tc>
          <w:tcPr>
            <w:tcW w:w="1700" w:type="dxa"/>
          </w:tcPr>
          <w:p w14:paraId="7AE5C783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100% public capital (NEVI / state clean energy grants)</w:t>
            </w:r>
          </w:p>
        </w:tc>
      </w:tr>
      <w:tr w:rsidR="00273C16" w:rsidRPr="00FC0508" w14:paraId="3BA640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7518FBC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2 — Activation</w:t>
            </w:r>
          </w:p>
        </w:tc>
        <w:tc>
          <w:tcPr>
            <w:tcW w:w="1600" w:type="dxa"/>
          </w:tcPr>
          <w:p w14:paraId="3F0411F0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Demand Activation</w:t>
            </w:r>
          </w:p>
        </w:tc>
        <w:tc>
          <w:tcPr>
            <w:tcW w:w="2400" w:type="dxa"/>
          </w:tcPr>
          <w:p w14:paraId="1A30FA95" w14:textId="3D43A2D2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Cluster 1 counties (</w:t>
            </w:r>
            <w:r w:rsidR="00CF3D21" w:rsidRPr="00CF3D21">
              <w:rPr>
                <w:rFonts w:ascii="Calibri" w:hAnsi="Calibri" w:cs="Calibri"/>
                <w:sz w:val="24"/>
                <w:szCs w:val="24"/>
              </w:rPr>
              <w:t xml:space="preserve">e.g., Whitman, Adams, Okanogan, </w:t>
            </w:r>
            <w:r w:rsidR="00CF3D21">
              <w:rPr>
                <w:rFonts w:ascii="Calibri" w:hAnsi="Calibri" w:cs="Calibri"/>
                <w:sz w:val="24"/>
                <w:szCs w:val="24"/>
              </w:rPr>
              <w:t>Lincoln</w:t>
            </w:r>
            <w:r w:rsidRPr="00FC0508">
              <w:rPr>
                <w:rFonts w:ascii="Calibri" w:hAnsi="Calibri" w:cs="Calibri"/>
                <w:sz w:val="24"/>
                <w:szCs w:val="24"/>
              </w:rPr>
              <w:t xml:space="preserve">, and </w:t>
            </w:r>
            <w:r w:rsidRPr="00FC0508">
              <w:rPr>
                <w:rFonts w:ascii="Calibri" w:hAnsi="Calibri" w:cs="Calibri"/>
                <w:sz w:val="24"/>
                <w:szCs w:val="24"/>
              </w:rPr>
              <w:lastRenderedPageBreak/>
              <w:t>other lower-income, infrastructure-rich counties)</w:t>
            </w:r>
          </w:p>
        </w:tc>
        <w:tc>
          <w:tcPr>
            <w:tcW w:w="2900" w:type="dxa"/>
          </w:tcPr>
          <w:p w14:paraId="6409EA2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Vehicle purchase rebates and used-BEV subsidies to unlock pent-up demand; maintain </w:t>
            </w:r>
            <w:r w:rsidRPr="00FC0508">
              <w:rPr>
                <w:rFonts w:ascii="Calibri" w:hAnsi="Calibri" w:cs="Calibri"/>
                <w:sz w:val="24"/>
                <w:szCs w:val="24"/>
              </w:rPr>
              <w:lastRenderedPageBreak/>
              <w:t>and enforce DC fast-charger uptime reliability</w:t>
            </w:r>
          </w:p>
        </w:tc>
        <w:tc>
          <w:tcPr>
            <w:tcW w:w="1700" w:type="dxa"/>
          </w:tcPr>
          <w:p w14:paraId="6B69246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lastRenderedPageBreak/>
              <w:t xml:space="preserve">Point-of-sale rebates, used-BEV subsidies, </w:t>
            </w:r>
            <w:r w:rsidRPr="00FC0508">
              <w:rPr>
                <w:rFonts w:ascii="Calibri" w:hAnsi="Calibri" w:cs="Calibri"/>
                <w:sz w:val="24"/>
                <w:szCs w:val="24"/>
              </w:rPr>
              <w:lastRenderedPageBreak/>
              <w:t>public–private matching funds</w:t>
            </w:r>
          </w:p>
        </w:tc>
      </w:tr>
      <w:tr w:rsidR="00273C16" w:rsidRPr="00FC0508" w14:paraId="3351E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401D096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lastRenderedPageBreak/>
              <w:t>3 — Autonomy</w:t>
            </w:r>
          </w:p>
        </w:tc>
        <w:tc>
          <w:tcPr>
            <w:tcW w:w="1600" w:type="dxa"/>
          </w:tcPr>
          <w:p w14:paraId="04ABFF89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Sustaining Market</w:t>
            </w:r>
          </w:p>
        </w:tc>
        <w:tc>
          <w:tcPr>
            <w:tcW w:w="2400" w:type="dxa"/>
          </w:tcPr>
          <w:p w14:paraId="5576D3C1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Cluster 0 counties (King, Snohomish, Clark, Pierce, and other high-income, high-population counties)</w:t>
            </w:r>
          </w:p>
        </w:tc>
        <w:tc>
          <w:tcPr>
            <w:tcW w:w="2900" w:type="dxa"/>
          </w:tcPr>
          <w:p w14:paraId="4AA67AAA" w14:textId="54E4C425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 xml:space="preserve">Rely on private commercial capital for destination charging; limit public </w:t>
            </w:r>
            <w:r w:rsidR="00CF3D21" w:rsidRPr="00FC0508">
              <w:rPr>
                <w:rFonts w:ascii="Calibri" w:hAnsi="Calibri" w:cs="Calibri"/>
                <w:sz w:val="24"/>
                <w:szCs w:val="24"/>
              </w:rPr>
              <w:t>spending</w:t>
            </w:r>
            <w:r w:rsidRPr="00FC0508">
              <w:rPr>
                <w:rFonts w:ascii="Calibri" w:hAnsi="Calibri" w:cs="Calibri"/>
                <w:sz w:val="24"/>
                <w:szCs w:val="24"/>
              </w:rPr>
              <w:t xml:space="preserve"> to grid-capacity matching and select low-income pockets</w:t>
            </w:r>
          </w:p>
        </w:tc>
        <w:tc>
          <w:tcPr>
            <w:tcW w:w="1700" w:type="dxa"/>
          </w:tcPr>
          <w:p w14:paraId="6FBCA6A5" w14:textId="77777777" w:rsidR="00273C16" w:rsidRPr="00FC0508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FC0508">
              <w:rPr>
                <w:rFonts w:ascii="Calibri" w:hAnsi="Calibri" w:cs="Calibri"/>
                <w:sz w:val="24"/>
                <w:szCs w:val="24"/>
              </w:rPr>
              <w:t>Mostly private / commercial capital</w:t>
            </w:r>
          </w:p>
        </w:tc>
      </w:tr>
    </w:tbl>
    <w:p w14:paraId="69355178" w14:textId="77777777" w:rsidR="00273C16" w:rsidRPr="00A817CF" w:rsidRDefault="00000000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 w:rsidRPr="00A817CF">
        <w:rPr>
          <w:rFonts w:ascii="Calibri" w:hAnsi="Calibri" w:cs="Calibri"/>
          <w:b/>
          <w:bCs/>
          <w:sz w:val="28"/>
          <w:szCs w:val="28"/>
        </w:rPr>
        <w:t>6. Limitations &amp; Assumptions</w:t>
      </w:r>
    </w:p>
    <w:p w14:paraId="3D83626D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Analysis is limited to Washington State; the framework is designed to be portable but has not been validated on other states.</w:t>
      </w:r>
    </w:p>
    <w:p w14:paraId="7463D6C5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EV adoption rate is a constructed label (registered EVs ÷ total registered vehicles) rather than a directly reported metric.</w:t>
      </w:r>
    </w:p>
    <w:p w14:paraId="35334857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Electric range tracking for BEVs was discontinued in state data after 2020, so range-based features could not be used as predictors.</w:t>
      </w:r>
    </w:p>
    <w:p w14:paraId="0B6B065A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New EV purchase ratio and income-per-vehicle showed clear data artifacts (registration reporting lag, rural outlier distortion) and were excluded rather than corrected.</w:t>
      </w:r>
    </w:p>
    <w:p w14:paraId="23DF6EE2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The K-Means model uses each county's most recent available year only, so it reflects a snapshot rather than a full adoption trajectory.</w:t>
      </w:r>
    </w:p>
    <w:p w14:paraId="4DAD92D1" w14:textId="77777777" w:rsidR="00273C16" w:rsidRPr="00FC0508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Sample size is modest (39 counties across up to nine years), and one cluster consists of a single county — results should be interpreted directionally rather than as precise point estimates.</w:t>
      </w:r>
    </w:p>
    <w:p w14:paraId="16E6370B" w14:textId="77777777" w:rsidR="00273C16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  <w:sz w:val="24"/>
          <w:szCs w:val="24"/>
        </w:rPr>
      </w:pPr>
      <w:r w:rsidRPr="00FC0508">
        <w:rPr>
          <w:rFonts w:ascii="Calibri" w:hAnsi="Calibri" w:cs="Calibri"/>
          <w:sz w:val="24"/>
          <w:szCs w:val="24"/>
        </w:rPr>
        <w:t>This project models regional/aggregate adoption; it does not model individual consumer purchase behavior, which was not available in the source data.</w:t>
      </w:r>
    </w:p>
    <w:p w14:paraId="4A846301" w14:textId="77777777" w:rsidR="000402BD" w:rsidRDefault="000402BD" w:rsidP="000402BD">
      <w:pPr>
        <w:spacing w:after="80"/>
        <w:rPr>
          <w:rFonts w:ascii="Calibri" w:hAnsi="Calibri" w:cs="Calibri"/>
          <w:sz w:val="24"/>
          <w:szCs w:val="24"/>
        </w:rPr>
      </w:pPr>
    </w:p>
    <w:p w14:paraId="7801A121" w14:textId="03E0FA6C" w:rsidR="000402BD" w:rsidRPr="00A817CF" w:rsidRDefault="000402BD" w:rsidP="000402BD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7</w:t>
      </w:r>
      <w:r w:rsidRPr="00A817CF">
        <w:rPr>
          <w:rFonts w:ascii="Calibri" w:hAnsi="Calibri" w:cs="Calibri"/>
          <w:b/>
          <w:bCs/>
          <w:sz w:val="28"/>
          <w:szCs w:val="28"/>
        </w:rPr>
        <w:t xml:space="preserve">. </w:t>
      </w:r>
      <w:r>
        <w:rPr>
          <w:rFonts w:ascii="Calibri" w:hAnsi="Calibri" w:cs="Calibri"/>
          <w:b/>
          <w:bCs/>
          <w:sz w:val="28"/>
          <w:szCs w:val="28"/>
        </w:rPr>
        <w:t>Future Work</w:t>
      </w:r>
    </w:p>
    <w:p w14:paraId="473FC231" w14:textId="77777777" w:rsidR="000402BD" w:rsidRPr="000402BD" w:rsidRDefault="000402BD" w:rsidP="000402BD">
      <w:pPr>
        <w:spacing w:after="80"/>
        <w:rPr>
          <w:rFonts w:ascii="Calibri" w:hAnsi="Calibri" w:cs="Calibri"/>
          <w:sz w:val="24"/>
          <w:szCs w:val="24"/>
        </w:rPr>
      </w:pPr>
      <w:r w:rsidRPr="000402BD">
        <w:rPr>
          <w:rFonts w:ascii="Calibri" w:hAnsi="Calibri" w:cs="Calibri"/>
          <w:sz w:val="24"/>
          <w:szCs w:val="24"/>
        </w:rPr>
        <w:t>Several extensions would strengthen and broaden this framework:</w:t>
      </w:r>
    </w:p>
    <w:p w14:paraId="7409BEE5" w14:textId="77777777" w:rsidR="000402BD" w:rsidRPr="000402BD" w:rsidRDefault="000402BD" w:rsidP="000402BD">
      <w:pPr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0402BD">
        <w:rPr>
          <w:rFonts w:ascii="Calibri" w:hAnsi="Calibri" w:cs="Calibri"/>
          <w:b/>
          <w:bCs/>
          <w:sz w:val="24"/>
          <w:szCs w:val="24"/>
        </w:rPr>
        <w:t xml:space="preserve">Geographic generalization: </w:t>
      </w:r>
      <w:r w:rsidRPr="000402BD">
        <w:rPr>
          <w:rFonts w:ascii="Calibri" w:hAnsi="Calibri" w:cs="Calibri"/>
          <w:sz w:val="24"/>
          <w:szCs w:val="24"/>
        </w:rPr>
        <w:t>Validate the framework on additional states beyond Washington to test portability and identify which drivers are state-specific versus broadly generalizable.</w:t>
      </w:r>
    </w:p>
    <w:p w14:paraId="34ED4304" w14:textId="77777777" w:rsidR="000402BD" w:rsidRPr="000402BD" w:rsidRDefault="000402BD" w:rsidP="000402BD">
      <w:pPr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0402BD">
        <w:rPr>
          <w:rFonts w:ascii="Calibri" w:hAnsi="Calibri" w:cs="Calibri"/>
          <w:b/>
          <w:bCs/>
          <w:sz w:val="24"/>
          <w:szCs w:val="24"/>
        </w:rPr>
        <w:t xml:space="preserve">Finer spatial granularity: </w:t>
      </w:r>
      <w:r w:rsidRPr="000402BD">
        <w:rPr>
          <w:rFonts w:ascii="Calibri" w:hAnsi="Calibri" w:cs="Calibri"/>
          <w:sz w:val="24"/>
          <w:szCs w:val="24"/>
        </w:rPr>
        <w:t>Move from county-level to ZIP-code or census-tract level analysis where data allows, to better target infrastructure within large or geographically diverse counties.</w:t>
      </w:r>
    </w:p>
    <w:p w14:paraId="204119CA" w14:textId="77777777" w:rsidR="000402BD" w:rsidRPr="000402BD" w:rsidRDefault="000402BD" w:rsidP="000402BD">
      <w:pPr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0402BD">
        <w:rPr>
          <w:rFonts w:ascii="Calibri" w:hAnsi="Calibri" w:cs="Calibri"/>
          <w:b/>
          <w:bCs/>
          <w:sz w:val="24"/>
          <w:szCs w:val="24"/>
        </w:rPr>
        <w:lastRenderedPageBreak/>
        <w:t xml:space="preserve">Charging infrastructure </w:t>
      </w:r>
      <w:proofErr w:type="gramStart"/>
      <w:r w:rsidRPr="000402BD">
        <w:rPr>
          <w:rFonts w:ascii="Calibri" w:hAnsi="Calibri" w:cs="Calibri"/>
          <w:b/>
          <w:bCs/>
          <w:sz w:val="24"/>
          <w:szCs w:val="24"/>
        </w:rPr>
        <w:t>detail</w:t>
      </w:r>
      <w:proofErr w:type="gramEnd"/>
      <w:r w:rsidRPr="000402BD"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0402BD">
        <w:rPr>
          <w:rFonts w:ascii="Calibri" w:hAnsi="Calibri" w:cs="Calibri"/>
          <w:sz w:val="24"/>
          <w:szCs w:val="24"/>
        </w:rPr>
        <w:t>Differentiate charger types (Level 2 vs. DC fast) and station reliability/uptime, rather than treating all charging infrastructure as equivalent.</w:t>
      </w:r>
    </w:p>
    <w:p w14:paraId="7C870B4F" w14:textId="1C87A4F5" w:rsidR="000402BD" w:rsidRPr="000402BD" w:rsidRDefault="000402BD" w:rsidP="000402BD">
      <w:pPr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0402BD">
        <w:rPr>
          <w:rFonts w:ascii="Calibri" w:hAnsi="Calibri" w:cs="Calibri"/>
          <w:b/>
          <w:bCs/>
          <w:sz w:val="24"/>
          <w:szCs w:val="24"/>
        </w:rPr>
        <w:t xml:space="preserve">Time-series forecasting: </w:t>
      </w:r>
      <w:r w:rsidRPr="000402BD">
        <w:rPr>
          <w:rFonts w:ascii="Calibri" w:hAnsi="Calibri" w:cs="Calibri"/>
          <w:sz w:val="24"/>
          <w:szCs w:val="24"/>
        </w:rPr>
        <w:t>Extend beyond a static driver model to explicitly forecast county-level adoption rates several years forward (e.g., ARIMA, or panel-data models), supporting longer-horizon infrastructure planning.</w:t>
      </w:r>
    </w:p>
    <w:p w14:paraId="094D88C4" w14:textId="77777777" w:rsidR="000402BD" w:rsidRPr="000402BD" w:rsidRDefault="000402BD" w:rsidP="000402BD">
      <w:pPr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0402BD">
        <w:rPr>
          <w:rFonts w:ascii="Calibri" w:hAnsi="Calibri" w:cs="Calibri"/>
          <w:b/>
          <w:bCs/>
          <w:sz w:val="24"/>
          <w:szCs w:val="24"/>
        </w:rPr>
        <w:t xml:space="preserve">Model refinement: </w:t>
      </w:r>
      <w:r w:rsidRPr="000402BD">
        <w:rPr>
          <w:rFonts w:ascii="Calibri" w:hAnsi="Calibri" w:cs="Calibri"/>
          <w:sz w:val="24"/>
          <w:szCs w:val="24"/>
        </w:rPr>
        <w:t>Test non-linear models (e.g., gradient boosting, random forest) to capture the mild residual non-linearity observed in the Ridge model, while weighing interpretability trade-offs against the current model's transparency.</w:t>
      </w:r>
    </w:p>
    <w:p w14:paraId="7E8476DB" w14:textId="2C3A664A" w:rsidR="000402BD" w:rsidRPr="000402BD" w:rsidRDefault="000402BD" w:rsidP="000402BD">
      <w:pPr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0402BD">
        <w:rPr>
          <w:rFonts w:ascii="Calibri" w:hAnsi="Calibri" w:cs="Calibri"/>
          <w:b/>
          <w:bCs/>
          <w:sz w:val="24"/>
          <w:szCs w:val="24"/>
        </w:rPr>
        <w:t xml:space="preserve">Deployment: </w:t>
      </w:r>
      <w:r w:rsidRPr="000402BD">
        <w:rPr>
          <w:rFonts w:ascii="Calibri" w:hAnsi="Calibri" w:cs="Calibri"/>
          <w:sz w:val="24"/>
          <w:szCs w:val="24"/>
        </w:rPr>
        <w:t xml:space="preserve">Package the framework as an interactive dashboard (e.g., Tableau) so policymakers and infrastructure planners can explore county-level drivers </w:t>
      </w:r>
      <w:proofErr w:type="gramStart"/>
      <w:r w:rsidRPr="000402BD">
        <w:rPr>
          <w:rFonts w:ascii="Calibri" w:hAnsi="Calibri" w:cs="Calibri"/>
          <w:sz w:val="24"/>
          <w:szCs w:val="24"/>
        </w:rPr>
        <w:t>and</w:t>
      </w:r>
      <w:proofErr w:type="gramEnd"/>
      <w:r w:rsidRPr="000402BD">
        <w:rPr>
          <w:rFonts w:ascii="Calibri" w:hAnsi="Calibri" w:cs="Calibri"/>
          <w:sz w:val="24"/>
          <w:szCs w:val="24"/>
        </w:rPr>
        <w:t xml:space="preserve"> recommendations </w:t>
      </w:r>
      <w:r w:rsidRPr="000402BD">
        <w:rPr>
          <w:rFonts w:ascii="Calibri" w:hAnsi="Calibri" w:cs="Calibri"/>
          <w:sz w:val="24"/>
          <w:szCs w:val="24"/>
        </w:rPr>
        <w:t>directly and</w:t>
      </w:r>
      <w:r w:rsidRPr="000402BD">
        <w:rPr>
          <w:rFonts w:ascii="Calibri" w:hAnsi="Calibri" w:cs="Calibri"/>
          <w:sz w:val="24"/>
          <w:szCs w:val="24"/>
        </w:rPr>
        <w:t xml:space="preserve"> refresh it as new registration data becomes available.</w:t>
      </w:r>
    </w:p>
    <w:p w14:paraId="10CF2398" w14:textId="77777777" w:rsidR="000402BD" w:rsidRPr="000402BD" w:rsidRDefault="000402BD" w:rsidP="000402BD">
      <w:pPr>
        <w:spacing w:after="80"/>
        <w:rPr>
          <w:rFonts w:ascii="Calibri" w:hAnsi="Calibri" w:cs="Calibri"/>
          <w:sz w:val="24"/>
          <w:szCs w:val="24"/>
        </w:rPr>
      </w:pPr>
    </w:p>
    <w:p w14:paraId="18DA4FAE" w14:textId="39133CC6" w:rsidR="00273C16" w:rsidRPr="00A817CF" w:rsidRDefault="000402BD">
      <w:pPr>
        <w:pStyle w:val="Heading1"/>
        <w:spacing w:before="360" w:after="18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8</w:t>
      </w:r>
      <w:r w:rsidR="00000000" w:rsidRPr="00A817CF">
        <w:rPr>
          <w:rFonts w:ascii="Calibri" w:hAnsi="Calibri" w:cs="Calibri"/>
          <w:b/>
          <w:bCs/>
          <w:sz w:val="28"/>
          <w:szCs w:val="28"/>
        </w:rPr>
        <w:t>. Conclusion</w:t>
      </w:r>
    </w:p>
    <w:p w14:paraId="0A2F7FE9" w14:textId="56EB354F" w:rsidR="00273C16" w:rsidRDefault="00000000">
      <w:pPr>
        <w:spacing w:after="160"/>
      </w:pPr>
      <w:r w:rsidRPr="00FC0508">
        <w:rPr>
          <w:rFonts w:ascii="Calibri" w:hAnsi="Calibri" w:cs="Calibri"/>
          <w:sz w:val="24"/>
          <w:szCs w:val="24"/>
        </w:rPr>
        <w:t xml:space="preserve">This project delivers a reusable, data-driven framework for identifying and prioritizing high-impact regions for EV infrastructure investment. The Ridge regression model quantifies which factors drive county-level adoption — prior adoption momentum, income, and infrastructure, in that order of importance — while the K-Means clustering model translates those drivers into three actionable policy segments. Together, they support a phased, funding-mechanism-specific deployment strategy that concentrates scarce public capital where it will have the greatest impact, while allowing private capital to scale adoption in </w:t>
      </w:r>
      <w:r w:rsidR="000402BD">
        <w:rPr>
          <w:rFonts w:ascii="Calibri" w:hAnsi="Calibri" w:cs="Calibri"/>
          <w:sz w:val="24"/>
          <w:szCs w:val="24"/>
        </w:rPr>
        <w:t>self-sustaining markets.</w:t>
      </w:r>
    </w:p>
    <w:sectPr w:rsidR="00273C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406"/>
    <w:multiLevelType w:val="hybridMultilevel"/>
    <w:tmpl w:val="129ADCFC"/>
    <w:lvl w:ilvl="0" w:tplc="6C72E106">
      <w:start w:val="1"/>
      <w:numFmt w:val="bullet"/>
      <w:lvlText w:val="●"/>
      <w:lvlJc w:val="left"/>
      <w:pPr>
        <w:ind w:left="720" w:hanging="360"/>
      </w:pPr>
    </w:lvl>
    <w:lvl w:ilvl="1" w:tplc="4E603BB8">
      <w:start w:val="1"/>
      <w:numFmt w:val="bullet"/>
      <w:lvlText w:val="○"/>
      <w:lvlJc w:val="left"/>
      <w:pPr>
        <w:ind w:left="1440" w:hanging="360"/>
      </w:pPr>
    </w:lvl>
    <w:lvl w:ilvl="2" w:tplc="88022CCA">
      <w:start w:val="1"/>
      <w:numFmt w:val="bullet"/>
      <w:lvlText w:val="■"/>
      <w:lvlJc w:val="left"/>
      <w:pPr>
        <w:ind w:left="2160" w:hanging="360"/>
      </w:pPr>
    </w:lvl>
    <w:lvl w:ilvl="3" w:tplc="8AF8C318">
      <w:start w:val="1"/>
      <w:numFmt w:val="bullet"/>
      <w:lvlText w:val="●"/>
      <w:lvlJc w:val="left"/>
      <w:pPr>
        <w:ind w:left="2880" w:hanging="360"/>
      </w:pPr>
    </w:lvl>
    <w:lvl w:ilvl="4" w:tplc="10E2FFEA">
      <w:start w:val="1"/>
      <w:numFmt w:val="bullet"/>
      <w:lvlText w:val="○"/>
      <w:lvlJc w:val="left"/>
      <w:pPr>
        <w:ind w:left="3600" w:hanging="360"/>
      </w:pPr>
    </w:lvl>
    <w:lvl w:ilvl="5" w:tplc="62E8BDCE">
      <w:start w:val="1"/>
      <w:numFmt w:val="bullet"/>
      <w:lvlText w:val="■"/>
      <w:lvlJc w:val="left"/>
      <w:pPr>
        <w:ind w:left="4320" w:hanging="360"/>
      </w:pPr>
    </w:lvl>
    <w:lvl w:ilvl="6" w:tplc="419C7AA0">
      <w:start w:val="1"/>
      <w:numFmt w:val="bullet"/>
      <w:lvlText w:val="●"/>
      <w:lvlJc w:val="left"/>
      <w:pPr>
        <w:ind w:left="5040" w:hanging="360"/>
      </w:pPr>
    </w:lvl>
    <w:lvl w:ilvl="7" w:tplc="DFBA9BB2">
      <w:start w:val="1"/>
      <w:numFmt w:val="bullet"/>
      <w:lvlText w:val="●"/>
      <w:lvlJc w:val="left"/>
      <w:pPr>
        <w:ind w:left="5760" w:hanging="360"/>
      </w:pPr>
    </w:lvl>
    <w:lvl w:ilvl="8" w:tplc="7152B4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B16AFA"/>
    <w:multiLevelType w:val="hybridMultilevel"/>
    <w:tmpl w:val="D948590A"/>
    <w:lvl w:ilvl="0" w:tplc="48E4B8F0">
      <w:start w:val="1"/>
      <w:numFmt w:val="bullet"/>
      <w:lvlText w:val="●"/>
      <w:lvlJc w:val="left"/>
      <w:pPr>
        <w:ind w:left="720" w:hanging="360"/>
      </w:pPr>
    </w:lvl>
    <w:lvl w:ilvl="1" w:tplc="79705DF2">
      <w:start w:val="1"/>
      <w:numFmt w:val="bullet"/>
      <w:lvlText w:val="○"/>
      <w:lvlJc w:val="left"/>
      <w:pPr>
        <w:ind w:left="1440" w:hanging="360"/>
      </w:pPr>
    </w:lvl>
    <w:lvl w:ilvl="2" w:tplc="713A4A64">
      <w:start w:val="1"/>
      <w:numFmt w:val="bullet"/>
      <w:lvlText w:val="■"/>
      <w:lvlJc w:val="left"/>
      <w:pPr>
        <w:ind w:left="2160" w:hanging="360"/>
      </w:pPr>
    </w:lvl>
    <w:lvl w:ilvl="3" w:tplc="5A503820">
      <w:start w:val="1"/>
      <w:numFmt w:val="bullet"/>
      <w:lvlText w:val="●"/>
      <w:lvlJc w:val="left"/>
      <w:pPr>
        <w:ind w:left="2880" w:hanging="360"/>
      </w:pPr>
    </w:lvl>
    <w:lvl w:ilvl="4" w:tplc="A404D480">
      <w:start w:val="1"/>
      <w:numFmt w:val="bullet"/>
      <w:lvlText w:val="○"/>
      <w:lvlJc w:val="left"/>
      <w:pPr>
        <w:ind w:left="3600" w:hanging="360"/>
      </w:pPr>
    </w:lvl>
    <w:lvl w:ilvl="5" w:tplc="E200D99E">
      <w:start w:val="1"/>
      <w:numFmt w:val="bullet"/>
      <w:lvlText w:val="■"/>
      <w:lvlJc w:val="left"/>
      <w:pPr>
        <w:ind w:left="4320" w:hanging="360"/>
      </w:pPr>
    </w:lvl>
    <w:lvl w:ilvl="6" w:tplc="076036B0">
      <w:start w:val="1"/>
      <w:numFmt w:val="bullet"/>
      <w:lvlText w:val="●"/>
      <w:lvlJc w:val="left"/>
      <w:pPr>
        <w:ind w:left="5040" w:hanging="360"/>
      </w:pPr>
    </w:lvl>
    <w:lvl w:ilvl="7" w:tplc="8416C6E6">
      <w:start w:val="1"/>
      <w:numFmt w:val="bullet"/>
      <w:lvlText w:val="●"/>
      <w:lvlJc w:val="left"/>
      <w:pPr>
        <w:ind w:left="5760" w:hanging="360"/>
      </w:pPr>
    </w:lvl>
    <w:lvl w:ilvl="8" w:tplc="DE8E67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6628E6"/>
    <w:multiLevelType w:val="hybridMultilevel"/>
    <w:tmpl w:val="D81A1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03C85"/>
    <w:multiLevelType w:val="hybridMultilevel"/>
    <w:tmpl w:val="C818F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372872">
    <w:abstractNumId w:val="0"/>
    <w:lvlOverride w:ilvl="0">
      <w:startOverride w:val="1"/>
    </w:lvlOverride>
  </w:num>
  <w:num w:numId="2" w16cid:durableId="1273708950">
    <w:abstractNumId w:val="3"/>
  </w:num>
  <w:num w:numId="3" w16cid:durableId="516047365">
    <w:abstractNumId w:val="2"/>
  </w:num>
  <w:num w:numId="4" w16cid:durableId="16054534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16"/>
    <w:rsid w:val="000011FE"/>
    <w:rsid w:val="000402BD"/>
    <w:rsid w:val="00190BB5"/>
    <w:rsid w:val="00191DA0"/>
    <w:rsid w:val="001A6271"/>
    <w:rsid w:val="002018AE"/>
    <w:rsid w:val="00273C16"/>
    <w:rsid w:val="0035527C"/>
    <w:rsid w:val="00357710"/>
    <w:rsid w:val="003D23CF"/>
    <w:rsid w:val="00427425"/>
    <w:rsid w:val="0043379B"/>
    <w:rsid w:val="00957809"/>
    <w:rsid w:val="009B04FB"/>
    <w:rsid w:val="00A422A1"/>
    <w:rsid w:val="00A817CF"/>
    <w:rsid w:val="00BC4FEE"/>
    <w:rsid w:val="00C4012D"/>
    <w:rsid w:val="00C96388"/>
    <w:rsid w:val="00CE0264"/>
    <w:rsid w:val="00CE1988"/>
    <w:rsid w:val="00CF3D21"/>
    <w:rsid w:val="00FC0508"/>
    <w:rsid w:val="00FE499D"/>
    <w:rsid w:val="00FF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4B03"/>
  <w15:docId w15:val="{67190BE7-003C-449D-9169-0997DE58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A6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fm.wa.gov/data-research/population-demographics/estimates/april-1-official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ofm.wa.gov/data-research/economy/median-household-income-estimates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ata.wa.gov/Transportation/Vehicle-Registrations-by-Class-and-County/hmzg-s6q4/about_data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hyperlink" Target="https://data.wa.gov/Transportation/Electric-Vehicle-Population-Data/f6w7-q2d2/about_data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ev-map-wsdot.hub.arcgis.com/apps/7e310dcd476640ec8c611c101f610c09/explore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ofm.wa.gov/data-research/population-demographics/estimates/archive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18</Pages>
  <Words>2849</Words>
  <Characters>16242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Gawande</cp:lastModifiedBy>
  <cp:revision>15</cp:revision>
  <dcterms:created xsi:type="dcterms:W3CDTF">2026-07-03T02:22:00Z</dcterms:created>
  <dcterms:modified xsi:type="dcterms:W3CDTF">2026-07-04T01:14:00Z</dcterms:modified>
</cp:coreProperties>
</file>