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40"/>
      </w:pPr>
      <w:r>
        <w:rPr>
          <w:rFonts w:ascii="Calibri" w:hAnsi="Calibri"/>
          <w:b/>
          <w:i w:val="0"/>
          <w:color w:val="C69214"/>
          <w:sz w:val="20"/>
        </w:rPr>
        <w:t>ME-BRD-001</w:t>
      </w:r>
    </w:p>
    <w:p>
      <w:pPr>
        <w:spacing w:after="80"/>
      </w:pPr>
      <w:r>
        <w:rPr>
          <w:rFonts w:ascii="Calibri" w:hAnsi="Calibri"/>
          <w:b/>
          <w:i w:val="0"/>
          <w:color w:val="17324D"/>
          <w:sz w:val="56"/>
        </w:rPr>
        <w:t>Business Requirements Document</w:t>
      </w:r>
    </w:p>
    <w:p>
      <w:pPr>
        <w:spacing w:after="400"/>
      </w:pPr>
      <w:r>
        <w:rPr>
          <w:rFonts w:ascii="Calibri" w:hAnsi="Calibri"/>
          <w:b w:val="0"/>
          <w:i w:val="0"/>
          <w:color w:val="167D8D"/>
          <w:sz w:val="28"/>
        </w:rPr>
        <w:t>Madhav E-Commerce Analytics and Digital Twin</w:t>
      </w:r>
    </w:p>
    <w:p>
      <w:pPr>
        <w:spacing w:after="60"/>
      </w:pPr>
      <w:r>
        <w:rPr>
          <w:rFonts w:ascii="Calibri" w:hAnsi="Calibri"/>
          <w:b/>
          <w:i w:val="0"/>
          <w:color w:val="17324D"/>
          <w:sz w:val="21"/>
        </w:rPr>
        <w:t xml:space="preserve">Project: </w:t>
      </w:r>
      <w:r>
        <w:rPr>
          <w:rFonts w:ascii="Calibri" w:hAnsi="Calibri"/>
          <w:b w:val="0"/>
          <w:i w:val="0"/>
          <w:color w:val="222222"/>
          <w:sz w:val="21"/>
        </w:rPr>
        <w:t>Supply Chain Intelligence Hub and Digital Twin</w:t>
      </w:r>
    </w:p>
    <w:p>
      <w:pPr>
        <w:spacing w:after="60"/>
      </w:pPr>
      <w:r>
        <w:rPr>
          <w:rFonts w:ascii="Calibri" w:hAnsi="Calibri"/>
          <w:b/>
          <w:i w:val="0"/>
          <w:color w:val="17324D"/>
          <w:sz w:val="21"/>
        </w:rPr>
        <w:t xml:space="preserve">Document owner: </w:t>
      </w:r>
      <w:r>
        <w:rPr>
          <w:rFonts w:ascii="Calibri" w:hAnsi="Calibri"/>
          <w:b w:val="0"/>
          <w:i w:val="0"/>
          <w:color w:val="222222"/>
          <w:sz w:val="21"/>
        </w:rPr>
        <w:t>Business Analysis / Product Management</w:t>
      </w:r>
    </w:p>
    <w:p>
      <w:pPr>
        <w:spacing w:after="60"/>
      </w:pPr>
      <w:r>
        <w:rPr>
          <w:rFonts w:ascii="Calibri" w:hAnsi="Calibri"/>
          <w:b/>
          <w:i w:val="0"/>
          <w:color w:val="17324D"/>
          <w:sz w:val="21"/>
        </w:rPr>
        <w:t xml:space="preserve">Version: </w:t>
      </w:r>
      <w:r>
        <w:rPr>
          <w:rFonts w:ascii="Calibri" w:hAnsi="Calibri"/>
          <w:b w:val="0"/>
          <w:i w:val="0"/>
          <w:color w:val="222222"/>
          <w:sz w:val="21"/>
        </w:rPr>
        <w:t>1.0</w:t>
      </w:r>
    </w:p>
    <w:p>
      <w:pPr>
        <w:spacing w:after="60"/>
      </w:pPr>
      <w:r>
        <w:rPr>
          <w:rFonts w:ascii="Calibri" w:hAnsi="Calibri"/>
          <w:b/>
          <w:i w:val="0"/>
          <w:color w:val="17324D"/>
          <w:sz w:val="21"/>
        </w:rPr>
        <w:t xml:space="preserve">Status: </w:t>
      </w:r>
      <w:r>
        <w:rPr>
          <w:rFonts w:ascii="Calibri" w:hAnsi="Calibri"/>
          <w:b w:val="0"/>
          <w:i w:val="0"/>
          <w:color w:val="222222"/>
          <w:sz w:val="21"/>
        </w:rPr>
        <w:t>Draft for stakeholder review</w:t>
      </w:r>
    </w:p>
    <w:p>
      <w:pPr>
        <w:spacing w:after="60"/>
      </w:pPr>
      <w:r>
        <w:rPr>
          <w:rFonts w:ascii="Calibri" w:hAnsi="Calibri"/>
          <w:b/>
          <w:i w:val="0"/>
          <w:color w:val="17324D"/>
          <w:sz w:val="21"/>
        </w:rPr>
        <w:t xml:space="preserve">Date: </w:t>
      </w:r>
      <w:r>
        <w:rPr>
          <w:rFonts w:ascii="Calibri" w:hAnsi="Calibri"/>
          <w:b w:val="0"/>
          <w:i w:val="0"/>
          <w:color w:val="222222"/>
          <w:sz w:val="21"/>
        </w:rPr>
        <w:t>17 August 2026</w:t>
      </w:r>
    </w:p>
    <w:p>
      <w:pPr>
        <w:spacing w:after="60"/>
      </w:pPr>
      <w:r>
        <w:rPr>
          <w:rFonts w:ascii="Calibri" w:hAnsi="Calibri"/>
          <w:b/>
          <w:i w:val="0"/>
          <w:color w:val="17324D"/>
          <w:sz w:val="21"/>
        </w:rPr>
        <w:t xml:space="preserve">Classification: </w:t>
      </w:r>
      <w:r>
        <w:rPr>
          <w:rFonts w:ascii="Calibri" w:hAnsi="Calibri"/>
          <w:b w:val="0"/>
          <w:i w:val="0"/>
          <w:color w:val="222222"/>
          <w:sz w:val="21"/>
        </w:rPr>
        <w:t>Internal</w:t>
      </w:r>
    </w:p>
    <w:p>
      <w:pPr>
        <w:spacing w:before="400" w:after="160"/>
      </w:pPr>
      <w:r>
        <w:rPr>
          <w:rFonts w:ascii="Calibri" w:hAnsi="Calibri"/>
          <w:b/>
          <w:i w:val="0"/>
          <w:color w:val="2E74B5"/>
          <w:sz w:val="24"/>
        </w:rPr>
        <w:t>Document purpose</w:t>
      </w:r>
    </w:p>
    <w:p>
      <w:r>
        <w:t>This controlled document defines the approved scope and requirements for transforming the existing analytics notebook and Power BI dashboard into a governed, scenario-based supply-chain digital twin.</w:t>
      </w:r>
    </w:p>
    <w:p>
      <w:pPr>
        <w:spacing w:before="360"/>
        <w:shd w:fill="E8EEF5"/>
      </w:pPr>
      <w:r>
        <w:rPr>
          <w:rFonts w:ascii="Calibri" w:hAnsi="Calibri"/>
          <w:b/>
          <w:i w:val="0"/>
          <w:color w:val="17324D"/>
          <w:sz w:val="22"/>
        </w:rPr>
        <w:t xml:space="preserve">Approval gate: </w:t>
      </w:r>
      <w:r>
        <w:rPr>
          <w:rFonts w:ascii="Calibri" w:hAnsi="Calibri"/>
          <w:b w:val="0"/>
          <w:i w:val="0"/>
          <w:color w:val="222222"/>
          <w:sz w:val="22"/>
        </w:rPr>
        <w:t>Requirements become baselined only after Business Owner, Operations, Finance, Data/Technology, and Quality approval.</w:t>
      </w:r>
    </w:p>
    <w:p>
      <w:r>
        <w:br w:type="page"/>
      </w:r>
    </w:p>
    <w:p>
      <w:pPr>
        <w:pStyle w:val="Heading1"/>
      </w:pPr>
      <w:r>
        <w:t>Document control</w:t>
      </w:r>
    </w:p>
    <w:p>
      <w:pPr>
        <w:pStyle w:val="Heading2"/>
      </w:pPr>
      <w:r>
        <w:t>Revision history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1400"/>
        <w:gridCol w:w="1900"/>
        <w:gridCol w:w="3560"/>
        <w:gridCol w:w="1600"/>
      </w:tblGrid>
      <w:tr>
        <w:tc>
          <w:tcPr>
            <w:tcW w:type="dxa" w:w="900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Version</w:t>
            </w:r>
          </w:p>
        </w:tc>
        <w:tc>
          <w:tcPr>
            <w:tcW w:type="dxa" w:w="1400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Date</w:t>
            </w:r>
          </w:p>
        </w:tc>
        <w:tc>
          <w:tcPr>
            <w:tcW w:type="dxa" w:w="1900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Author/Owner</w:t>
            </w:r>
          </w:p>
        </w:tc>
        <w:tc>
          <w:tcPr>
            <w:tcW w:type="dxa" w:w="3560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Change</w:t>
            </w:r>
          </w:p>
        </w:tc>
        <w:tc>
          <w:tcPr>
            <w:tcW w:type="dxa" w:w="1600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1.0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17 Aug 2026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Business Analysis</w:t>
            </w:r>
          </w:p>
        </w:tc>
        <w:tc>
          <w:tcPr>
            <w:tcW w:type="dxa" w:w="3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Initial controlled draft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Review</w:t>
            </w:r>
          </w:p>
        </w:tc>
      </w:tr>
    </w:tbl>
    <w:p>
      <w:pPr>
        <w:pStyle w:val="Heading2"/>
      </w:pPr>
      <w:r>
        <w:t>Review and approval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2500"/>
        <w:gridCol w:w="2300"/>
        <w:gridCol w:w="1960"/>
      </w:tblGrid>
      <w:tr>
        <w:tc>
          <w:tcPr>
            <w:tcW w:type="dxa" w:w="2600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Role</w:t>
            </w:r>
          </w:p>
        </w:tc>
        <w:tc>
          <w:tcPr>
            <w:tcW w:type="dxa" w:w="2500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Name</w:t>
            </w:r>
          </w:p>
        </w:tc>
        <w:tc>
          <w:tcPr>
            <w:tcW w:type="dxa" w:w="2300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Decision</w:t>
            </w:r>
          </w:p>
        </w:tc>
        <w:tc>
          <w:tcPr>
            <w:tcW w:type="dxa" w:w="1960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Date</w:t>
            </w:r>
          </w:p>
        </w:tc>
      </w:tr>
      <w:t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Business Sponsor</w:t>
            </w:r>
          </w:p>
        </w:tc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________________</w:t>
            </w:r>
          </w:p>
        </w:tc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Approve / Reject</w:t>
            </w:r>
          </w:p>
        </w:tc>
        <w:tc>
          <w:tcPr>
            <w:tcW w:type="dxa" w:w="1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__________</w:t>
            </w:r>
          </w:p>
        </w:tc>
      </w:tr>
      <w:tr>
        <w:tc>
          <w:tcPr>
            <w:tcW w:type="dxa" w:w="26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Supply Chain Owner</w:t>
            </w:r>
          </w:p>
        </w:tc>
        <w:tc>
          <w:tcPr>
            <w:tcW w:type="dxa" w:w="25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________________</w:t>
            </w:r>
          </w:p>
        </w:tc>
        <w:tc>
          <w:tcPr>
            <w:tcW w:type="dxa" w:w="23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Approve / Reject</w:t>
            </w:r>
          </w:p>
        </w:tc>
        <w:tc>
          <w:tcPr>
            <w:tcW w:type="dxa" w:w="196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__________</w:t>
            </w:r>
          </w:p>
        </w:tc>
      </w:tr>
      <w:t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Finance Owner</w:t>
            </w:r>
          </w:p>
        </w:tc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________________</w:t>
            </w:r>
          </w:p>
        </w:tc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Approve / Reject</w:t>
            </w:r>
          </w:p>
        </w:tc>
        <w:tc>
          <w:tcPr>
            <w:tcW w:type="dxa" w:w="1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__________</w:t>
            </w:r>
          </w:p>
        </w:tc>
      </w:tr>
      <w:tr>
        <w:tc>
          <w:tcPr>
            <w:tcW w:type="dxa" w:w="26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Data/Technology Owner</w:t>
            </w:r>
          </w:p>
        </w:tc>
        <w:tc>
          <w:tcPr>
            <w:tcW w:type="dxa" w:w="25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________________</w:t>
            </w:r>
          </w:p>
        </w:tc>
        <w:tc>
          <w:tcPr>
            <w:tcW w:type="dxa" w:w="23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Approve / Reject</w:t>
            </w:r>
          </w:p>
        </w:tc>
        <w:tc>
          <w:tcPr>
            <w:tcW w:type="dxa" w:w="196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__________</w:t>
            </w:r>
          </w:p>
        </w:tc>
      </w:tr>
      <w:t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Quality Owner</w:t>
            </w:r>
          </w:p>
        </w:tc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________________</w:t>
            </w:r>
          </w:p>
        </w:tc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Approve / Reject</w:t>
            </w:r>
          </w:p>
        </w:tc>
        <w:tc>
          <w:tcPr>
            <w:tcW w:type="dxa" w:w="1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__________</w:t>
            </w:r>
          </w:p>
        </w:tc>
      </w:tr>
    </w:tbl>
    <w:p>
      <w:pPr>
        <w:pStyle w:val="Heading1"/>
      </w:pPr>
      <w:r>
        <w:t>1. Business need and objectives</w:t>
      </w:r>
    </w:p>
    <w:p>
      <w:r>
        <w:t>The business requires a governed capability to test pricing, growth, inventory, returns, and disruption policies before committing cash, stock, or promotional budget.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000"/>
        <w:gridCol w:w="5360"/>
      </w:tblGrid>
      <w:tr>
        <w:tc>
          <w:tcPr>
            <w:tcW w:type="dxa" w:w="4000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Objective</w:t>
            </w:r>
          </w:p>
        </w:tc>
        <w:tc>
          <w:tcPr>
            <w:tcW w:type="dxa" w:w="5360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Success indicator</w:t>
            </w:r>
          </w:p>
        </w:tc>
      </w:tr>
      <w:tr>
        <w:tc>
          <w:tcPr>
            <w:tcW w:type="dxa" w:w="4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Protect profitable growth</w:t>
            </w:r>
          </w:p>
        </w:tc>
        <w:tc>
          <w:tcPr>
            <w:tcW w:type="dxa" w:w="5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Revenue growth meets contribution-margin gate</w:t>
            </w:r>
          </w:p>
        </w:tc>
      </w:tr>
      <w:tr>
        <w:tc>
          <w:tcPr>
            <w:tcW w:type="dxa" w:w="40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Improve product availability</w:t>
            </w:r>
          </w:p>
        </w:tc>
        <w:tc>
          <w:tcPr>
            <w:tcW w:type="dxa" w:w="536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Higher fill rate and fewer lost units</w:t>
            </w:r>
          </w:p>
        </w:tc>
      </w:tr>
      <w:tr>
        <w:tc>
          <w:tcPr>
            <w:tcW w:type="dxa" w:w="4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Reduce avoidable returns</w:t>
            </w:r>
          </w:p>
        </w:tc>
        <w:tc>
          <w:tcPr>
            <w:tcW w:type="dxa" w:w="5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Lower return rate and handling cost</w:t>
            </w:r>
          </w:p>
        </w:tc>
      </w:tr>
      <w:tr>
        <w:tc>
          <w:tcPr>
            <w:tcW w:type="dxa" w:w="40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Optimize working inventory</w:t>
            </w:r>
          </w:p>
        </w:tc>
        <w:tc>
          <w:tcPr>
            <w:tcW w:type="dxa" w:w="536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Service target achieved within stock/cash limits</w:t>
            </w:r>
          </w:p>
        </w:tc>
      </w:tr>
      <w:tr>
        <w:tc>
          <w:tcPr>
            <w:tcW w:type="dxa" w:w="4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Operationalize in Power BI</w:t>
            </w:r>
          </w:p>
        </w:tc>
        <w:tc>
          <w:tcPr>
            <w:tcW w:type="dxa" w:w="5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Scenario, confidence, and exception views</w:t>
            </w:r>
          </w:p>
        </w:tc>
      </w:tr>
    </w:tbl>
    <w:p>
      <w:pPr>
        <w:pStyle w:val="Heading1"/>
      </w:pPr>
      <w:r>
        <w:t>2. Scope</w:t>
      </w:r>
    </w:p>
    <w:p>
      <w:pPr>
        <w:pStyle w:val="ListBullet"/>
      </w:pPr>
      <w:r>
        <w:t>In scope: current PostgreSQL ETL, analytical views, Power BI model, 2018 orders/details, 12-month sub-category simulation, five scenarios, outputs, controls, and pilot roadmap.</w:t>
      </w:r>
    </w:p>
    <w:p>
      <w:pPr>
        <w:pStyle w:val="ListBullet"/>
      </w:pPr>
      <w:r>
        <w:t>Out of scope: autonomous purchasing/pricing, real payment processing, warehouse execution, supplier contracting, and SKU/location optimization until source fields exist.</w:t>
      </w:r>
    </w:p>
    <w:p>
      <w:pPr>
        <w:pStyle w:val="Heading1"/>
      </w:pPr>
      <w:r>
        <w:t>3. Stakeholders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6260"/>
      </w:tblGrid>
      <w:tr>
        <w:tc>
          <w:tcPr>
            <w:tcW w:type="dxa" w:w="3100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Stakeholder</w:t>
            </w:r>
          </w:p>
        </w:tc>
        <w:tc>
          <w:tcPr>
            <w:tcW w:type="dxa" w:w="6260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Accountability</w:t>
            </w:r>
          </w:p>
        </w:tc>
      </w:tr>
      <w:tr>
        <w:tc>
          <w:tcPr>
            <w:tcW w:type="dxa" w:w="3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Business Owner</w:t>
            </w:r>
          </w:p>
        </w:tc>
        <w:tc>
          <w:tcPr>
            <w:tcW w:type="dxa" w:w="6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Outcomes and policy approval</w:t>
            </w:r>
          </w:p>
        </w:tc>
      </w:tr>
      <w:tr>
        <w:tc>
          <w:tcPr>
            <w:tcW w:type="dxa" w:w="31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Sales/Marketing</w:t>
            </w:r>
          </w:p>
        </w:tc>
        <w:tc>
          <w:tcPr>
            <w:tcW w:type="dxa" w:w="626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Pricing and campaign rules</w:t>
            </w:r>
          </w:p>
        </w:tc>
      </w:tr>
      <w:tr>
        <w:tc>
          <w:tcPr>
            <w:tcW w:type="dxa" w:w="3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Merchandising/Inventory</w:t>
            </w:r>
          </w:p>
        </w:tc>
        <w:tc>
          <w:tcPr>
            <w:tcW w:type="dxa" w:w="6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Availability and replenishment</w:t>
            </w:r>
          </w:p>
        </w:tc>
      </w:tr>
      <w:tr>
        <w:tc>
          <w:tcPr>
            <w:tcW w:type="dxa" w:w="31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Finance</w:t>
            </w:r>
          </w:p>
        </w:tc>
        <w:tc>
          <w:tcPr>
            <w:tcW w:type="dxa" w:w="626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Unit economics and investment limits</w:t>
            </w:r>
          </w:p>
        </w:tc>
      </w:tr>
      <w:tr>
        <w:tc>
          <w:tcPr>
            <w:tcW w:type="dxa" w:w="3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Customer Service</w:t>
            </w:r>
          </w:p>
        </w:tc>
        <w:tc>
          <w:tcPr>
            <w:tcW w:type="dxa" w:w="6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Return/cancellation policy</w:t>
            </w:r>
          </w:p>
        </w:tc>
      </w:tr>
      <w:tr>
        <w:tc>
          <w:tcPr>
            <w:tcW w:type="dxa" w:w="31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Data/BI</w:t>
            </w:r>
          </w:p>
        </w:tc>
        <w:tc>
          <w:tcPr>
            <w:tcW w:type="dxa" w:w="626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ETL, PostgreSQL, Power BI, quality</w:t>
            </w:r>
          </w:p>
        </w:tc>
      </w:tr>
      <w:tr>
        <w:tc>
          <w:tcPr>
            <w:tcW w:type="dxa" w:w="3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Risk/Audit</w:t>
            </w:r>
          </w:p>
        </w:tc>
        <w:tc>
          <w:tcPr>
            <w:tcW w:type="dxa" w:w="6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Approvals and non-autonomous control</w:t>
            </w:r>
          </w:p>
        </w:tc>
      </w:tr>
    </w:tbl>
    <w:p>
      <w:pPr>
        <w:pStyle w:val="Heading1"/>
      </w:pPr>
      <w:r>
        <w:t>4. Business requirements</w:t>
      </w:r>
    </w:p>
    <w:p>
      <w:pPr>
        <w:pStyle w:val="RequirementID"/>
      </w:pPr>
      <w:r>
        <w:t>EBR-001 — Unified decision view</w:t>
      </w:r>
    </w:p>
    <w:p>
      <w:r>
        <w:rPr>
          <w:rFonts w:ascii="Calibri" w:hAnsi="Calibri"/>
          <w:b/>
          <w:i w:val="0"/>
          <w:color w:val="17324D"/>
          <w:sz w:val="21"/>
        </w:rPr>
        <w:t xml:space="preserve">Requirement: </w:t>
      </w:r>
      <w:r>
        <w:rPr>
          <w:rFonts w:ascii="Calibri" w:hAnsi="Calibri"/>
          <w:b w:val="0"/>
          <w:i w:val="0"/>
          <w:color w:val="222222"/>
          <w:sz w:val="21"/>
        </w:rPr>
        <w:t>The solution shall combine historical commerce KPIs with scenario outcomes.</w:t>
      </w:r>
    </w:p>
    <w:p>
      <w:pPr>
        <w:spacing w:after="100"/>
      </w:pPr>
      <w:r>
        <w:rPr>
          <w:rFonts w:ascii="Calibri" w:hAnsi="Calibri"/>
          <w:b w:val="0"/>
          <w:i/>
          <w:color w:val="59636E"/>
          <w:sz w:val="18"/>
        </w:rPr>
        <w:t>Priority: Must  |  Owner: Business/Product</w:t>
      </w:r>
    </w:p>
    <w:p>
      <w:pPr>
        <w:pStyle w:val="RequirementID"/>
      </w:pPr>
      <w:r>
        <w:t>EBR-002 — Policy comparison</w:t>
      </w:r>
    </w:p>
    <w:p>
      <w:r>
        <w:rPr>
          <w:rFonts w:ascii="Calibri" w:hAnsi="Calibri"/>
          <w:b/>
          <w:i w:val="0"/>
          <w:color w:val="17324D"/>
          <w:sz w:val="21"/>
        </w:rPr>
        <w:t xml:space="preserve">Requirement: </w:t>
      </w:r>
      <w:r>
        <w:rPr>
          <w:rFonts w:ascii="Calibri" w:hAnsi="Calibri"/>
          <w:b w:val="0"/>
          <w:i w:val="0"/>
          <w:color w:val="222222"/>
          <w:sz w:val="21"/>
        </w:rPr>
        <w:t>Users shall compare baseline, growth, margin, inventory, and stress policies.</w:t>
      </w:r>
    </w:p>
    <w:p>
      <w:pPr>
        <w:spacing w:after="100"/>
      </w:pPr>
      <w:r>
        <w:rPr>
          <w:rFonts w:ascii="Calibri" w:hAnsi="Calibri"/>
          <w:b w:val="0"/>
          <w:i/>
          <w:color w:val="59636E"/>
          <w:sz w:val="18"/>
        </w:rPr>
        <w:t>Priority: Must  |  Owner: Business/Product</w:t>
      </w:r>
    </w:p>
    <w:p>
      <w:pPr>
        <w:pStyle w:val="RequirementID"/>
      </w:pPr>
      <w:r>
        <w:t>EBR-003 — Profit protection</w:t>
      </w:r>
    </w:p>
    <w:p>
      <w:r>
        <w:rPr>
          <w:rFonts w:ascii="Calibri" w:hAnsi="Calibri"/>
          <w:b/>
          <w:i w:val="0"/>
          <w:color w:val="17324D"/>
          <w:sz w:val="21"/>
        </w:rPr>
        <w:t xml:space="preserve">Requirement: </w:t>
      </w:r>
      <w:r>
        <w:rPr>
          <w:rFonts w:ascii="Calibri" w:hAnsi="Calibri"/>
          <w:b w:val="0"/>
          <w:i w:val="0"/>
          <w:color w:val="222222"/>
          <w:sz w:val="21"/>
        </w:rPr>
        <w:t>All growth decisions shall show revenue, cost, returns, and profit together.</w:t>
      </w:r>
    </w:p>
    <w:p>
      <w:pPr>
        <w:spacing w:after="100"/>
      </w:pPr>
      <w:r>
        <w:rPr>
          <w:rFonts w:ascii="Calibri" w:hAnsi="Calibri"/>
          <w:b w:val="0"/>
          <w:i/>
          <w:color w:val="59636E"/>
          <w:sz w:val="18"/>
        </w:rPr>
        <w:t>Priority: Must  |  Owner: Business/Product</w:t>
      </w:r>
    </w:p>
    <w:p>
      <w:pPr>
        <w:pStyle w:val="RequirementID"/>
      </w:pPr>
      <w:r>
        <w:t>EBR-004 — Availability</w:t>
      </w:r>
    </w:p>
    <w:p>
      <w:r>
        <w:rPr>
          <w:rFonts w:ascii="Calibri" w:hAnsi="Calibri"/>
          <w:b/>
          <w:i w:val="0"/>
          <w:color w:val="17324D"/>
          <w:sz w:val="21"/>
        </w:rPr>
        <w:t xml:space="preserve">Requirement: </w:t>
      </w:r>
      <w:r>
        <w:rPr>
          <w:rFonts w:ascii="Calibri" w:hAnsi="Calibri"/>
          <w:b w:val="0"/>
          <w:i w:val="0"/>
          <w:color w:val="222222"/>
          <w:sz w:val="21"/>
        </w:rPr>
        <w:t>The solution shall quantify fill rate, lost demand, inventory, and replenishment.</w:t>
      </w:r>
    </w:p>
    <w:p>
      <w:pPr>
        <w:spacing w:after="100"/>
      </w:pPr>
      <w:r>
        <w:rPr>
          <w:rFonts w:ascii="Calibri" w:hAnsi="Calibri"/>
          <w:b w:val="0"/>
          <w:i/>
          <w:color w:val="59636E"/>
          <w:sz w:val="18"/>
        </w:rPr>
        <w:t>Priority: Must  |  Owner: Business/Product</w:t>
      </w:r>
    </w:p>
    <w:p>
      <w:pPr>
        <w:pStyle w:val="RequirementID"/>
      </w:pPr>
      <w:r>
        <w:t>EBR-005 — Return control</w:t>
      </w:r>
    </w:p>
    <w:p>
      <w:r>
        <w:rPr>
          <w:rFonts w:ascii="Calibri" w:hAnsi="Calibri"/>
          <w:b/>
          <w:i w:val="0"/>
          <w:color w:val="17324D"/>
          <w:sz w:val="21"/>
        </w:rPr>
        <w:t xml:space="preserve">Requirement: </w:t>
      </w:r>
      <w:r>
        <w:rPr>
          <w:rFonts w:ascii="Calibri" w:hAnsi="Calibri"/>
          <w:b w:val="0"/>
          <w:i w:val="0"/>
          <w:color w:val="222222"/>
          <w:sz w:val="21"/>
        </w:rPr>
        <w:t>The solution shall quantify returned units and handling costs using approved assumptions.</w:t>
      </w:r>
    </w:p>
    <w:p>
      <w:pPr>
        <w:spacing w:after="100"/>
      </w:pPr>
      <w:r>
        <w:rPr>
          <w:rFonts w:ascii="Calibri" w:hAnsi="Calibri"/>
          <w:b w:val="0"/>
          <w:i/>
          <w:color w:val="59636E"/>
          <w:sz w:val="18"/>
        </w:rPr>
        <w:t>Priority: Must  |  Owner: Business/Product</w:t>
      </w:r>
    </w:p>
    <w:p>
      <w:pPr>
        <w:pStyle w:val="RequirementID"/>
      </w:pPr>
      <w:r>
        <w:t>EBR-006 — Product targeting</w:t>
      </w:r>
    </w:p>
    <w:p>
      <w:r>
        <w:rPr>
          <w:rFonts w:ascii="Calibri" w:hAnsi="Calibri"/>
          <w:b/>
          <w:i w:val="0"/>
          <w:color w:val="17324D"/>
          <w:sz w:val="21"/>
        </w:rPr>
        <w:t xml:space="preserve">Requirement: </w:t>
      </w:r>
      <w:r>
        <w:rPr>
          <w:rFonts w:ascii="Calibri" w:hAnsi="Calibri"/>
          <w:b w:val="0"/>
          <w:i w:val="0"/>
          <w:color w:val="222222"/>
          <w:sz w:val="21"/>
        </w:rPr>
        <w:t>Results shall be available by category and sub-category.</w:t>
      </w:r>
    </w:p>
    <w:p>
      <w:pPr>
        <w:spacing w:after="100"/>
      </w:pPr>
      <w:r>
        <w:rPr>
          <w:rFonts w:ascii="Calibri" w:hAnsi="Calibri"/>
          <w:b w:val="0"/>
          <w:i/>
          <w:color w:val="59636E"/>
          <w:sz w:val="18"/>
        </w:rPr>
        <w:t>Priority: Must  |  Owner: Business/Product</w:t>
      </w:r>
    </w:p>
    <w:p>
      <w:pPr>
        <w:pStyle w:val="RequirementID"/>
      </w:pPr>
      <w:r>
        <w:t>EBR-007 — Power BI</w:t>
      </w:r>
    </w:p>
    <w:p>
      <w:r>
        <w:rPr>
          <w:rFonts w:ascii="Calibri" w:hAnsi="Calibri"/>
          <w:b/>
          <w:i w:val="0"/>
          <w:color w:val="17324D"/>
          <w:sz w:val="21"/>
        </w:rPr>
        <w:t xml:space="preserve">Requirement: </w:t>
      </w:r>
      <w:r>
        <w:rPr>
          <w:rFonts w:ascii="Calibri" w:hAnsi="Calibri"/>
          <w:b w:val="0"/>
          <w:i w:val="0"/>
          <w:color w:val="222222"/>
          <w:sz w:val="21"/>
        </w:rPr>
        <w:t>Scenario outputs shall refresh into governed Power BI pages.</w:t>
      </w:r>
    </w:p>
    <w:p>
      <w:pPr>
        <w:spacing w:after="100"/>
      </w:pPr>
      <w:r>
        <w:rPr>
          <w:rFonts w:ascii="Calibri" w:hAnsi="Calibri"/>
          <w:b w:val="0"/>
          <w:i/>
          <w:color w:val="59636E"/>
          <w:sz w:val="18"/>
        </w:rPr>
        <w:t>Priority: Must  |  Owner: Business/Product</w:t>
      </w:r>
    </w:p>
    <w:p>
      <w:pPr>
        <w:pStyle w:val="RequirementID"/>
      </w:pPr>
      <w:r>
        <w:t>EBR-008 — Auditability</w:t>
      </w:r>
    </w:p>
    <w:p>
      <w:r>
        <w:rPr>
          <w:rFonts w:ascii="Calibri" w:hAnsi="Calibri"/>
          <w:b/>
          <w:i w:val="0"/>
          <w:color w:val="17324D"/>
          <w:sz w:val="21"/>
        </w:rPr>
        <w:t xml:space="preserve">Requirement: </w:t>
      </w:r>
      <w:r>
        <w:rPr>
          <w:rFonts w:ascii="Calibri" w:hAnsi="Calibri"/>
          <w:b w:val="0"/>
          <w:i w:val="0"/>
          <w:color w:val="222222"/>
          <w:sz w:val="21"/>
        </w:rPr>
        <w:t>Runs shall retain source, policy, horizon, count, seed, version, and status.</w:t>
      </w:r>
    </w:p>
    <w:p>
      <w:pPr>
        <w:spacing w:after="100"/>
      </w:pPr>
      <w:r>
        <w:rPr>
          <w:rFonts w:ascii="Calibri" w:hAnsi="Calibri"/>
          <w:b w:val="0"/>
          <w:i/>
          <w:color w:val="59636E"/>
          <w:sz w:val="18"/>
        </w:rPr>
        <w:t>Priority: Must  |  Owner: Business/Product</w:t>
      </w:r>
    </w:p>
    <w:p>
      <w:pPr>
        <w:pStyle w:val="RequirementID"/>
      </w:pPr>
      <w:r>
        <w:t>EBR-009 — Human approval</w:t>
      </w:r>
    </w:p>
    <w:p>
      <w:r>
        <w:rPr>
          <w:rFonts w:ascii="Calibri" w:hAnsi="Calibri"/>
          <w:b/>
          <w:i w:val="0"/>
          <w:color w:val="17324D"/>
          <w:sz w:val="21"/>
        </w:rPr>
        <w:t xml:space="preserve">Requirement: </w:t>
      </w:r>
      <w:r>
        <w:rPr>
          <w:rFonts w:ascii="Calibri" w:hAnsi="Calibri"/>
          <w:b w:val="0"/>
          <w:i w:val="0"/>
          <w:color w:val="222222"/>
          <w:sz w:val="21"/>
        </w:rPr>
        <w:t>The prototype shall not autonomously change price, stock, or orders.</w:t>
      </w:r>
    </w:p>
    <w:p>
      <w:pPr>
        <w:spacing w:after="100"/>
      </w:pPr>
      <w:r>
        <w:rPr>
          <w:rFonts w:ascii="Calibri" w:hAnsi="Calibri"/>
          <w:b w:val="0"/>
          <w:i/>
          <w:color w:val="59636E"/>
          <w:sz w:val="18"/>
        </w:rPr>
        <w:t>Priority: Must  |  Owner: Business/Product</w:t>
      </w:r>
    </w:p>
    <w:p>
      <w:pPr>
        <w:pStyle w:val="RequirementID"/>
      </w:pPr>
      <w:r>
        <w:t>EBR-010 — Production evolution</w:t>
      </w:r>
    </w:p>
    <w:p>
      <w:r>
        <w:rPr>
          <w:rFonts w:ascii="Calibri" w:hAnsi="Calibri"/>
          <w:b/>
          <w:i w:val="0"/>
          <w:color w:val="17324D"/>
          <w:sz w:val="21"/>
        </w:rPr>
        <w:t xml:space="preserve">Requirement: </w:t>
      </w:r>
      <w:r>
        <w:rPr>
          <w:rFonts w:ascii="Calibri" w:hAnsi="Calibri"/>
          <w:b w:val="0"/>
          <w:i w:val="0"/>
          <w:color w:val="222222"/>
          <w:sz w:val="21"/>
        </w:rPr>
        <w:t>The design shall support SKU, stock, PO, supplier, fulfillment, discount, return, and shipping data.</w:t>
      </w:r>
    </w:p>
    <w:p>
      <w:pPr>
        <w:spacing w:after="100"/>
      </w:pPr>
      <w:r>
        <w:rPr>
          <w:rFonts w:ascii="Calibri" w:hAnsi="Calibri"/>
          <w:b w:val="0"/>
          <w:i/>
          <w:color w:val="59636E"/>
          <w:sz w:val="18"/>
        </w:rPr>
        <w:t>Priority: Should  |  Owner: Business/Product</w:t>
      </w:r>
    </w:p>
    <w:p>
      <w:pPr>
        <w:pStyle w:val="Heading1"/>
      </w:pPr>
      <w:r>
        <w:t>5. KPIs, risks, and acceptance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6060"/>
      </w:tblGrid>
      <w:tr>
        <w:tc>
          <w:tcPr>
            <w:tcW w:type="dxa" w:w="3300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KPI</w:t>
            </w:r>
          </w:p>
        </w:tc>
        <w:tc>
          <w:tcPr>
            <w:tcW w:type="dxa" w:w="6060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Definition</w:t>
            </w:r>
          </w:p>
        </w:tc>
      </w:tr>
      <w:tr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Revenue</w:t>
            </w:r>
          </w:p>
        </w:tc>
        <w:tc>
          <w:tcPr>
            <w:tcW w:type="dxa" w:w="6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Net fulfilled sales after simulated returns</w:t>
            </w:r>
          </w:p>
        </w:tc>
      </w:tr>
      <w:tr>
        <w:tc>
          <w:tcPr>
            <w:tcW w:type="dxa" w:w="33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Profit</w:t>
            </w:r>
          </w:p>
        </w:tc>
        <w:tc>
          <w:tcPr>
            <w:tcW w:type="dxa" w:w="606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Revenue minus COGS and return handling</w:t>
            </w:r>
          </w:p>
        </w:tc>
      </w:tr>
      <w:tr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Fill rate</w:t>
            </w:r>
          </w:p>
        </w:tc>
        <w:tc>
          <w:tcPr>
            <w:tcW w:type="dxa" w:w="6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Gross fulfilled units ÷ demanded units</w:t>
            </w:r>
          </w:p>
        </w:tc>
      </w:tr>
      <w:tr>
        <w:tc>
          <w:tcPr>
            <w:tcW w:type="dxa" w:w="33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Lost units</w:t>
            </w:r>
          </w:p>
        </w:tc>
        <w:tc>
          <w:tcPr>
            <w:tcW w:type="dxa" w:w="606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Demand not fulfilled</w:t>
            </w:r>
          </w:p>
        </w:tc>
      </w:tr>
      <w:tr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Return rate</w:t>
            </w:r>
          </w:p>
        </w:tc>
        <w:tc>
          <w:tcPr>
            <w:tcW w:type="dxa" w:w="6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Returned units ÷ gross units sold</w:t>
            </w:r>
          </w:p>
        </w:tc>
      </w:tr>
      <w:tr>
        <w:tc>
          <w:tcPr>
            <w:tcW w:type="dxa" w:w="33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Average inventory</w:t>
            </w:r>
          </w:p>
        </w:tc>
        <w:tc>
          <w:tcPr>
            <w:tcW w:type="dxa" w:w="606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Mean ending virtual stock</w:t>
            </w:r>
          </w:p>
        </w:tc>
      </w:tr>
      <w:tr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Inventory turns</w:t>
            </w:r>
          </w:p>
        </w:tc>
        <w:tc>
          <w:tcPr>
            <w:tcW w:type="dxa" w:w="6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Modeled COGS relative to average inventory value</w:t>
            </w:r>
          </w:p>
        </w:tc>
      </w:tr>
    </w:tbl>
    <w:p>
      <w:pPr>
        <w:pStyle w:val="ListBullet"/>
      </w:pPr>
      <w:r>
        <w:t>Primary risks: missing operational inventory/return data, one-year history, inferred unit costs, overreliance on scenario results, and excess stock from portfolio-wide rules.</w:t>
      </w:r>
    </w:p>
    <w:p>
      <w:pPr>
        <w:pStyle w:val="ListBullet"/>
      </w:pPr>
      <w:r>
        <w:t>Acceptance requires reconciled historical KPIs, approved assumptions and limits, traceability of Must requirements, reproducible runs, Power BI contract tests, and verified human control.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9636E"/>
        <w:sz w:val="18"/>
      </w:rPr>
      <w:t>Controlled project document  |  Version 1.0  |  17 August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i w:val="0"/>
        <w:color w:val="59636E"/>
        <w:sz w:val="18"/>
      </w:rPr>
      <w:t>SUPPLY CHAIN INTELLIGENCE HUB  |  BUSINESS REQUIREMENTS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732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quirementID">
    <w:name w:val="Requirement ID"/>
    <w:pPr>
      <w:keepNext/>
      <w:spacing w:before="160" w:after="40"/>
    </w:pPr>
    <w:rPr>
      <w:rFonts w:ascii="Calibri" w:hAnsi="Calibri"/>
      <w:b/>
      <w:color w:val="17324D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