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</w:pPr>
      <w:r>
        <w:rPr>
          <w:rFonts w:ascii="Calibri" w:hAnsi="Calibri"/>
          <w:b/>
          <w:i w:val="0"/>
          <w:color w:val="C69214"/>
          <w:sz w:val="20"/>
        </w:rPr>
        <w:t>ME-FRD-001</w:t>
      </w:r>
    </w:p>
    <w:p>
      <w:pPr>
        <w:spacing w:after="80"/>
      </w:pPr>
      <w:r>
        <w:rPr>
          <w:rFonts w:ascii="Calibri" w:hAnsi="Calibri"/>
          <w:b/>
          <w:i w:val="0"/>
          <w:color w:val="17324D"/>
          <w:sz w:val="56"/>
        </w:rPr>
        <w:t>Functional Requirements Document</w:t>
      </w:r>
    </w:p>
    <w:p>
      <w:pPr>
        <w:spacing w:after="400"/>
      </w:pPr>
      <w:r>
        <w:rPr>
          <w:rFonts w:ascii="Calibri" w:hAnsi="Calibri"/>
          <w:b w:val="0"/>
          <w:i w:val="0"/>
          <w:color w:val="167D8D"/>
          <w:sz w:val="28"/>
        </w:rPr>
        <w:t>E-Commerce Digital Twin, PostgreSQL ETL, and Power BI</w:t>
      </w:r>
    </w:p>
    <w:p>
      <w:pPr>
        <w:spacing w:after="60"/>
      </w:pPr>
      <w:r>
        <w:rPr>
          <w:rFonts w:ascii="Calibri" w:hAnsi="Calibri"/>
          <w:b/>
          <w:i w:val="0"/>
          <w:color w:val="17324D"/>
          <w:sz w:val="21"/>
        </w:rPr>
        <w:t xml:space="preserve">Project: </w:t>
      </w:r>
      <w:r>
        <w:rPr>
          <w:rFonts w:ascii="Calibri" w:hAnsi="Calibri"/>
          <w:b w:val="0"/>
          <w:i w:val="0"/>
          <w:color w:val="222222"/>
          <w:sz w:val="21"/>
        </w:rPr>
        <w:t>Supply Chain Intelligence Hub and Digital Twin</w:t>
      </w:r>
    </w:p>
    <w:p>
      <w:pPr>
        <w:spacing w:after="60"/>
      </w:pPr>
      <w:r>
        <w:rPr>
          <w:rFonts w:ascii="Calibri" w:hAnsi="Calibri"/>
          <w:b/>
          <w:i w:val="0"/>
          <w:color w:val="17324D"/>
          <w:sz w:val="21"/>
        </w:rPr>
        <w:t xml:space="preserve">Document owner: </w:t>
      </w:r>
      <w:r>
        <w:rPr>
          <w:rFonts w:ascii="Calibri" w:hAnsi="Calibri"/>
          <w:b w:val="0"/>
          <w:i w:val="0"/>
          <w:color w:val="222222"/>
          <w:sz w:val="21"/>
        </w:rPr>
        <w:t>Business Analysis / Product Management</w:t>
      </w:r>
    </w:p>
    <w:p>
      <w:pPr>
        <w:spacing w:after="60"/>
      </w:pPr>
      <w:r>
        <w:rPr>
          <w:rFonts w:ascii="Calibri" w:hAnsi="Calibri"/>
          <w:b/>
          <w:i w:val="0"/>
          <w:color w:val="17324D"/>
          <w:sz w:val="21"/>
        </w:rPr>
        <w:t xml:space="preserve">Version: </w:t>
      </w:r>
      <w:r>
        <w:rPr>
          <w:rFonts w:ascii="Calibri" w:hAnsi="Calibri"/>
          <w:b w:val="0"/>
          <w:i w:val="0"/>
          <w:color w:val="222222"/>
          <w:sz w:val="21"/>
        </w:rPr>
        <w:t>1.0</w:t>
      </w:r>
    </w:p>
    <w:p>
      <w:pPr>
        <w:spacing w:after="60"/>
      </w:pPr>
      <w:r>
        <w:rPr>
          <w:rFonts w:ascii="Calibri" w:hAnsi="Calibri"/>
          <w:b/>
          <w:i w:val="0"/>
          <w:color w:val="17324D"/>
          <w:sz w:val="21"/>
        </w:rPr>
        <w:t xml:space="preserve">Status: </w:t>
      </w:r>
      <w:r>
        <w:rPr>
          <w:rFonts w:ascii="Calibri" w:hAnsi="Calibri"/>
          <w:b w:val="0"/>
          <w:i w:val="0"/>
          <w:color w:val="222222"/>
          <w:sz w:val="21"/>
        </w:rPr>
        <w:t>Draft for stakeholder review</w:t>
      </w:r>
    </w:p>
    <w:p>
      <w:pPr>
        <w:spacing w:after="60"/>
      </w:pPr>
      <w:r>
        <w:rPr>
          <w:rFonts w:ascii="Calibri" w:hAnsi="Calibri"/>
          <w:b/>
          <w:i w:val="0"/>
          <w:color w:val="17324D"/>
          <w:sz w:val="21"/>
        </w:rPr>
        <w:t xml:space="preserve">Date: </w:t>
      </w:r>
      <w:r>
        <w:rPr>
          <w:rFonts w:ascii="Calibri" w:hAnsi="Calibri"/>
          <w:b w:val="0"/>
          <w:i w:val="0"/>
          <w:color w:val="222222"/>
          <w:sz w:val="21"/>
        </w:rPr>
        <w:t>17 August 2026</w:t>
      </w:r>
    </w:p>
    <w:p>
      <w:pPr>
        <w:spacing w:after="60"/>
      </w:pPr>
      <w:r>
        <w:rPr>
          <w:rFonts w:ascii="Calibri" w:hAnsi="Calibri"/>
          <w:b/>
          <w:i w:val="0"/>
          <w:color w:val="17324D"/>
          <w:sz w:val="21"/>
        </w:rPr>
        <w:t xml:space="preserve">Classification: </w:t>
      </w:r>
      <w:r>
        <w:rPr>
          <w:rFonts w:ascii="Calibri" w:hAnsi="Calibri"/>
          <w:b w:val="0"/>
          <w:i w:val="0"/>
          <w:color w:val="222222"/>
          <w:sz w:val="21"/>
        </w:rPr>
        <w:t>Internal</w:t>
      </w:r>
    </w:p>
    <w:p>
      <w:pPr>
        <w:spacing w:before="400" w:after="160"/>
      </w:pPr>
      <w:r>
        <w:rPr>
          <w:rFonts w:ascii="Calibri" w:hAnsi="Calibri"/>
          <w:b/>
          <w:i w:val="0"/>
          <w:color w:val="2E74B5"/>
          <w:sz w:val="24"/>
        </w:rPr>
        <w:t>Document purpose</w:t>
      </w:r>
    </w:p>
    <w:p>
      <w:r>
        <w:t>This controlled document defines the approved scope and requirements for transforming the existing analytics notebook and Power BI dashboard into a governed, scenario-based supply-chain digital twin.</w:t>
      </w:r>
    </w:p>
    <w:p>
      <w:pPr>
        <w:spacing w:before="360"/>
        <w:shd w:fill="E8EEF5"/>
      </w:pPr>
      <w:r>
        <w:rPr>
          <w:rFonts w:ascii="Calibri" w:hAnsi="Calibri"/>
          <w:b/>
          <w:i w:val="0"/>
          <w:color w:val="17324D"/>
          <w:sz w:val="22"/>
        </w:rPr>
        <w:t xml:space="preserve">Approval gate: </w:t>
      </w:r>
      <w:r>
        <w:rPr>
          <w:rFonts w:ascii="Calibri" w:hAnsi="Calibri"/>
          <w:b w:val="0"/>
          <w:i w:val="0"/>
          <w:color w:val="222222"/>
          <w:sz w:val="22"/>
        </w:rPr>
        <w:t>Requirements become baselined only after Business Owner, Operations, Finance, Data/Technology, and Quality approval.</w:t>
      </w:r>
    </w:p>
    <w:p>
      <w:r>
        <w:br w:type="page"/>
      </w:r>
    </w:p>
    <w:p>
      <w:pPr>
        <w:pStyle w:val="Heading1"/>
      </w:pPr>
      <w:r>
        <w:t>Document control</w:t>
      </w:r>
    </w:p>
    <w:p>
      <w:pPr>
        <w:pStyle w:val="Heading2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400"/>
        <w:gridCol w:w="1900"/>
        <w:gridCol w:w="3560"/>
        <w:gridCol w:w="1600"/>
      </w:tblGrid>
      <w:tr>
        <w:tc>
          <w:tcPr>
            <w:tcW w:type="dxa" w:w="9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14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19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Author/Owner</w:t>
            </w:r>
          </w:p>
        </w:tc>
        <w:tc>
          <w:tcPr>
            <w:tcW w:type="dxa" w:w="356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Change</w:t>
            </w:r>
          </w:p>
        </w:tc>
        <w:tc>
          <w:tcPr>
            <w:tcW w:type="dxa" w:w="16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1.0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17 Aug 2026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Business Analysis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Initial controlled draft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Review</w:t>
            </w:r>
          </w:p>
        </w:tc>
      </w:tr>
    </w:tbl>
    <w:p>
      <w:pPr>
        <w:pStyle w:val="Heading2"/>
      </w:pPr>
      <w:r>
        <w:t>Review and approval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500"/>
        <w:gridCol w:w="2300"/>
        <w:gridCol w:w="1960"/>
      </w:tblGrid>
      <w:tr>
        <w:tc>
          <w:tcPr>
            <w:tcW w:type="dxa" w:w="26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5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3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196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Business Sponsor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________________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Approve / Reject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__________</w:t>
            </w:r>
          </w:p>
        </w:tc>
      </w:tr>
      <w:tr>
        <w:tc>
          <w:tcPr>
            <w:tcW w:type="dxa" w:w="26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Supply Chain Owner</w:t>
            </w:r>
          </w:p>
        </w:tc>
        <w:tc>
          <w:tcPr>
            <w:tcW w:type="dxa" w:w="25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________________</w:t>
            </w:r>
          </w:p>
        </w:tc>
        <w:tc>
          <w:tcPr>
            <w:tcW w:type="dxa" w:w="23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Approve / Reject</w:t>
            </w:r>
          </w:p>
        </w:tc>
        <w:tc>
          <w:tcPr>
            <w:tcW w:type="dxa" w:w="19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__________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Finance Owner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________________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Approve / Reject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__________</w:t>
            </w:r>
          </w:p>
        </w:tc>
      </w:tr>
      <w:tr>
        <w:tc>
          <w:tcPr>
            <w:tcW w:type="dxa" w:w="26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Data/Technology Owner</w:t>
            </w:r>
          </w:p>
        </w:tc>
        <w:tc>
          <w:tcPr>
            <w:tcW w:type="dxa" w:w="25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________________</w:t>
            </w:r>
          </w:p>
        </w:tc>
        <w:tc>
          <w:tcPr>
            <w:tcW w:type="dxa" w:w="23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Approve / Reject</w:t>
            </w:r>
          </w:p>
        </w:tc>
        <w:tc>
          <w:tcPr>
            <w:tcW w:type="dxa" w:w="19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__________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Quality Owner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________________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Approve / Reject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__________</w:t>
            </w:r>
          </w:p>
        </w:tc>
      </w:tr>
    </w:tbl>
    <w:p>
      <w:pPr>
        <w:pStyle w:val="Heading1"/>
      </w:pPr>
      <w:r>
        <w:t>1. Architecture and data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800"/>
        <w:gridCol w:w="4960"/>
      </w:tblGrid>
      <w:tr>
        <w:tc>
          <w:tcPr>
            <w:tcW w:type="dxa" w:w="16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28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496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Function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Source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Orders.csv / Details.csv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Order, customer, geography, amount, profit, quantity, product, payment</w:t>
            </w:r>
          </w:p>
        </w:tc>
      </w:tr>
      <w:tr>
        <w:tc>
          <w:tcPr>
            <w:tcW w:type="dxa" w:w="16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ETL</w:t>
            </w:r>
          </w:p>
        </w:tc>
        <w:tc>
          <w:tcPr>
            <w:tcW w:type="dxa" w:w="2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PostgreSQL staging and cleaned tables</w:t>
            </w:r>
          </w:p>
        </w:tc>
        <w:tc>
          <w:tcPr>
            <w:tcW w:type="dxa" w:w="49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Quality, types, deduplication, PK/FK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Analytics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Enriched and aggregate views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Margins, time, region, customer/product rankings</w:t>
            </w:r>
          </w:p>
        </w:tc>
      </w:tr>
      <w:tr>
        <w:tc>
          <w:tcPr>
            <w:tcW w:type="dxa" w:w="16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Twin</w:t>
            </w:r>
          </w:p>
        </w:tc>
        <w:tc>
          <w:tcPr>
            <w:tcW w:type="dxa" w:w="2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Python Monte Carlo engine</w:t>
            </w:r>
          </w:p>
        </w:tc>
        <w:tc>
          <w:tcPr>
            <w:tcW w:type="dxa" w:w="49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Demand, inventory, fulfillment, returns, pricing, replenishment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Output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CSV/JSON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Run metrics, summary, monthly state, configuration</w:t>
            </w:r>
          </w:p>
        </w:tc>
      </w:tr>
      <w:tr>
        <w:tc>
          <w:tcPr>
            <w:tcW w:type="dxa" w:w="16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BI</w:t>
            </w:r>
          </w:p>
        </w:tc>
        <w:tc>
          <w:tcPr>
            <w:tcW w:type="dxa" w:w="2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Power BI</w:t>
            </w:r>
          </w:p>
        </w:tc>
        <w:tc>
          <w:tcPr>
            <w:tcW w:type="dxa" w:w="49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Historical and scenario decision pages</w:t>
            </w:r>
          </w:p>
        </w:tc>
      </w:tr>
    </w:tbl>
    <w:p>
      <w:pPr>
        <w:pStyle w:val="Heading1"/>
      </w:pPr>
      <w:r>
        <w:t>2. Functional requirements</w:t>
      </w:r>
    </w:p>
    <w:p>
      <w:pPr>
        <w:pStyle w:val="RequirementID"/>
      </w:pPr>
      <w:r>
        <w:t>EFR-001 — Input contracts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Validate required Orders and Details schemas.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Must  |  Owner: Engineering/Product</w:t>
      </w:r>
    </w:p>
    <w:p>
      <w:pPr>
        <w:pStyle w:val="RequirementID"/>
      </w:pPr>
      <w:r>
        <w:t>EFR-002 — Referential integrity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Reject orphan detail records and invalid dates.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Must  |  Owner: Engineering/Product</w:t>
      </w:r>
    </w:p>
    <w:p>
      <w:pPr>
        <w:pStyle w:val="RequirementID"/>
      </w:pPr>
      <w:r>
        <w:t>EFR-003 — Calibration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Calculate monthly sub-category demand, ASP, and unit cost from amount, profit, and quantity.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Must  |  Owner: Engineering/Product</w:t>
      </w:r>
    </w:p>
    <w:p>
      <w:pPr>
        <w:pStyle w:val="RequirementID"/>
      </w:pPr>
      <w:r>
        <w:t>EFR-004 — Twin state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Maintain virtual inventory, pipeline replenishment, demand, sold, returned, lost, revenue, costs, and profit.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Must  |  Owner: Engineering/Product</w:t>
      </w:r>
    </w:p>
    <w:p>
      <w:pPr>
        <w:pStyle w:val="RequirementID"/>
      </w:pPr>
      <w:r>
        <w:t>EFR-005 — Policies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Configure demand, inventory cover, price, return rate, and replenishment multiplier.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Must  |  Owner: Engineering/Product</w:t>
      </w:r>
    </w:p>
    <w:p>
      <w:pPr>
        <w:pStyle w:val="RequirementID"/>
      </w:pPr>
      <w:r>
        <w:t>EFR-006 — Fulfillment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Gross units sold shall not exceed demand or available inventory.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Must  |  Owner: Engineering/Product</w:t>
      </w:r>
    </w:p>
    <w:p>
      <w:pPr>
        <w:pStyle w:val="RequirementID"/>
      </w:pPr>
      <w:r>
        <w:t>EFR-007 — Returns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Sample returns using the policy rate and deduct revenue plus handling cost.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Must  |  Owner: Engineering/Product</w:t>
      </w:r>
    </w:p>
    <w:p>
      <w:pPr>
        <w:pStyle w:val="RequirementID"/>
      </w:pPr>
      <w:r>
        <w:t>EFR-008 — Replenishment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Place next-month orders against target cover using the policy multiplier.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Must  |  Owner: Engineering/Product</w:t>
      </w:r>
    </w:p>
    <w:p>
      <w:pPr>
        <w:pStyle w:val="RequirementID"/>
      </w:pPr>
      <w:r>
        <w:t>EFR-009 — Monte Carlo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Run configurable scenarios, months, iterations, and deterministic seeds.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Must  |  Owner: Engineering/Product</w:t>
      </w:r>
    </w:p>
    <w:p>
      <w:pPr>
        <w:pStyle w:val="RequirementID"/>
      </w:pPr>
      <w:r>
        <w:t>EFR-010 — Aggregation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Publish mean, standard deviation, P05, and P95.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Must  |  Owner: Engineering/Product</w:t>
      </w:r>
    </w:p>
    <w:p>
      <w:pPr>
        <w:pStyle w:val="RequirementID"/>
      </w:pPr>
      <w:r>
        <w:t>EFR-011 — Outputs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Publish run-level, scenario, monthly state, and JSON configuration outputs.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Must  |  Owner: Engineering/Product</w:t>
      </w:r>
    </w:p>
    <w:p>
      <w:pPr>
        <w:pStyle w:val="RequirementID"/>
      </w:pPr>
      <w:r>
        <w:t>EFR-012 — Power BI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Maintain stable schemas for automated refresh.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Must  |  Owner: Engineering/Product</w:t>
      </w:r>
    </w:p>
    <w:p>
      <w:pPr>
        <w:pStyle w:val="RequirementID"/>
      </w:pPr>
      <w:r>
        <w:t>EFR-013 — Failure control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Invalid input shall stop publication and preserve the last approved outputs.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Must  |  Owner: Engineering/Product</w:t>
      </w:r>
    </w:p>
    <w:p>
      <w:pPr>
        <w:pStyle w:val="RequirementID"/>
      </w:pPr>
      <w:r>
        <w:t>EFR-014 — No operational writes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Do not create POs, change prices, or execute refunds.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Must  |  Owner: Engineering/Product</w:t>
      </w:r>
    </w:p>
    <w:p>
      <w:pPr>
        <w:pStyle w:val="RequirementID"/>
      </w:pPr>
      <w:r>
        <w:t>EFR-015 — Extensibility</w:t>
      </w:r>
    </w:p>
    <w:p>
      <w:r>
        <w:rPr>
          <w:rFonts w:ascii="Calibri" w:hAnsi="Calibri"/>
          <w:b/>
          <w:i w:val="0"/>
          <w:color w:val="17324D"/>
          <w:sz w:val="21"/>
        </w:rPr>
        <w:t xml:space="preserve">Requirement: </w:t>
      </w:r>
      <w:r>
        <w:rPr>
          <w:rFonts w:ascii="Calibri" w:hAnsi="Calibri"/>
          <w:b w:val="0"/>
          <w:i w:val="0"/>
          <w:color w:val="222222"/>
          <w:sz w:val="21"/>
        </w:rPr>
        <w:t>Support future SKU/location, stock, supplier, fulfillment, discount, return, and shipping fields.</w:t>
      </w:r>
    </w:p>
    <w:p>
      <w:pPr>
        <w:spacing w:after="100"/>
      </w:pPr>
      <w:r>
        <w:rPr>
          <w:rFonts w:ascii="Calibri" w:hAnsi="Calibri"/>
          <w:b w:val="0"/>
          <w:i/>
          <w:color w:val="59636E"/>
          <w:sz w:val="18"/>
        </w:rPr>
        <w:t>Priority: Should  |  Owner: Engineering/Product</w:t>
      </w:r>
    </w:p>
    <w:p>
      <w:pPr>
        <w:pStyle w:val="Heading1"/>
      </w:pPr>
      <w:r>
        <w:t>3. Calculations and interfaces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Measure</w:t>
            </w:r>
          </w:p>
        </w:tc>
        <w:tc>
          <w:tcPr>
            <w:tcW w:type="dxa" w:w="636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ASP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Sales ÷ quantity by sub-category</w:t>
            </w:r>
          </w:p>
        </w:tc>
      </w:tr>
      <w:tr>
        <w:tc>
          <w:tcPr>
            <w:tcW w:type="dxa" w:w="30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Unit cost</w:t>
            </w:r>
          </w:p>
        </w:tc>
        <w:tc>
          <w:tcPr>
            <w:tcW w:type="dxa" w:w="63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(sales − profit) ÷ quantity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Fulfilled units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min(inventory, demand)</w:t>
            </w:r>
          </w:p>
        </w:tc>
      </w:tr>
      <w:tr>
        <w:tc>
          <w:tcPr>
            <w:tcW w:type="dxa" w:w="30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Net units</w:t>
            </w:r>
          </w:p>
        </w:tc>
        <w:tc>
          <w:tcPr>
            <w:tcW w:type="dxa" w:w="63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fulfilled − returned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Revenue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net units × scenario price</w:t>
            </w:r>
          </w:p>
        </w:tc>
      </w:tr>
      <w:tr>
        <w:tc>
          <w:tcPr>
            <w:tcW w:type="dxa" w:w="30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Profit</w:t>
            </w:r>
          </w:p>
        </w:tc>
        <w:tc>
          <w:tcPr>
            <w:tcW w:type="dxa" w:w="63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revenue − COGS − return handling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Fill rate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fulfilled ÷ demand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700"/>
        <w:gridCol w:w="4660"/>
      </w:tblGrid>
      <w:tr>
        <w:tc>
          <w:tcPr>
            <w:tcW w:type="dxa" w:w="47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Output</w:t>
            </w:r>
          </w:p>
        </w:tc>
        <w:tc>
          <w:tcPr>
            <w:tcW w:type="dxa" w:w="466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Grain</w:t>
            </w:r>
          </w:p>
        </w:tc>
      </w:tr>
      <w:tr>
        <w:tc>
          <w:tcPr>
            <w:tcW w:type="dxa" w:w="4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ecommerce_monte_carlo_runs.csv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Scenario × run</w:t>
            </w:r>
          </w:p>
        </w:tc>
      </w:tr>
      <w:tr>
        <w:tc>
          <w:tcPr>
            <w:tcW w:type="dxa" w:w="4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ecommerce_scenario_summary.csv</w:t>
            </w:r>
          </w:p>
        </w:tc>
        <w:tc>
          <w:tcPr>
            <w:tcW w:type="dxa" w:w="46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Scenario</w:t>
            </w:r>
          </w:p>
        </w:tc>
      </w:tr>
      <w:tr>
        <w:tc>
          <w:tcPr>
            <w:tcW w:type="dxa" w:w="4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ecommerce_twin_monthly_state.csv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Scenario × month × category × sub-category</w:t>
            </w:r>
          </w:p>
        </w:tc>
      </w:tr>
      <w:tr>
        <w:tc>
          <w:tcPr>
            <w:tcW w:type="dxa" w:w="4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ecommerce_twin_config.json</w:t>
            </w:r>
          </w:p>
        </w:tc>
        <w:tc>
          <w:tcPr>
            <w:tcW w:type="dxa" w:w="46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Run</w:t>
            </w:r>
          </w:p>
        </w:tc>
      </w:tr>
    </w:tbl>
    <w:p>
      <w:pPr>
        <w:pStyle w:val="Heading1"/>
      </w:pPr>
      <w:r>
        <w:t>4. Non-functional requirements and tests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766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ENFR-001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Reference workload completes within approved batch window; target &lt;=10 minutes.</w:t>
            </w:r>
          </w:p>
        </w:tc>
      </w:tr>
      <w:t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ENFR-002</w:t>
            </w:r>
          </w:p>
        </w:tc>
        <w:tc>
          <w:tcPr>
            <w:tcW w:type="dxa" w:w="76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Same data, code, parameters, and seed produce equivalent outputs.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ENFR-003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Critical data validity and order/detail integrity equal 100%.</w:t>
            </w:r>
          </w:p>
        </w:tc>
      </w:tr>
      <w:t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ENFR-004</w:t>
            </w:r>
          </w:p>
        </w:tc>
        <w:tc>
          <w:tcPr>
            <w:tcW w:type="dxa" w:w="76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Failed runs do not overwrite approved outputs.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ENFR-005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Policy changes and publication use role-based access and audit logs.</w:t>
            </w:r>
          </w:p>
        </w:tc>
      </w:tr>
      <w:t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ENFR-006</w:t>
            </w:r>
          </w:p>
        </w:tc>
        <w:tc>
          <w:tcPr>
            <w:tcW w:type="dxa" w:w="76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Power BI labels assumptions, scenario, uncertainty, and freshness.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ENFR-007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Dependencies, calculation tests, and schemas are version controlled.</w:t>
            </w:r>
          </w:p>
        </w:tc>
      </w:tr>
      <w:t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ENFR-008</w:t>
            </w:r>
          </w:p>
        </w:tc>
        <w:tc>
          <w:tcPr>
            <w:tcW w:type="dxa" w:w="76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Logs retain counts, timing, parameters, status, and version.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Acceptance test</w:t>
            </w:r>
          </w:p>
        </w:tc>
        <w:tc>
          <w:tcPr>
            <w:tcW w:type="dxa" w:w="606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Valid data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All outputs generated</w:t>
            </w:r>
          </w:p>
        </w:tc>
      </w:tr>
      <w:tr>
        <w:tc>
          <w:tcPr>
            <w:tcW w:type="dxa" w:w="33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Missing field/orphan</w:t>
            </w:r>
          </w:p>
        </w:tc>
        <w:tc>
          <w:tcPr>
            <w:tcW w:type="dxa" w:w="60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Run stops clearly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Fixed seed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Equivalent results</w:t>
            </w:r>
          </w:p>
        </w:tc>
      </w:tr>
      <w:tr>
        <w:tc>
          <w:tcPr>
            <w:tcW w:type="dxa" w:w="33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Inventory bound</w:t>
            </w:r>
          </w:p>
        </w:tc>
        <w:tc>
          <w:tcPr>
            <w:tcW w:type="dxa" w:w="60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Sold &lt;= inventory and demand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Return logic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Returned &lt;= sold; revenue/cost reconcile</w:t>
            </w:r>
          </w:p>
        </w:tc>
      </w:tr>
      <w:tr>
        <w:tc>
          <w:tcPr>
            <w:tcW w:type="dxa" w:w="33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Aggregation</w:t>
            </w:r>
          </w:p>
        </w:tc>
        <w:tc>
          <w:tcPr>
            <w:tcW w:type="dxa" w:w="60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Mean/P05/P95 independently reconcile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Power BI contract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Types and relationships load</w:t>
            </w:r>
          </w:p>
        </w:tc>
      </w:tr>
      <w:tr>
        <w:tc>
          <w:tcPr>
            <w:tcW w:type="dxa" w:w="33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Control</w:t>
            </w:r>
          </w:p>
        </w:tc>
        <w:tc>
          <w:tcPr>
            <w:tcW w:type="dxa" w:w="60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No operational write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Performance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Batch target met</w:t>
            </w:r>
          </w:p>
        </w:tc>
      </w:tr>
    </w:tbl>
    <w:p>
      <w:pPr>
        <w:pStyle w:val="Heading1"/>
      </w:pPr>
      <w:r>
        <w:t>5. Deployment and production gaps</w:t>
      </w:r>
    </w:p>
    <w:p>
      <w:pPr>
        <w:pStyle w:val="ListBullet"/>
      </w:pPr>
      <w:r>
        <w:t>Orchestrate landing, PostgreSQL ETL/validation, twin run, output validation, and Power BI refresh.</w:t>
      </w:r>
    </w:p>
    <w:p>
      <w:pPr>
        <w:pStyle w:val="ListBullet"/>
      </w:pPr>
      <w:r>
        <w:t>Publish outputs atomically; retain last approved set and configuration for rollback.</w:t>
      </w:r>
    </w:p>
    <w:p>
      <w:pPr>
        <w:pStyle w:val="ListBullet"/>
      </w:pPr>
      <w:r>
        <w:t>Add structured logging, automated tests, alerts, versioning, security, backup, and support ownership.</w:t>
      </w:r>
    </w:p>
    <w:p>
      <w:pPr>
        <w:pStyle w:val="ListBullet"/>
      </w:pPr>
      <w:r>
        <w:t>Before production, add operational stock, purchase orders, lead times, fulfillment, discounts, shipping, returns, cancellations, and multi-year history.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9636E"/>
        <w:sz w:val="18"/>
      </w:rPr>
      <w:t>Controlled project document  |  Version 1.0  |  17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9636E"/>
        <w:sz w:val="18"/>
      </w:rPr>
      <w:t>SUPPLY CHAIN INTELLIGENCE HUB  |  FUNCTIONAL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ID">
    <w:name w:val="Requirement ID"/>
    <w:pPr>
      <w:keepNext/>
      <w:spacing w:before="160" w:after="40"/>
    </w:pPr>
    <w:rPr>
      <w:rFonts w:ascii="Calibri" w:hAnsi="Calibri"/>
      <w:b/>
      <w:color w:val="17324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