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pPr>
      <w:r>
        <w:rPr>
          <w:rFonts w:ascii="Calibri" w:hAnsi="Calibri"/>
          <w:b/>
          <w:i w:val="0"/>
          <w:color w:val="C69214"/>
          <w:sz w:val="20"/>
        </w:rPr>
        <w:t>ME-DTR-001</w:t>
      </w:r>
    </w:p>
    <w:p>
      <w:pPr>
        <w:spacing w:after="80"/>
      </w:pPr>
      <w:r>
        <w:rPr>
          <w:rFonts w:ascii="Calibri" w:hAnsi="Calibri"/>
          <w:b/>
          <w:i w:val="0"/>
          <w:color w:val="17324D"/>
          <w:sz w:val="56"/>
        </w:rPr>
        <w:t>Madhav E-Commerce Digital Twin Report</w:t>
      </w:r>
    </w:p>
    <w:p>
      <w:pPr>
        <w:spacing w:after="400"/>
      </w:pPr>
      <w:r>
        <w:rPr>
          <w:rFonts w:ascii="Calibri" w:hAnsi="Calibri"/>
          <w:b w:val="0"/>
          <w:i w:val="0"/>
          <w:color w:val="167D8D"/>
          <w:sz w:val="28"/>
        </w:rPr>
        <w:t>Scenario-based demand, inventory, returns, pricing, and profitability analysis</w:t>
      </w:r>
    </w:p>
    <w:p>
      <w:pPr>
        <w:spacing w:after="60"/>
      </w:pPr>
      <w:r>
        <w:rPr>
          <w:rFonts w:ascii="Calibri" w:hAnsi="Calibri"/>
          <w:b/>
          <w:i w:val="0"/>
          <w:color w:val="17324D"/>
          <w:sz w:val="21"/>
        </w:rPr>
        <w:t xml:space="preserve">Project: </w:t>
      </w:r>
      <w:r>
        <w:rPr>
          <w:rFonts w:ascii="Calibri" w:hAnsi="Calibri"/>
          <w:b w:val="0"/>
          <w:i w:val="0"/>
          <w:color w:val="222222"/>
          <w:sz w:val="21"/>
        </w:rPr>
        <w:t>Supply Chain Intelligence Hub and Digital Twin</w:t>
      </w:r>
    </w:p>
    <w:p>
      <w:pPr>
        <w:spacing w:after="60"/>
      </w:pPr>
      <w:r>
        <w:rPr>
          <w:rFonts w:ascii="Calibri" w:hAnsi="Calibri"/>
          <w:b/>
          <w:i w:val="0"/>
          <w:color w:val="17324D"/>
          <w:sz w:val="21"/>
        </w:rPr>
        <w:t xml:space="preserve">Document owner: </w:t>
      </w:r>
      <w:r>
        <w:rPr>
          <w:rFonts w:ascii="Calibri" w:hAnsi="Calibri"/>
          <w:b w:val="0"/>
          <w:i w:val="0"/>
          <w:color w:val="222222"/>
          <w:sz w:val="21"/>
        </w:rPr>
        <w:t>Business Analysis / Product Management</w:t>
      </w:r>
    </w:p>
    <w:p>
      <w:pPr>
        <w:spacing w:after="60"/>
      </w:pPr>
      <w:r>
        <w:rPr>
          <w:rFonts w:ascii="Calibri" w:hAnsi="Calibri"/>
          <w:b/>
          <w:i w:val="0"/>
          <w:color w:val="17324D"/>
          <w:sz w:val="21"/>
        </w:rPr>
        <w:t xml:space="preserve">Version: </w:t>
      </w:r>
      <w:r>
        <w:rPr>
          <w:rFonts w:ascii="Calibri" w:hAnsi="Calibri"/>
          <w:b w:val="0"/>
          <w:i w:val="0"/>
          <w:color w:val="222222"/>
          <w:sz w:val="21"/>
        </w:rPr>
        <w:t>1.0</w:t>
      </w:r>
    </w:p>
    <w:p>
      <w:pPr>
        <w:spacing w:after="60"/>
      </w:pPr>
      <w:r>
        <w:rPr>
          <w:rFonts w:ascii="Calibri" w:hAnsi="Calibri"/>
          <w:b/>
          <w:i w:val="0"/>
          <w:color w:val="17324D"/>
          <w:sz w:val="21"/>
        </w:rPr>
        <w:t xml:space="preserve">Status: </w:t>
      </w:r>
      <w:r>
        <w:rPr>
          <w:rFonts w:ascii="Calibri" w:hAnsi="Calibri"/>
          <w:b w:val="0"/>
          <w:i w:val="0"/>
          <w:color w:val="222222"/>
          <w:sz w:val="21"/>
        </w:rPr>
        <w:t>Draft for stakeholder review</w:t>
      </w:r>
    </w:p>
    <w:p>
      <w:pPr>
        <w:spacing w:after="60"/>
      </w:pPr>
      <w:r>
        <w:rPr>
          <w:rFonts w:ascii="Calibri" w:hAnsi="Calibri"/>
          <w:b/>
          <w:i w:val="0"/>
          <w:color w:val="17324D"/>
          <w:sz w:val="21"/>
        </w:rPr>
        <w:t xml:space="preserve">Date: </w:t>
      </w:r>
      <w:r>
        <w:rPr>
          <w:rFonts w:ascii="Calibri" w:hAnsi="Calibri"/>
          <w:b w:val="0"/>
          <w:i w:val="0"/>
          <w:color w:val="222222"/>
          <w:sz w:val="21"/>
        </w:rPr>
        <w:t>17 August 2026</w:t>
      </w:r>
    </w:p>
    <w:p>
      <w:pPr>
        <w:spacing w:after="60"/>
      </w:pPr>
      <w:r>
        <w:rPr>
          <w:rFonts w:ascii="Calibri" w:hAnsi="Calibri"/>
          <w:b/>
          <w:i w:val="0"/>
          <w:color w:val="17324D"/>
          <w:sz w:val="21"/>
        </w:rPr>
        <w:t xml:space="preserve">Classification: </w:t>
      </w:r>
      <w:r>
        <w:rPr>
          <w:rFonts w:ascii="Calibri" w:hAnsi="Calibri"/>
          <w:b w:val="0"/>
          <w:i w:val="0"/>
          <w:color w:val="222222"/>
          <w:sz w:val="21"/>
        </w:rPr>
        <w:t>Internal</w:t>
      </w:r>
    </w:p>
    <w:p>
      <w:pPr>
        <w:spacing w:before="400" w:after="160"/>
      </w:pPr>
      <w:r>
        <w:rPr>
          <w:rFonts w:ascii="Calibri" w:hAnsi="Calibri"/>
          <w:b/>
          <w:i w:val="0"/>
          <w:color w:val="2E74B5"/>
          <w:sz w:val="24"/>
        </w:rPr>
        <w:t>Document purpose</w:t>
      </w:r>
    </w:p>
    <w:p>
      <w:r>
        <w:t>This controlled document defines the approved scope and requirements for transforming the existing analytics notebook and Power BI dashboard into a governed, scenario-based supply-chain digital twin.</w:t>
      </w:r>
    </w:p>
    <w:p>
      <w:pPr>
        <w:spacing w:before="360"/>
        <w:shd w:fill="E8EEF5"/>
      </w:pPr>
      <w:r>
        <w:rPr>
          <w:rFonts w:ascii="Calibri" w:hAnsi="Calibri"/>
          <w:b/>
          <w:i w:val="0"/>
          <w:color w:val="17324D"/>
          <w:sz w:val="22"/>
        </w:rPr>
        <w:t xml:space="preserve">Approval gate: </w:t>
      </w:r>
      <w:r>
        <w:rPr>
          <w:rFonts w:ascii="Calibri" w:hAnsi="Calibri"/>
          <w:b w:val="0"/>
          <w:i w:val="0"/>
          <w:color w:val="222222"/>
          <w:sz w:val="22"/>
        </w:rPr>
        <w:t>Requirements become baselined only after Business Owner, Operations, Finance, Data/Technology, and Quality approval.</w:t>
      </w:r>
    </w:p>
    <w:p>
      <w:r>
        <w:br w:type="page"/>
      </w:r>
    </w:p>
    <w:p>
      <w:pPr>
        <w:pStyle w:val="Heading1"/>
      </w:pPr>
      <w:r>
        <w:t>1. Executive decision</w:t>
      </w:r>
    </w:p>
    <w:p>
      <w:r>
        <w:t>The existing PostgreSQL ETL and Power BI dashboard explain historical sales, profit, customers, products, geography, and payment behavior. The digital twin adds a controlled 12-month simulation of demand, virtual inventory, replenishment, fulfillment, returns, pricing, revenue, cost, and profit by category and sub-category.</w:t>
      </w:r>
    </w:p>
    <w:p>
      <w:pPr>
        <w:shd w:fill="E8EEF5"/>
      </w:pPr>
      <w:r>
        <w:rPr>
          <w:rFonts w:ascii="Calibri" w:hAnsi="Calibri"/>
          <w:b/>
          <w:i w:val="0"/>
          <w:color w:val="17324D"/>
          <w:sz w:val="22"/>
        </w:rPr>
        <w:t xml:space="preserve">Recommendation: </w:t>
      </w:r>
      <w:r>
        <w:rPr>
          <w:rFonts w:ascii="Calibri" w:hAnsi="Calibri"/>
          <w:b w:val="0"/>
          <w:i w:val="0"/>
          <w:color w:val="222222"/>
          <w:sz w:val="22"/>
        </w:rPr>
        <w:t>Implement Margin Guard first, then apply Inventory Optimized settings selectively to high-demand or high-stockout sub-categories. Do not use blanket discount-led Growth settings.</w:t>
      </w:r>
    </w:p>
    <w:tbl>
      <w:tblPr>
        <w:tblStyle w:val="TableGrid"/>
        <w:tblW w:type="dxa" w:w="9360"/>
        <w:tblLayout w:type="fixed"/>
        <w:tblLook w:firstColumn="1" w:firstRow="1" w:lastColumn="0" w:lastRow="0" w:noHBand="0" w:noVBand="1" w:val="04A0"/>
        <w:tblInd w:w="120" w:type="dxa"/>
      </w:tblPr>
      <w:tblGrid>
        <w:gridCol w:w="2100"/>
        <w:gridCol w:w="1700"/>
        <w:gridCol w:w="1900"/>
        <w:gridCol w:w="2000"/>
        <w:gridCol w:w="1660"/>
      </w:tblGrid>
      <w:tr>
        <w:tc>
          <w:tcPr>
            <w:tcW w:type="dxa" w:w="2100"/>
            <w:shd w:fill="17324D"/>
            <w:tcMar>
              <w:top w:w="100" w:type="dxa"/>
              <w:start w:w="120" w:type="dxa"/>
              <w:bottom w:w="100" w:type="dxa"/>
              <w:end w:w="120" w:type="dxa"/>
            </w:tcMar>
            <w:vAlign w:val="center"/>
          </w:tcPr>
          <w:p>
            <w:r>
              <w:rPr>
                <w:rFonts w:ascii="Calibri" w:hAnsi="Calibri"/>
                <w:b/>
                <w:i w:val="0"/>
                <w:color w:val="FFFFFF"/>
                <w:sz w:val="17"/>
              </w:rPr>
              <w:t>Metric</w:t>
            </w:r>
          </w:p>
        </w:tc>
        <w:tc>
          <w:tcPr>
            <w:tcW w:type="dxa" w:w="1700"/>
            <w:shd w:fill="17324D"/>
            <w:tcMar>
              <w:top w:w="100" w:type="dxa"/>
              <w:start w:w="120" w:type="dxa"/>
              <w:bottom w:w="100" w:type="dxa"/>
              <w:end w:w="120" w:type="dxa"/>
            </w:tcMar>
            <w:vAlign w:val="center"/>
          </w:tcPr>
          <w:p>
            <w:r>
              <w:rPr>
                <w:rFonts w:ascii="Calibri" w:hAnsi="Calibri"/>
                <w:b/>
                <w:i w:val="0"/>
                <w:color w:val="FFFFFF"/>
                <w:sz w:val="17"/>
              </w:rPr>
              <w:t>Baseline</w:t>
            </w:r>
          </w:p>
        </w:tc>
        <w:tc>
          <w:tcPr>
            <w:tcW w:type="dxa" w:w="1900"/>
            <w:shd w:fill="17324D"/>
            <w:tcMar>
              <w:top w:w="100" w:type="dxa"/>
              <w:start w:w="120" w:type="dxa"/>
              <w:bottom w:w="100" w:type="dxa"/>
              <w:end w:w="120" w:type="dxa"/>
            </w:tcMar>
            <w:vAlign w:val="center"/>
          </w:tcPr>
          <w:p>
            <w:r>
              <w:rPr>
                <w:rFonts w:ascii="Calibri" w:hAnsi="Calibri"/>
                <w:b/>
                <w:i w:val="0"/>
                <w:color w:val="FFFFFF"/>
                <w:sz w:val="17"/>
              </w:rPr>
              <w:t>Margin Guard</w:t>
            </w:r>
          </w:p>
        </w:tc>
        <w:tc>
          <w:tcPr>
            <w:tcW w:type="dxa" w:w="2000"/>
            <w:shd w:fill="17324D"/>
            <w:tcMar>
              <w:top w:w="100" w:type="dxa"/>
              <w:start w:w="120" w:type="dxa"/>
              <w:bottom w:w="100" w:type="dxa"/>
              <w:end w:w="120" w:type="dxa"/>
            </w:tcMar>
            <w:vAlign w:val="center"/>
          </w:tcPr>
          <w:p>
            <w:r>
              <w:rPr>
                <w:rFonts w:ascii="Calibri" w:hAnsi="Calibri"/>
                <w:b/>
                <w:i w:val="0"/>
                <w:color w:val="FFFFFF"/>
                <w:sz w:val="17"/>
              </w:rPr>
              <w:t>Inventory Optimized</w:t>
            </w:r>
          </w:p>
        </w:tc>
        <w:tc>
          <w:tcPr>
            <w:tcW w:type="dxa" w:w="1660"/>
            <w:shd w:fill="17324D"/>
            <w:tcMar>
              <w:top w:w="100" w:type="dxa"/>
              <w:start w:w="120" w:type="dxa"/>
              <w:bottom w:w="100" w:type="dxa"/>
              <w:end w:w="120" w:type="dxa"/>
            </w:tcMar>
            <w:vAlign w:val="center"/>
          </w:tcPr>
          <w:p>
            <w:r>
              <w:rPr>
                <w:rFonts w:ascii="Calibri" w:hAnsi="Calibri"/>
                <w:b/>
                <w:i w:val="0"/>
                <w:color w:val="FFFFFF"/>
                <w:sz w:val="17"/>
              </w:rPr>
              <w:t>Growth</w:t>
            </w:r>
          </w:p>
        </w:tc>
      </w:tr>
      <w:tr>
        <w:tc>
          <w:tcPr>
            <w:tcW w:type="dxa" w:w="2100"/>
            <w:tcMar>
              <w:top w:w="100" w:type="dxa"/>
              <w:start w:w="120" w:type="dxa"/>
              <w:bottom w:w="100" w:type="dxa"/>
              <w:end w:w="120" w:type="dxa"/>
            </w:tcMar>
            <w:vAlign w:val="center"/>
          </w:tcPr>
          <w:p>
            <w:r>
              <w:rPr>
                <w:rFonts w:ascii="Calibri" w:hAnsi="Calibri"/>
                <w:b w:val="0"/>
                <w:i w:val="0"/>
                <w:color w:val="222222"/>
                <w:sz w:val="17"/>
              </w:rPr>
              <w:t>Revenue</w:t>
            </w:r>
          </w:p>
        </w:tc>
        <w:tc>
          <w:tcPr>
            <w:tcW w:type="dxa" w:w="1700"/>
            <w:tcMar>
              <w:top w:w="100" w:type="dxa"/>
              <w:start w:w="120" w:type="dxa"/>
              <w:bottom w:w="100" w:type="dxa"/>
              <w:end w:w="120" w:type="dxa"/>
            </w:tcMar>
            <w:vAlign w:val="center"/>
          </w:tcPr>
          <w:p>
            <w:r>
              <w:rPr>
                <w:rFonts w:ascii="Calibri" w:hAnsi="Calibri"/>
                <w:b w:val="0"/>
                <w:i w:val="0"/>
                <w:color w:val="222222"/>
                <w:sz w:val="17"/>
              </w:rPr>
              <w:t>₹359,358</w:t>
            </w:r>
          </w:p>
        </w:tc>
        <w:tc>
          <w:tcPr>
            <w:tcW w:type="dxa" w:w="1900"/>
            <w:tcMar>
              <w:top w:w="100" w:type="dxa"/>
              <w:start w:w="120" w:type="dxa"/>
              <w:bottom w:w="100" w:type="dxa"/>
              <w:end w:w="120" w:type="dxa"/>
            </w:tcMar>
            <w:vAlign w:val="center"/>
          </w:tcPr>
          <w:p>
            <w:r>
              <w:rPr>
                <w:rFonts w:ascii="Calibri" w:hAnsi="Calibri"/>
                <w:b w:val="0"/>
                <w:i w:val="0"/>
                <w:color w:val="222222"/>
                <w:sz w:val="17"/>
              </w:rPr>
              <w:t>₹359,511</w:t>
            </w:r>
          </w:p>
        </w:tc>
        <w:tc>
          <w:tcPr>
            <w:tcW w:type="dxa" w:w="2000"/>
            <w:tcMar>
              <w:top w:w="100" w:type="dxa"/>
              <w:start w:w="120" w:type="dxa"/>
              <w:bottom w:w="100" w:type="dxa"/>
              <w:end w:w="120" w:type="dxa"/>
            </w:tcMar>
            <w:vAlign w:val="center"/>
          </w:tcPr>
          <w:p>
            <w:r>
              <w:rPr>
                <w:rFonts w:ascii="Calibri" w:hAnsi="Calibri"/>
                <w:b w:val="0"/>
                <w:i w:val="0"/>
                <w:color w:val="222222"/>
                <w:sz w:val="17"/>
              </w:rPr>
              <w:t>₹386,735</w:t>
            </w:r>
          </w:p>
        </w:tc>
        <w:tc>
          <w:tcPr>
            <w:tcW w:type="dxa" w:w="1660"/>
            <w:tcMar>
              <w:top w:w="100" w:type="dxa"/>
              <w:start w:w="120" w:type="dxa"/>
              <w:bottom w:w="100" w:type="dxa"/>
              <w:end w:w="120" w:type="dxa"/>
            </w:tcMar>
            <w:vAlign w:val="center"/>
          </w:tcPr>
          <w:p>
            <w:r>
              <w:rPr>
                <w:rFonts w:ascii="Calibri" w:hAnsi="Calibri"/>
                <w:b w:val="0"/>
                <w:i w:val="0"/>
                <w:color w:val="222222"/>
                <w:sz w:val="17"/>
              </w:rPr>
              <w:t>₹386,150</w:t>
            </w:r>
          </w:p>
        </w:tc>
      </w:tr>
      <w:tr>
        <w:tc>
          <w:tcPr>
            <w:tcW w:type="dxa" w:w="2100"/>
            <w:shd w:fill="F2F4F7"/>
            <w:tcMar>
              <w:top w:w="100" w:type="dxa"/>
              <w:start w:w="120" w:type="dxa"/>
              <w:bottom w:w="100" w:type="dxa"/>
              <w:end w:w="120" w:type="dxa"/>
            </w:tcMar>
            <w:vAlign w:val="center"/>
          </w:tcPr>
          <w:p>
            <w:r>
              <w:rPr>
                <w:rFonts w:ascii="Calibri" w:hAnsi="Calibri"/>
                <w:b w:val="0"/>
                <w:i w:val="0"/>
                <w:color w:val="222222"/>
                <w:sz w:val="17"/>
              </w:rPr>
              <w:t>Profit</w:t>
            </w:r>
          </w:p>
        </w:tc>
        <w:tc>
          <w:tcPr>
            <w:tcW w:type="dxa" w:w="1700"/>
            <w:shd w:fill="F2F4F7"/>
            <w:tcMar>
              <w:top w:w="100" w:type="dxa"/>
              <w:start w:w="120" w:type="dxa"/>
              <w:bottom w:w="100" w:type="dxa"/>
              <w:end w:w="120" w:type="dxa"/>
            </w:tcMar>
            <w:vAlign w:val="center"/>
          </w:tcPr>
          <w:p>
            <w:r>
              <w:rPr>
                <w:rFonts w:ascii="Calibri" w:hAnsi="Calibri"/>
                <w:b w:val="0"/>
                <w:i w:val="0"/>
                <w:color w:val="222222"/>
                <w:sz w:val="17"/>
              </w:rPr>
              <w:t>₹12,951</w:t>
            </w:r>
          </w:p>
        </w:tc>
        <w:tc>
          <w:tcPr>
            <w:tcW w:type="dxa" w:w="1900"/>
            <w:shd w:fill="F2F4F7"/>
            <w:tcMar>
              <w:top w:w="100" w:type="dxa"/>
              <w:start w:w="120" w:type="dxa"/>
              <w:bottom w:w="100" w:type="dxa"/>
              <w:end w:w="120" w:type="dxa"/>
            </w:tcMar>
            <w:vAlign w:val="center"/>
          </w:tcPr>
          <w:p>
            <w:r>
              <w:rPr>
                <w:rFonts w:ascii="Calibri" w:hAnsi="Calibri"/>
                <w:b w:val="0"/>
                <w:i w:val="0"/>
                <w:color w:val="222222"/>
                <w:sz w:val="17"/>
              </w:rPr>
              <w:t>₹26,849</w:t>
            </w:r>
          </w:p>
        </w:tc>
        <w:tc>
          <w:tcPr>
            <w:tcW w:type="dxa" w:w="2000"/>
            <w:shd w:fill="F2F4F7"/>
            <w:tcMar>
              <w:top w:w="100" w:type="dxa"/>
              <w:start w:w="120" w:type="dxa"/>
              <w:bottom w:w="100" w:type="dxa"/>
              <w:end w:w="120" w:type="dxa"/>
            </w:tcMar>
            <w:vAlign w:val="center"/>
          </w:tcPr>
          <w:p>
            <w:r>
              <w:rPr>
                <w:rFonts w:ascii="Calibri" w:hAnsi="Calibri"/>
                <w:b w:val="0"/>
                <w:i w:val="0"/>
                <w:color w:val="222222"/>
                <w:sz w:val="17"/>
              </w:rPr>
              <w:t>₹10,529</w:t>
            </w:r>
          </w:p>
        </w:tc>
        <w:tc>
          <w:tcPr>
            <w:tcW w:type="dxa" w:w="1660"/>
            <w:shd w:fill="F2F4F7"/>
            <w:tcMar>
              <w:top w:w="100" w:type="dxa"/>
              <w:start w:w="120" w:type="dxa"/>
              <w:bottom w:w="100" w:type="dxa"/>
              <w:end w:w="120" w:type="dxa"/>
            </w:tcMar>
            <w:vAlign w:val="center"/>
          </w:tcPr>
          <w:p>
            <w:r>
              <w:rPr>
                <w:rFonts w:ascii="Calibri" w:hAnsi="Calibri"/>
                <w:b w:val="0"/>
                <w:i w:val="0"/>
                <w:color w:val="222222"/>
                <w:sz w:val="17"/>
              </w:rPr>
              <w:t>₹-10,009</w:t>
            </w:r>
          </w:p>
        </w:tc>
      </w:tr>
      <w:tr>
        <w:tc>
          <w:tcPr>
            <w:tcW w:type="dxa" w:w="2100"/>
            <w:tcMar>
              <w:top w:w="100" w:type="dxa"/>
              <w:start w:w="120" w:type="dxa"/>
              <w:bottom w:w="100" w:type="dxa"/>
              <w:end w:w="120" w:type="dxa"/>
            </w:tcMar>
            <w:vAlign w:val="center"/>
          </w:tcPr>
          <w:p>
            <w:r>
              <w:rPr>
                <w:rFonts w:ascii="Calibri" w:hAnsi="Calibri"/>
                <w:b w:val="0"/>
                <w:i w:val="0"/>
                <w:color w:val="222222"/>
                <w:sz w:val="17"/>
              </w:rPr>
              <w:t>Fill rate</w:t>
            </w:r>
          </w:p>
        </w:tc>
        <w:tc>
          <w:tcPr>
            <w:tcW w:type="dxa" w:w="1700"/>
            <w:tcMar>
              <w:top w:w="100" w:type="dxa"/>
              <w:start w:w="120" w:type="dxa"/>
              <w:bottom w:w="100" w:type="dxa"/>
              <w:end w:w="120" w:type="dxa"/>
            </w:tcMar>
            <w:vAlign w:val="center"/>
          </w:tcPr>
          <w:p>
            <w:r>
              <w:rPr>
                <w:rFonts w:ascii="Calibri" w:hAnsi="Calibri"/>
                <w:b w:val="0"/>
                <w:i w:val="0"/>
                <w:color w:val="222222"/>
                <w:sz w:val="17"/>
              </w:rPr>
              <w:t>92.6%</w:t>
            </w:r>
          </w:p>
        </w:tc>
        <w:tc>
          <w:tcPr>
            <w:tcW w:type="dxa" w:w="1900"/>
            <w:tcMar>
              <w:top w:w="100" w:type="dxa"/>
              <w:start w:w="120" w:type="dxa"/>
              <w:bottom w:w="100" w:type="dxa"/>
              <w:end w:w="120" w:type="dxa"/>
            </w:tcMar>
            <w:vAlign w:val="center"/>
          </w:tcPr>
          <w:p>
            <w:r>
              <w:rPr>
                <w:rFonts w:ascii="Calibri" w:hAnsi="Calibri"/>
                <w:b w:val="0"/>
                <w:i w:val="0"/>
                <w:color w:val="222222"/>
                <w:sz w:val="17"/>
              </w:rPr>
              <w:t>92.7%</w:t>
            </w:r>
          </w:p>
        </w:tc>
        <w:tc>
          <w:tcPr>
            <w:tcW w:type="dxa" w:w="2000"/>
            <w:tcMar>
              <w:top w:w="100" w:type="dxa"/>
              <w:start w:w="120" w:type="dxa"/>
              <w:bottom w:w="100" w:type="dxa"/>
              <w:end w:w="120" w:type="dxa"/>
            </w:tcMar>
            <w:vAlign w:val="center"/>
          </w:tcPr>
          <w:p>
            <w:r>
              <w:rPr>
                <w:rFonts w:ascii="Calibri" w:hAnsi="Calibri"/>
                <w:b w:val="0"/>
                <w:i w:val="0"/>
                <w:color w:val="222222"/>
                <w:sz w:val="17"/>
              </w:rPr>
              <w:t>95.5%</w:t>
            </w:r>
          </w:p>
        </w:tc>
        <w:tc>
          <w:tcPr>
            <w:tcW w:type="dxa" w:w="1660"/>
            <w:tcMar>
              <w:top w:w="100" w:type="dxa"/>
              <w:start w:w="120" w:type="dxa"/>
              <w:bottom w:w="100" w:type="dxa"/>
              <w:end w:w="120" w:type="dxa"/>
            </w:tcMar>
            <w:vAlign w:val="center"/>
          </w:tcPr>
          <w:p>
            <w:r>
              <w:rPr>
                <w:rFonts w:ascii="Calibri" w:hAnsi="Calibri"/>
                <w:b w:val="0"/>
                <w:i w:val="0"/>
                <w:color w:val="222222"/>
                <w:sz w:val="17"/>
              </w:rPr>
              <w:t>92.0%</w:t>
            </w:r>
          </w:p>
        </w:tc>
      </w:tr>
      <w:tr>
        <w:tc>
          <w:tcPr>
            <w:tcW w:type="dxa" w:w="2100"/>
            <w:shd w:fill="F2F4F7"/>
            <w:tcMar>
              <w:top w:w="100" w:type="dxa"/>
              <w:start w:w="120" w:type="dxa"/>
              <w:bottom w:w="100" w:type="dxa"/>
              <w:end w:w="120" w:type="dxa"/>
            </w:tcMar>
            <w:vAlign w:val="center"/>
          </w:tcPr>
          <w:p>
            <w:r>
              <w:rPr>
                <w:rFonts w:ascii="Calibri" w:hAnsi="Calibri"/>
                <w:b w:val="0"/>
                <w:i w:val="0"/>
                <w:color w:val="222222"/>
                <w:sz w:val="17"/>
              </w:rPr>
              <w:t>Lost units</w:t>
            </w:r>
          </w:p>
        </w:tc>
        <w:tc>
          <w:tcPr>
            <w:tcW w:type="dxa" w:w="1700"/>
            <w:shd w:fill="F2F4F7"/>
            <w:tcMar>
              <w:top w:w="100" w:type="dxa"/>
              <w:start w:w="120" w:type="dxa"/>
              <w:bottom w:w="100" w:type="dxa"/>
              <w:end w:w="120" w:type="dxa"/>
            </w:tcMar>
            <w:vAlign w:val="center"/>
          </w:tcPr>
          <w:p>
            <w:r>
              <w:rPr>
                <w:rFonts w:ascii="Calibri" w:hAnsi="Calibri"/>
                <w:b w:val="0"/>
                <w:i w:val="0"/>
                <w:color w:val="222222"/>
                <w:sz w:val="17"/>
              </w:rPr>
              <w:t>418</w:t>
            </w:r>
          </w:p>
        </w:tc>
        <w:tc>
          <w:tcPr>
            <w:tcW w:type="dxa" w:w="1900"/>
            <w:shd w:fill="F2F4F7"/>
            <w:tcMar>
              <w:top w:w="100" w:type="dxa"/>
              <w:start w:w="120" w:type="dxa"/>
              <w:bottom w:w="100" w:type="dxa"/>
              <w:end w:w="120" w:type="dxa"/>
            </w:tcMar>
            <w:vAlign w:val="center"/>
          </w:tcPr>
          <w:p>
            <w:r>
              <w:rPr>
                <w:rFonts w:ascii="Calibri" w:hAnsi="Calibri"/>
                <w:b w:val="0"/>
                <w:i w:val="0"/>
                <w:color w:val="222222"/>
                <w:sz w:val="17"/>
              </w:rPr>
              <w:t>395</w:t>
            </w:r>
          </w:p>
        </w:tc>
        <w:tc>
          <w:tcPr>
            <w:tcW w:type="dxa" w:w="2000"/>
            <w:shd w:fill="F2F4F7"/>
            <w:tcMar>
              <w:top w:w="100" w:type="dxa"/>
              <w:start w:w="120" w:type="dxa"/>
              <w:bottom w:w="100" w:type="dxa"/>
              <w:end w:w="120" w:type="dxa"/>
            </w:tcMar>
            <w:vAlign w:val="center"/>
          </w:tcPr>
          <w:p>
            <w:r>
              <w:rPr>
                <w:rFonts w:ascii="Calibri" w:hAnsi="Calibri"/>
                <w:b w:val="0"/>
                <w:i w:val="0"/>
                <w:color w:val="222222"/>
                <w:sz w:val="17"/>
              </w:rPr>
              <w:t>264</w:t>
            </w:r>
          </w:p>
        </w:tc>
        <w:tc>
          <w:tcPr>
            <w:tcW w:type="dxa" w:w="1660"/>
            <w:shd w:fill="F2F4F7"/>
            <w:tcMar>
              <w:top w:w="100" w:type="dxa"/>
              <w:start w:w="120" w:type="dxa"/>
              <w:bottom w:w="100" w:type="dxa"/>
              <w:end w:w="120" w:type="dxa"/>
            </w:tcMar>
            <w:vAlign w:val="center"/>
          </w:tcPr>
          <w:p>
            <w:r>
              <w:rPr>
                <w:rFonts w:ascii="Calibri" w:hAnsi="Calibri"/>
                <w:b w:val="0"/>
                <w:i w:val="0"/>
                <w:color w:val="222222"/>
                <w:sz w:val="17"/>
              </w:rPr>
              <w:t>519</w:t>
            </w:r>
          </w:p>
        </w:tc>
      </w:tr>
      <w:tr>
        <w:tc>
          <w:tcPr>
            <w:tcW w:type="dxa" w:w="2100"/>
            <w:tcMar>
              <w:top w:w="100" w:type="dxa"/>
              <w:start w:w="120" w:type="dxa"/>
              <w:bottom w:w="100" w:type="dxa"/>
              <w:end w:w="120" w:type="dxa"/>
            </w:tcMar>
            <w:vAlign w:val="center"/>
          </w:tcPr>
          <w:p>
            <w:r>
              <w:rPr>
                <w:rFonts w:ascii="Calibri" w:hAnsi="Calibri"/>
                <w:b w:val="0"/>
                <w:i w:val="0"/>
                <w:color w:val="222222"/>
                <w:sz w:val="17"/>
              </w:rPr>
              <w:t>Return rate</w:t>
            </w:r>
          </w:p>
        </w:tc>
        <w:tc>
          <w:tcPr>
            <w:tcW w:type="dxa" w:w="1700"/>
            <w:tcMar>
              <w:top w:w="100" w:type="dxa"/>
              <w:start w:w="120" w:type="dxa"/>
              <w:bottom w:w="100" w:type="dxa"/>
              <w:end w:w="120" w:type="dxa"/>
            </w:tcMar>
            <w:vAlign w:val="center"/>
          </w:tcPr>
          <w:p>
            <w:r>
              <w:rPr>
                <w:rFonts w:ascii="Calibri" w:hAnsi="Calibri"/>
                <w:b w:val="0"/>
                <w:i w:val="0"/>
                <w:color w:val="222222"/>
                <w:sz w:val="17"/>
              </w:rPr>
              <w:t>5.0%</w:t>
            </w:r>
          </w:p>
        </w:tc>
        <w:tc>
          <w:tcPr>
            <w:tcW w:type="dxa" w:w="1900"/>
            <w:tcMar>
              <w:top w:w="100" w:type="dxa"/>
              <w:start w:w="120" w:type="dxa"/>
              <w:bottom w:w="100" w:type="dxa"/>
              <w:end w:w="120" w:type="dxa"/>
            </w:tcMar>
            <w:vAlign w:val="center"/>
          </w:tcPr>
          <w:p>
            <w:r>
              <w:rPr>
                <w:rFonts w:ascii="Calibri" w:hAnsi="Calibri"/>
                <w:b w:val="0"/>
                <w:i w:val="0"/>
                <w:color w:val="222222"/>
                <w:sz w:val="17"/>
              </w:rPr>
              <w:t>4.0%</w:t>
            </w:r>
          </w:p>
        </w:tc>
        <w:tc>
          <w:tcPr>
            <w:tcW w:type="dxa" w:w="2000"/>
            <w:tcMar>
              <w:top w:w="100" w:type="dxa"/>
              <w:start w:w="120" w:type="dxa"/>
              <w:bottom w:w="100" w:type="dxa"/>
              <w:end w:w="120" w:type="dxa"/>
            </w:tcMar>
            <w:vAlign w:val="center"/>
          </w:tcPr>
          <w:p>
            <w:r>
              <w:rPr>
                <w:rFonts w:ascii="Calibri" w:hAnsi="Calibri"/>
                <w:b w:val="0"/>
                <w:i w:val="0"/>
                <w:color w:val="222222"/>
                <w:sz w:val="17"/>
              </w:rPr>
              <w:t>4.0%</w:t>
            </w:r>
          </w:p>
        </w:tc>
        <w:tc>
          <w:tcPr>
            <w:tcW w:type="dxa" w:w="1660"/>
            <w:tcMar>
              <w:top w:w="100" w:type="dxa"/>
              <w:start w:w="120" w:type="dxa"/>
              <w:bottom w:w="100" w:type="dxa"/>
              <w:end w:w="120" w:type="dxa"/>
            </w:tcMar>
            <w:vAlign w:val="center"/>
          </w:tcPr>
          <w:p>
            <w:r>
              <w:rPr>
                <w:rFonts w:ascii="Calibri" w:hAnsi="Calibri"/>
                <w:b w:val="0"/>
                <w:i w:val="0"/>
                <w:color w:val="222222"/>
                <w:sz w:val="17"/>
              </w:rPr>
              <w:t>6.0%</w:t>
            </w:r>
          </w:p>
        </w:tc>
      </w:tr>
    </w:tbl>
    <w:p>
      <w:pPr>
        <w:pStyle w:val="Heading1"/>
      </w:pPr>
      <w:r>
        <w:t>2. Project and data assessment</w:t>
      </w:r>
    </w:p>
    <w:p>
      <w:pPr>
        <w:pStyle w:val="ListBullet"/>
      </w:pPr>
      <w:r>
        <w:t>500 orders and 1,500 detail lines for 2018; ₹437,771 historical sales, ₹36,963 profit, and 5,615 units.</w:t>
      </w:r>
    </w:p>
    <w:p>
      <w:pPr>
        <w:pStyle w:val="ListBullet"/>
      </w:pPr>
      <w:r>
        <w:t>PostgreSQL ETL provides staging, cleaning, referential integrity, enriched features, KPI views, customer segments, product performance, indexes, and validation queries.</w:t>
      </w:r>
    </w:p>
    <w:p>
      <w:pPr>
        <w:pStyle w:val="ListBullet"/>
      </w:pPr>
      <w:r>
        <w:t>Power BI covers sales, profit, quantity, average order value, customers, geography, category/sub-category, payment mode, and monthly trends.</w:t>
      </w:r>
    </w:p>
    <w:p>
      <w:pPr>
        <w:pStyle w:val="ListBullet"/>
      </w:pPr>
      <w:r>
        <w:t>The source does not contain inventory, returns, fulfillment, lead time, or discount history; these are explicit scenario assumptions in the prototype.</w:t>
      </w:r>
    </w:p>
    <w:p>
      <w:pPr>
        <w:pStyle w:val="Heading1"/>
      </w:pPr>
      <w:r>
        <w:t>3. Digital twin design</w:t>
      </w:r>
    </w:p>
    <w:p>
      <w:r>
        <w:t>The twin calibrates monthly demand, average selling price, and unit cost from historical quantity, amount, and profit by sub-category. Each simulated month receives replenishment, generates stochastic demand, fulfills up to on-hand virtual inventory, samples returns, calculates net revenue, cost of goods, return handling cost and profit, and places the next replenishment order. Five hundred Monte Carlo runs per scenario produce mean, standard deviation, P05, and P95 outcomes.</w:t>
      </w:r>
    </w:p>
    <w:p>
      <w:pPr>
        <w:pStyle w:val="Heading1"/>
      </w:pPr>
      <w:r>
        <w:t>4. Insights and implementation</w:t>
      </w:r>
    </w:p>
    <w:p>
      <w:pPr>
        <w:pStyle w:val="ListBullet"/>
      </w:pPr>
      <w:r>
        <w:t>Margin Guard increases modeled profit by ₹13,898 with broadly unchanged revenue; prioritize loss-making and low-margin sub-categories for price and promotion review.</w:t>
      </w:r>
    </w:p>
    <w:p>
      <w:pPr>
        <w:pStyle w:val="ListBullet"/>
      </w:pPr>
      <w:r>
        <w:t>Inventory Optimized reduces modeled lost units by 36.9% and raises fill rate by 3.0 points, but should be targeted to avoid excess stock.</w:t>
      </w:r>
    </w:p>
    <w:p>
      <w:pPr>
        <w:pStyle w:val="ListBullet"/>
      </w:pPr>
      <w:r>
        <w:t>Growth produces higher sales but negative modeled profit because discount, returns, and replenishment costs overwhelm contribution; require contribution-margin gates before campaigns.</w:t>
      </w:r>
    </w:p>
    <w:p>
      <w:pPr>
        <w:pStyle w:val="ListBullet"/>
      </w:pPr>
      <w:r>
        <w:t>Stress testing reduces service sharply and exposes the need for replenishment limits, safety stock, supplier lead times, and exception alerts.</w:t>
      </w:r>
    </w:p>
    <w:p>
      <w:pPr>
        <w:pStyle w:val="ListBullet"/>
      </w:pPr>
      <w:r>
        <w:t>Add a Power BI Scenario page using scenario summary and monthly state outputs; show profit, fill, lost units, returns, inventory, and confidence ranges.</w:t>
      </w:r>
    </w:p>
    <w:p>
      <w:pPr>
        <w:pStyle w:val="Heading1"/>
      </w:pPr>
      <w:r>
        <w:t>5. Production roadmap and limitations</w:t>
      </w:r>
    </w:p>
    <w:p>
      <w:pPr>
        <w:pStyle w:val="ListBullet"/>
      </w:pPr>
      <w:r>
        <w:t>Capture product/SKU, stock-on-hand, purchase orders, supplier lead time, fulfillment status, cancellation/return reason, discount, shipping cost, and channel data.</w:t>
      </w:r>
    </w:p>
    <w:p>
      <w:pPr>
        <w:pStyle w:val="ListBullet"/>
      </w:pPr>
      <w:r>
        <w:t>Replace sub-category virtual inventory with SKU/location state and enforce supplier, cash, storage, and minimum-order constraints.</w:t>
      </w:r>
    </w:p>
    <w:p>
      <w:pPr>
        <w:pStyle w:val="ListBullet"/>
      </w:pPr>
      <w:r>
        <w:t>Back-test on at least 12–24 months, reconcile unit economics with Finance, and calibrate return rates by product/payment/channel.</w:t>
      </w:r>
    </w:p>
    <w:p>
      <w:pPr>
        <w:pStyle w:val="ListBullet"/>
      </w:pPr>
      <w:r>
        <w:t>Keep recommendations advisory until pilot thresholds, approval workflows, monitoring, and rollback are operational.</w:t>
      </w:r>
    </w:p>
    <w:p>
      <w:pPr>
        <w:pStyle w:val="ListBullet"/>
      </w:pPr>
      <w:r>
        <w:t>Simulation results are conditional scenarios, not guaranteed forecasts.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59636E"/>
        <w:sz w:val="18"/>
      </w:rPr>
      <w:t>Controlled project document  |  Version 1.0  |  17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i w:val="0"/>
        <w:color w:val="59636E"/>
        <w:sz w:val="18"/>
      </w:rPr>
      <w:t>SUPPLY CHAIN INTELLIGENCE HUB  |  DIGITAL TWIN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732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quirementID">
    <w:name w:val="Requirement ID"/>
    <w:pPr>
      <w:keepNext/>
      <w:spacing w:before="160" w:after="40"/>
    </w:pPr>
    <w:rPr>
      <w:rFonts w:ascii="Calibri" w:hAnsi="Calibri"/>
      <w:b/>
      <w:color w:val="17324D"/>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