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Calibri" w:hAnsi="Calibri"/>
          <w:b/>
          <w:i w:val="0"/>
          <w:color w:val="C69214"/>
          <w:sz w:val="20"/>
        </w:rPr>
        <w:t>UM-BRD-001</w:t>
      </w:r>
    </w:p>
    <w:p>
      <w:pPr>
        <w:spacing w:after="80"/>
      </w:pPr>
      <w:r>
        <w:rPr>
          <w:rFonts w:ascii="Calibri" w:hAnsi="Calibri"/>
          <w:b/>
          <w:i w:val="0"/>
          <w:color w:val="17324D"/>
          <w:sz w:val="56"/>
        </w:rPr>
        <w:t>Business Requirements Document</w:t>
      </w:r>
    </w:p>
    <w:p>
      <w:pPr>
        <w:spacing w:after="400"/>
      </w:pPr>
      <w:r>
        <w:rPr>
          <w:rFonts w:ascii="Calibri" w:hAnsi="Calibri"/>
          <w:b w:val="0"/>
          <w:i w:val="0"/>
          <w:color w:val="167D8D"/>
          <w:sz w:val="28"/>
        </w:rPr>
        <w:t>Enterprise Urban Mobility Intelligence and Digital Twin</w:t>
      </w:r>
    </w:p>
    <w:p>
      <w:pPr>
        <w:spacing w:after="60"/>
      </w:pPr>
      <w:r>
        <w:rPr>
          <w:rFonts w:ascii="Calibri" w:hAnsi="Calibri"/>
          <w:b/>
          <w:i w:val="0"/>
          <w:color w:val="17324D"/>
          <w:sz w:val="21"/>
        </w:rPr>
        <w:t xml:space="preserve">Project: </w:t>
      </w:r>
      <w:r>
        <w:rPr>
          <w:rFonts w:ascii="Calibri" w:hAnsi="Calibri"/>
          <w:b w:val="0"/>
          <w:i w:val="0"/>
          <w:color w:val="222222"/>
          <w:sz w:val="21"/>
        </w:rPr>
        <w:t>Supply Chain Intelligence Hub and Digital Twin</w:t>
      </w:r>
    </w:p>
    <w:p>
      <w:pPr>
        <w:spacing w:after="60"/>
      </w:pPr>
      <w:r>
        <w:rPr>
          <w:rFonts w:ascii="Calibri" w:hAnsi="Calibri"/>
          <w:b/>
          <w:i w:val="0"/>
          <w:color w:val="17324D"/>
          <w:sz w:val="21"/>
        </w:rPr>
        <w:t xml:space="preserve">Document owner: </w:t>
      </w:r>
      <w:r>
        <w:rPr>
          <w:rFonts w:ascii="Calibri" w:hAnsi="Calibri"/>
          <w:b w:val="0"/>
          <w:i w:val="0"/>
          <w:color w:val="222222"/>
          <w:sz w:val="21"/>
        </w:rPr>
        <w:t>Business Analysis / Product Management</w:t>
      </w:r>
    </w:p>
    <w:p>
      <w:pPr>
        <w:spacing w:after="60"/>
      </w:pPr>
      <w:r>
        <w:rPr>
          <w:rFonts w:ascii="Calibri" w:hAnsi="Calibri"/>
          <w:b/>
          <w:i w:val="0"/>
          <w:color w:val="17324D"/>
          <w:sz w:val="21"/>
        </w:rPr>
        <w:t xml:space="preserve">Version: </w:t>
      </w:r>
      <w:r>
        <w:rPr>
          <w:rFonts w:ascii="Calibri" w:hAnsi="Calibri"/>
          <w:b w:val="0"/>
          <w:i w:val="0"/>
          <w:color w:val="222222"/>
          <w:sz w:val="21"/>
        </w:rPr>
        <w:t>1.0</w:t>
      </w:r>
    </w:p>
    <w:p>
      <w:pPr>
        <w:spacing w:after="60"/>
      </w:pPr>
      <w:r>
        <w:rPr>
          <w:rFonts w:ascii="Calibri" w:hAnsi="Calibri"/>
          <w:b/>
          <w:i w:val="0"/>
          <w:color w:val="17324D"/>
          <w:sz w:val="21"/>
        </w:rPr>
        <w:t xml:space="preserve">Status: </w:t>
      </w:r>
      <w:r>
        <w:rPr>
          <w:rFonts w:ascii="Calibri" w:hAnsi="Calibri"/>
          <w:b w:val="0"/>
          <w:i w:val="0"/>
          <w:color w:val="222222"/>
          <w:sz w:val="21"/>
        </w:rPr>
        <w:t>Draft for stakeholder review</w:t>
      </w:r>
    </w:p>
    <w:p>
      <w:pPr>
        <w:spacing w:after="60"/>
      </w:pPr>
      <w:r>
        <w:rPr>
          <w:rFonts w:ascii="Calibri" w:hAnsi="Calibri"/>
          <w:b/>
          <w:i w:val="0"/>
          <w:color w:val="17324D"/>
          <w:sz w:val="21"/>
        </w:rPr>
        <w:t xml:space="preserve">Date: </w:t>
      </w:r>
      <w:r>
        <w:rPr>
          <w:rFonts w:ascii="Calibri" w:hAnsi="Calibri"/>
          <w:b w:val="0"/>
          <w:i w:val="0"/>
          <w:color w:val="222222"/>
          <w:sz w:val="21"/>
        </w:rPr>
        <w:t>17 August 2026</w:t>
      </w:r>
    </w:p>
    <w:p>
      <w:pPr>
        <w:spacing w:after="60"/>
      </w:pPr>
      <w:r>
        <w:rPr>
          <w:rFonts w:ascii="Calibri" w:hAnsi="Calibri"/>
          <w:b/>
          <w:i w:val="0"/>
          <w:color w:val="17324D"/>
          <w:sz w:val="21"/>
        </w:rPr>
        <w:t xml:space="preserve">Classification: </w:t>
      </w:r>
      <w:r>
        <w:rPr>
          <w:rFonts w:ascii="Calibri" w:hAnsi="Calibri"/>
          <w:b w:val="0"/>
          <w:i w:val="0"/>
          <w:color w:val="222222"/>
          <w:sz w:val="21"/>
        </w:rPr>
        <w:t>Internal</w:t>
      </w:r>
    </w:p>
    <w:p>
      <w:pPr>
        <w:spacing w:before="400" w:after="160"/>
      </w:pPr>
      <w:r>
        <w:rPr>
          <w:rFonts w:ascii="Calibri" w:hAnsi="Calibri"/>
          <w:b/>
          <w:i w:val="0"/>
          <w:color w:val="2E74B5"/>
          <w:sz w:val="24"/>
        </w:rPr>
        <w:t>Document purpose</w:t>
      </w:r>
    </w:p>
    <w:p>
      <w:r>
        <w:t>This controlled document defines the approved scope and requirements for transforming the existing analytics notebook and Power BI dashboard into a governed, scenario-based supply-chain digital twin.</w:t>
      </w:r>
    </w:p>
    <w:p>
      <w:pPr>
        <w:spacing w:before="360"/>
        <w:shd w:fill="E8EEF5"/>
      </w:pPr>
      <w:r>
        <w:rPr>
          <w:rFonts w:ascii="Calibri" w:hAnsi="Calibri"/>
          <w:b/>
          <w:i w:val="0"/>
          <w:color w:val="17324D"/>
          <w:sz w:val="22"/>
        </w:rPr>
        <w:t xml:space="preserve">Approval gate: </w:t>
      </w:r>
      <w:r>
        <w:rPr>
          <w:rFonts w:ascii="Calibri" w:hAnsi="Calibri"/>
          <w:b w:val="0"/>
          <w:i w:val="0"/>
          <w:color w:val="222222"/>
          <w:sz w:val="22"/>
        </w:rPr>
        <w:t>Requirements become baselined only after Business Owner, Operations, Finance, Data/Technology, and Quality approval.</w:t>
      </w:r>
    </w:p>
    <w:p>
      <w:r>
        <w:br w:type="page"/>
      </w:r>
    </w:p>
    <w:p>
      <w:pPr>
        <w:pStyle w:val="Heading1"/>
      </w:pPr>
      <w:r>
        <w:t>Document control</w:t>
      </w:r>
    </w:p>
    <w:p>
      <w:pPr>
        <w:pStyle w:val="Heading2"/>
      </w:pPr>
      <w:r>
        <w:t>Revision history</w:t>
      </w:r>
    </w:p>
    <w:tbl>
      <w:tblPr>
        <w:tblStyle w:val="TableGrid"/>
        <w:tblW w:type="dxa" w:w="9360"/>
        <w:tblLayout w:type="fixed"/>
        <w:tblLook w:firstColumn="1" w:firstRow="1" w:lastColumn="0" w:lastRow="0" w:noHBand="0" w:noVBand="1" w:val="04A0"/>
        <w:tblInd w:w="120" w:type="dxa"/>
      </w:tblPr>
      <w:tblGrid>
        <w:gridCol w:w="900"/>
        <w:gridCol w:w="1400"/>
        <w:gridCol w:w="1900"/>
        <w:gridCol w:w="3560"/>
        <w:gridCol w:w="1600"/>
      </w:tblGrid>
      <w:tr>
        <w:tc>
          <w:tcPr>
            <w:tcW w:type="dxa" w:w="900"/>
            <w:shd w:fill="17324D"/>
            <w:tcMar>
              <w:top w:w="100" w:type="dxa"/>
              <w:start w:w="120" w:type="dxa"/>
              <w:bottom w:w="100" w:type="dxa"/>
              <w:end w:w="120" w:type="dxa"/>
            </w:tcMar>
            <w:vAlign w:val="center"/>
          </w:tcPr>
          <w:p>
            <w:r>
              <w:rPr>
                <w:rFonts w:ascii="Calibri" w:hAnsi="Calibri"/>
                <w:b/>
                <w:i w:val="0"/>
                <w:color w:val="FFFFFF"/>
                <w:sz w:val="18"/>
              </w:rPr>
              <w:t>Version</w:t>
            </w:r>
          </w:p>
        </w:tc>
        <w:tc>
          <w:tcPr>
            <w:tcW w:type="dxa" w:w="1400"/>
            <w:shd w:fill="17324D"/>
            <w:tcMar>
              <w:top w:w="100" w:type="dxa"/>
              <w:start w:w="120" w:type="dxa"/>
              <w:bottom w:w="100" w:type="dxa"/>
              <w:end w:w="120" w:type="dxa"/>
            </w:tcMar>
            <w:vAlign w:val="center"/>
          </w:tcPr>
          <w:p>
            <w:r>
              <w:rPr>
                <w:rFonts w:ascii="Calibri" w:hAnsi="Calibri"/>
                <w:b/>
                <w:i w:val="0"/>
                <w:color w:val="FFFFFF"/>
                <w:sz w:val="18"/>
              </w:rPr>
              <w:t>Date</w:t>
            </w:r>
          </w:p>
        </w:tc>
        <w:tc>
          <w:tcPr>
            <w:tcW w:type="dxa" w:w="1900"/>
            <w:shd w:fill="17324D"/>
            <w:tcMar>
              <w:top w:w="100" w:type="dxa"/>
              <w:start w:w="120" w:type="dxa"/>
              <w:bottom w:w="100" w:type="dxa"/>
              <w:end w:w="120" w:type="dxa"/>
            </w:tcMar>
            <w:vAlign w:val="center"/>
          </w:tcPr>
          <w:p>
            <w:r>
              <w:rPr>
                <w:rFonts w:ascii="Calibri" w:hAnsi="Calibri"/>
                <w:b/>
                <w:i w:val="0"/>
                <w:color w:val="FFFFFF"/>
                <w:sz w:val="18"/>
              </w:rPr>
              <w:t>Author/Owner</w:t>
            </w:r>
          </w:p>
        </w:tc>
        <w:tc>
          <w:tcPr>
            <w:tcW w:type="dxa" w:w="3560"/>
            <w:shd w:fill="17324D"/>
            <w:tcMar>
              <w:top w:w="100" w:type="dxa"/>
              <w:start w:w="120" w:type="dxa"/>
              <w:bottom w:w="100" w:type="dxa"/>
              <w:end w:w="120" w:type="dxa"/>
            </w:tcMar>
            <w:vAlign w:val="center"/>
          </w:tcPr>
          <w:p>
            <w:r>
              <w:rPr>
                <w:rFonts w:ascii="Calibri" w:hAnsi="Calibri"/>
                <w:b/>
                <w:i w:val="0"/>
                <w:color w:val="FFFFFF"/>
                <w:sz w:val="18"/>
              </w:rPr>
              <w:t>Change</w:t>
            </w:r>
          </w:p>
        </w:tc>
        <w:tc>
          <w:tcPr>
            <w:tcW w:type="dxa" w:w="1600"/>
            <w:shd w:fill="17324D"/>
            <w:tcMar>
              <w:top w:w="100" w:type="dxa"/>
              <w:start w:w="120" w:type="dxa"/>
              <w:bottom w:w="100" w:type="dxa"/>
              <w:end w:w="120" w:type="dxa"/>
            </w:tcMar>
            <w:vAlign w:val="center"/>
          </w:tcPr>
          <w:p>
            <w:r>
              <w:rPr>
                <w:rFonts w:ascii="Calibri" w:hAnsi="Calibri"/>
                <w:b/>
                <w:i w:val="0"/>
                <w:color w:val="FFFFFF"/>
                <w:sz w:val="18"/>
              </w:rPr>
              <w:t>Status</w:t>
            </w:r>
          </w:p>
        </w:tc>
      </w:tr>
      <w:tr>
        <w:tc>
          <w:tcPr>
            <w:tcW w:type="dxa" w:w="900"/>
            <w:tcMar>
              <w:top w:w="100" w:type="dxa"/>
              <w:start w:w="120" w:type="dxa"/>
              <w:bottom w:w="100" w:type="dxa"/>
              <w:end w:w="120" w:type="dxa"/>
            </w:tcMar>
            <w:vAlign w:val="center"/>
          </w:tcPr>
          <w:p>
            <w:r>
              <w:rPr>
                <w:rFonts w:ascii="Calibri" w:hAnsi="Calibri"/>
                <w:b w:val="0"/>
                <w:i w:val="0"/>
                <w:color w:val="222222"/>
                <w:sz w:val="18"/>
              </w:rPr>
              <w:t>1.0</w:t>
            </w:r>
          </w:p>
        </w:tc>
        <w:tc>
          <w:tcPr>
            <w:tcW w:type="dxa" w:w="1400"/>
            <w:tcMar>
              <w:top w:w="100" w:type="dxa"/>
              <w:start w:w="120" w:type="dxa"/>
              <w:bottom w:w="100" w:type="dxa"/>
              <w:end w:w="120" w:type="dxa"/>
            </w:tcMar>
            <w:vAlign w:val="center"/>
          </w:tcPr>
          <w:p>
            <w:r>
              <w:rPr>
                <w:rFonts w:ascii="Calibri" w:hAnsi="Calibri"/>
                <w:b w:val="0"/>
                <w:i w:val="0"/>
                <w:color w:val="222222"/>
                <w:sz w:val="18"/>
              </w:rPr>
              <w:t>17 Aug 2026</w:t>
            </w:r>
          </w:p>
        </w:tc>
        <w:tc>
          <w:tcPr>
            <w:tcW w:type="dxa" w:w="1900"/>
            <w:tcMar>
              <w:top w:w="100" w:type="dxa"/>
              <w:start w:w="120" w:type="dxa"/>
              <w:bottom w:w="100" w:type="dxa"/>
              <w:end w:w="120" w:type="dxa"/>
            </w:tcMar>
            <w:vAlign w:val="center"/>
          </w:tcPr>
          <w:p>
            <w:r>
              <w:rPr>
                <w:rFonts w:ascii="Calibri" w:hAnsi="Calibri"/>
                <w:b w:val="0"/>
                <w:i w:val="0"/>
                <w:color w:val="222222"/>
                <w:sz w:val="18"/>
              </w:rPr>
              <w:t>Business Analysis</w:t>
            </w:r>
          </w:p>
        </w:tc>
        <w:tc>
          <w:tcPr>
            <w:tcW w:type="dxa" w:w="3560"/>
            <w:tcMar>
              <w:top w:w="100" w:type="dxa"/>
              <w:start w:w="120" w:type="dxa"/>
              <w:bottom w:w="100" w:type="dxa"/>
              <w:end w:w="120" w:type="dxa"/>
            </w:tcMar>
            <w:vAlign w:val="center"/>
          </w:tcPr>
          <w:p>
            <w:r>
              <w:rPr>
                <w:rFonts w:ascii="Calibri" w:hAnsi="Calibri"/>
                <w:b w:val="0"/>
                <w:i w:val="0"/>
                <w:color w:val="222222"/>
                <w:sz w:val="18"/>
              </w:rPr>
              <w:t>Initial controlled draft</w:t>
            </w:r>
          </w:p>
        </w:tc>
        <w:tc>
          <w:tcPr>
            <w:tcW w:type="dxa" w:w="1600"/>
            <w:tcMar>
              <w:top w:w="100" w:type="dxa"/>
              <w:start w:w="120" w:type="dxa"/>
              <w:bottom w:w="100" w:type="dxa"/>
              <w:end w:w="120" w:type="dxa"/>
            </w:tcMar>
            <w:vAlign w:val="center"/>
          </w:tcPr>
          <w:p>
            <w:r>
              <w:rPr>
                <w:rFonts w:ascii="Calibri" w:hAnsi="Calibri"/>
                <w:b w:val="0"/>
                <w:i w:val="0"/>
                <w:color w:val="222222"/>
                <w:sz w:val="18"/>
              </w:rPr>
              <w:t>Review</w:t>
            </w:r>
          </w:p>
        </w:tc>
      </w:tr>
    </w:tbl>
    <w:p>
      <w:pPr>
        <w:pStyle w:val="Heading2"/>
      </w:pPr>
      <w:r>
        <w:t>Review and approval</w:t>
      </w:r>
    </w:p>
    <w:tbl>
      <w:tblPr>
        <w:tblStyle w:val="TableGrid"/>
        <w:tblW w:type="dxa" w:w="9360"/>
        <w:tblLayout w:type="fixed"/>
        <w:tblLook w:firstColumn="1" w:firstRow="1" w:lastColumn="0" w:lastRow="0" w:noHBand="0" w:noVBand="1" w:val="04A0"/>
        <w:tblInd w:w="120" w:type="dxa"/>
      </w:tblPr>
      <w:tblGrid>
        <w:gridCol w:w="2600"/>
        <w:gridCol w:w="2500"/>
        <w:gridCol w:w="2300"/>
        <w:gridCol w:w="1960"/>
      </w:tblGrid>
      <w:tr>
        <w:tc>
          <w:tcPr>
            <w:tcW w:type="dxa" w:w="2600"/>
            <w:shd w:fill="17324D"/>
            <w:tcMar>
              <w:top w:w="100" w:type="dxa"/>
              <w:start w:w="120" w:type="dxa"/>
              <w:bottom w:w="100" w:type="dxa"/>
              <w:end w:w="120" w:type="dxa"/>
            </w:tcMar>
            <w:vAlign w:val="center"/>
          </w:tcPr>
          <w:p>
            <w:r>
              <w:rPr>
                <w:rFonts w:ascii="Calibri" w:hAnsi="Calibri"/>
                <w:b/>
                <w:i w:val="0"/>
                <w:color w:val="FFFFFF"/>
                <w:sz w:val="18"/>
              </w:rPr>
              <w:t>Role</w:t>
            </w:r>
          </w:p>
        </w:tc>
        <w:tc>
          <w:tcPr>
            <w:tcW w:type="dxa" w:w="2500"/>
            <w:shd w:fill="17324D"/>
            <w:tcMar>
              <w:top w:w="100" w:type="dxa"/>
              <w:start w:w="120" w:type="dxa"/>
              <w:bottom w:w="100" w:type="dxa"/>
              <w:end w:w="120" w:type="dxa"/>
            </w:tcMar>
            <w:vAlign w:val="center"/>
          </w:tcPr>
          <w:p>
            <w:r>
              <w:rPr>
                <w:rFonts w:ascii="Calibri" w:hAnsi="Calibri"/>
                <w:b/>
                <w:i w:val="0"/>
                <w:color w:val="FFFFFF"/>
                <w:sz w:val="18"/>
              </w:rPr>
              <w:t>Name</w:t>
            </w:r>
          </w:p>
        </w:tc>
        <w:tc>
          <w:tcPr>
            <w:tcW w:type="dxa" w:w="2300"/>
            <w:shd w:fill="17324D"/>
            <w:tcMar>
              <w:top w:w="100" w:type="dxa"/>
              <w:start w:w="120" w:type="dxa"/>
              <w:bottom w:w="100" w:type="dxa"/>
              <w:end w:w="120" w:type="dxa"/>
            </w:tcMar>
            <w:vAlign w:val="center"/>
          </w:tcPr>
          <w:p>
            <w:r>
              <w:rPr>
                <w:rFonts w:ascii="Calibri" w:hAnsi="Calibri"/>
                <w:b/>
                <w:i w:val="0"/>
                <w:color w:val="FFFFFF"/>
                <w:sz w:val="18"/>
              </w:rPr>
              <w:t>Decision</w:t>
            </w:r>
          </w:p>
        </w:tc>
        <w:tc>
          <w:tcPr>
            <w:tcW w:type="dxa" w:w="1960"/>
            <w:shd w:fill="17324D"/>
            <w:tcMar>
              <w:top w:w="100" w:type="dxa"/>
              <w:start w:w="120" w:type="dxa"/>
              <w:bottom w:w="100" w:type="dxa"/>
              <w:end w:w="120" w:type="dxa"/>
            </w:tcMar>
            <w:vAlign w:val="center"/>
          </w:tcPr>
          <w:p>
            <w:r>
              <w:rPr>
                <w:rFonts w:ascii="Calibri" w:hAnsi="Calibri"/>
                <w:b/>
                <w:i w:val="0"/>
                <w:color w:val="FFFFFF"/>
                <w:sz w:val="18"/>
              </w:rPr>
              <w:t>Date</w:t>
            </w:r>
          </w:p>
        </w:tc>
      </w:tr>
      <w:tr>
        <w:tc>
          <w:tcPr>
            <w:tcW w:type="dxa" w:w="2600"/>
            <w:tcMar>
              <w:top w:w="100" w:type="dxa"/>
              <w:start w:w="120" w:type="dxa"/>
              <w:bottom w:w="100" w:type="dxa"/>
              <w:end w:w="120" w:type="dxa"/>
            </w:tcMar>
            <w:vAlign w:val="center"/>
          </w:tcPr>
          <w:p>
            <w:r>
              <w:rPr>
                <w:rFonts w:ascii="Calibri" w:hAnsi="Calibri"/>
                <w:b w:val="0"/>
                <w:i w:val="0"/>
                <w:color w:val="222222"/>
                <w:sz w:val="18"/>
              </w:rPr>
              <w:t>Business Sponsor</w:t>
            </w:r>
          </w:p>
        </w:tc>
        <w:tc>
          <w:tcPr>
            <w:tcW w:type="dxa" w:w="2500"/>
            <w:tcMar>
              <w:top w:w="100" w:type="dxa"/>
              <w:start w:w="120" w:type="dxa"/>
              <w:bottom w:w="100" w:type="dxa"/>
              <w:end w:w="120" w:type="dxa"/>
            </w:tcMar>
            <w:vAlign w:val="center"/>
          </w:tcPr>
          <w:p>
            <w:r>
              <w:rPr>
                <w:rFonts w:ascii="Calibri" w:hAnsi="Calibri"/>
                <w:b w:val="0"/>
                <w:i w:val="0"/>
                <w:color w:val="222222"/>
                <w:sz w:val="18"/>
              </w:rPr>
              <w:t>________________</w:t>
            </w:r>
          </w:p>
        </w:tc>
        <w:tc>
          <w:tcPr>
            <w:tcW w:type="dxa" w:w="2300"/>
            <w:tcMar>
              <w:top w:w="100" w:type="dxa"/>
              <w:start w:w="120" w:type="dxa"/>
              <w:bottom w:w="100" w:type="dxa"/>
              <w:end w:w="120" w:type="dxa"/>
            </w:tcMar>
            <w:vAlign w:val="center"/>
          </w:tcPr>
          <w:p>
            <w:r>
              <w:rPr>
                <w:rFonts w:ascii="Calibri" w:hAnsi="Calibri"/>
                <w:b w:val="0"/>
                <w:i w:val="0"/>
                <w:color w:val="222222"/>
                <w:sz w:val="18"/>
              </w:rPr>
              <w:t>Approve / Reject</w:t>
            </w:r>
          </w:p>
        </w:tc>
        <w:tc>
          <w:tcPr>
            <w:tcW w:type="dxa" w:w="1960"/>
            <w:tcMar>
              <w:top w:w="100" w:type="dxa"/>
              <w:start w:w="120" w:type="dxa"/>
              <w:bottom w:w="100" w:type="dxa"/>
              <w:end w:w="120" w:type="dxa"/>
            </w:tcMar>
            <w:vAlign w:val="center"/>
          </w:tcPr>
          <w:p>
            <w:r>
              <w:rPr>
                <w:rFonts w:ascii="Calibri" w:hAnsi="Calibri"/>
                <w:b w:val="0"/>
                <w:i w:val="0"/>
                <w:color w:val="222222"/>
                <w:sz w:val="18"/>
              </w:rPr>
              <w:t>__________</w:t>
            </w:r>
          </w:p>
        </w:tc>
      </w:tr>
      <w:tr>
        <w:tc>
          <w:tcPr>
            <w:tcW w:type="dxa" w:w="2600"/>
            <w:shd w:fill="F2F4F7"/>
            <w:tcMar>
              <w:top w:w="100" w:type="dxa"/>
              <w:start w:w="120" w:type="dxa"/>
              <w:bottom w:w="100" w:type="dxa"/>
              <w:end w:w="120" w:type="dxa"/>
            </w:tcMar>
            <w:vAlign w:val="center"/>
          </w:tcPr>
          <w:p>
            <w:r>
              <w:rPr>
                <w:rFonts w:ascii="Calibri" w:hAnsi="Calibri"/>
                <w:b w:val="0"/>
                <w:i w:val="0"/>
                <w:color w:val="222222"/>
                <w:sz w:val="18"/>
              </w:rPr>
              <w:t>Supply Chain Owner</w:t>
            </w:r>
          </w:p>
        </w:tc>
        <w:tc>
          <w:tcPr>
            <w:tcW w:type="dxa" w:w="2500"/>
            <w:shd w:fill="F2F4F7"/>
            <w:tcMar>
              <w:top w:w="100" w:type="dxa"/>
              <w:start w:w="120" w:type="dxa"/>
              <w:bottom w:w="100" w:type="dxa"/>
              <w:end w:w="120" w:type="dxa"/>
            </w:tcMar>
            <w:vAlign w:val="center"/>
          </w:tcPr>
          <w:p>
            <w:r>
              <w:rPr>
                <w:rFonts w:ascii="Calibri" w:hAnsi="Calibri"/>
                <w:b w:val="0"/>
                <w:i w:val="0"/>
                <w:color w:val="222222"/>
                <w:sz w:val="18"/>
              </w:rPr>
              <w:t>________________</w:t>
            </w:r>
          </w:p>
        </w:tc>
        <w:tc>
          <w:tcPr>
            <w:tcW w:type="dxa" w:w="2300"/>
            <w:shd w:fill="F2F4F7"/>
            <w:tcMar>
              <w:top w:w="100" w:type="dxa"/>
              <w:start w:w="120" w:type="dxa"/>
              <w:bottom w:w="100" w:type="dxa"/>
              <w:end w:w="120" w:type="dxa"/>
            </w:tcMar>
            <w:vAlign w:val="center"/>
          </w:tcPr>
          <w:p>
            <w:r>
              <w:rPr>
                <w:rFonts w:ascii="Calibri" w:hAnsi="Calibri"/>
                <w:b w:val="0"/>
                <w:i w:val="0"/>
                <w:color w:val="222222"/>
                <w:sz w:val="18"/>
              </w:rPr>
              <w:t>Approve / Reject</w:t>
            </w:r>
          </w:p>
        </w:tc>
        <w:tc>
          <w:tcPr>
            <w:tcW w:type="dxa" w:w="1960"/>
            <w:shd w:fill="F2F4F7"/>
            <w:tcMar>
              <w:top w:w="100" w:type="dxa"/>
              <w:start w:w="120" w:type="dxa"/>
              <w:bottom w:w="100" w:type="dxa"/>
              <w:end w:w="120" w:type="dxa"/>
            </w:tcMar>
            <w:vAlign w:val="center"/>
          </w:tcPr>
          <w:p>
            <w:r>
              <w:rPr>
                <w:rFonts w:ascii="Calibri" w:hAnsi="Calibri"/>
                <w:b w:val="0"/>
                <w:i w:val="0"/>
                <w:color w:val="222222"/>
                <w:sz w:val="18"/>
              </w:rPr>
              <w:t>__________</w:t>
            </w:r>
          </w:p>
        </w:tc>
      </w:tr>
      <w:tr>
        <w:tc>
          <w:tcPr>
            <w:tcW w:type="dxa" w:w="2600"/>
            <w:tcMar>
              <w:top w:w="100" w:type="dxa"/>
              <w:start w:w="120" w:type="dxa"/>
              <w:bottom w:w="100" w:type="dxa"/>
              <w:end w:w="120" w:type="dxa"/>
            </w:tcMar>
            <w:vAlign w:val="center"/>
          </w:tcPr>
          <w:p>
            <w:r>
              <w:rPr>
                <w:rFonts w:ascii="Calibri" w:hAnsi="Calibri"/>
                <w:b w:val="0"/>
                <w:i w:val="0"/>
                <w:color w:val="222222"/>
                <w:sz w:val="18"/>
              </w:rPr>
              <w:t>Finance Owner</w:t>
            </w:r>
          </w:p>
        </w:tc>
        <w:tc>
          <w:tcPr>
            <w:tcW w:type="dxa" w:w="2500"/>
            <w:tcMar>
              <w:top w:w="100" w:type="dxa"/>
              <w:start w:w="120" w:type="dxa"/>
              <w:bottom w:w="100" w:type="dxa"/>
              <w:end w:w="120" w:type="dxa"/>
            </w:tcMar>
            <w:vAlign w:val="center"/>
          </w:tcPr>
          <w:p>
            <w:r>
              <w:rPr>
                <w:rFonts w:ascii="Calibri" w:hAnsi="Calibri"/>
                <w:b w:val="0"/>
                <w:i w:val="0"/>
                <w:color w:val="222222"/>
                <w:sz w:val="18"/>
              </w:rPr>
              <w:t>________________</w:t>
            </w:r>
          </w:p>
        </w:tc>
        <w:tc>
          <w:tcPr>
            <w:tcW w:type="dxa" w:w="2300"/>
            <w:tcMar>
              <w:top w:w="100" w:type="dxa"/>
              <w:start w:w="120" w:type="dxa"/>
              <w:bottom w:w="100" w:type="dxa"/>
              <w:end w:w="120" w:type="dxa"/>
            </w:tcMar>
            <w:vAlign w:val="center"/>
          </w:tcPr>
          <w:p>
            <w:r>
              <w:rPr>
                <w:rFonts w:ascii="Calibri" w:hAnsi="Calibri"/>
                <w:b w:val="0"/>
                <w:i w:val="0"/>
                <w:color w:val="222222"/>
                <w:sz w:val="18"/>
              </w:rPr>
              <w:t>Approve / Reject</w:t>
            </w:r>
          </w:p>
        </w:tc>
        <w:tc>
          <w:tcPr>
            <w:tcW w:type="dxa" w:w="1960"/>
            <w:tcMar>
              <w:top w:w="100" w:type="dxa"/>
              <w:start w:w="120" w:type="dxa"/>
              <w:bottom w:w="100" w:type="dxa"/>
              <w:end w:w="120" w:type="dxa"/>
            </w:tcMar>
            <w:vAlign w:val="center"/>
          </w:tcPr>
          <w:p>
            <w:r>
              <w:rPr>
                <w:rFonts w:ascii="Calibri" w:hAnsi="Calibri"/>
                <w:b w:val="0"/>
                <w:i w:val="0"/>
                <w:color w:val="222222"/>
                <w:sz w:val="18"/>
              </w:rPr>
              <w:t>__________</w:t>
            </w:r>
          </w:p>
        </w:tc>
      </w:tr>
      <w:tr>
        <w:tc>
          <w:tcPr>
            <w:tcW w:type="dxa" w:w="2600"/>
            <w:shd w:fill="F2F4F7"/>
            <w:tcMar>
              <w:top w:w="100" w:type="dxa"/>
              <w:start w:w="120" w:type="dxa"/>
              <w:bottom w:w="100" w:type="dxa"/>
              <w:end w:w="120" w:type="dxa"/>
            </w:tcMar>
            <w:vAlign w:val="center"/>
          </w:tcPr>
          <w:p>
            <w:r>
              <w:rPr>
                <w:rFonts w:ascii="Calibri" w:hAnsi="Calibri"/>
                <w:b w:val="0"/>
                <w:i w:val="0"/>
                <w:color w:val="222222"/>
                <w:sz w:val="18"/>
              </w:rPr>
              <w:t>Data/Technology Owner</w:t>
            </w:r>
          </w:p>
        </w:tc>
        <w:tc>
          <w:tcPr>
            <w:tcW w:type="dxa" w:w="2500"/>
            <w:shd w:fill="F2F4F7"/>
            <w:tcMar>
              <w:top w:w="100" w:type="dxa"/>
              <w:start w:w="120" w:type="dxa"/>
              <w:bottom w:w="100" w:type="dxa"/>
              <w:end w:w="120" w:type="dxa"/>
            </w:tcMar>
            <w:vAlign w:val="center"/>
          </w:tcPr>
          <w:p>
            <w:r>
              <w:rPr>
                <w:rFonts w:ascii="Calibri" w:hAnsi="Calibri"/>
                <w:b w:val="0"/>
                <w:i w:val="0"/>
                <w:color w:val="222222"/>
                <w:sz w:val="18"/>
              </w:rPr>
              <w:t>________________</w:t>
            </w:r>
          </w:p>
        </w:tc>
        <w:tc>
          <w:tcPr>
            <w:tcW w:type="dxa" w:w="2300"/>
            <w:shd w:fill="F2F4F7"/>
            <w:tcMar>
              <w:top w:w="100" w:type="dxa"/>
              <w:start w:w="120" w:type="dxa"/>
              <w:bottom w:w="100" w:type="dxa"/>
              <w:end w:w="120" w:type="dxa"/>
            </w:tcMar>
            <w:vAlign w:val="center"/>
          </w:tcPr>
          <w:p>
            <w:r>
              <w:rPr>
                <w:rFonts w:ascii="Calibri" w:hAnsi="Calibri"/>
                <w:b w:val="0"/>
                <w:i w:val="0"/>
                <w:color w:val="222222"/>
                <w:sz w:val="18"/>
              </w:rPr>
              <w:t>Approve / Reject</w:t>
            </w:r>
          </w:p>
        </w:tc>
        <w:tc>
          <w:tcPr>
            <w:tcW w:type="dxa" w:w="1960"/>
            <w:shd w:fill="F2F4F7"/>
            <w:tcMar>
              <w:top w:w="100" w:type="dxa"/>
              <w:start w:w="120" w:type="dxa"/>
              <w:bottom w:w="100" w:type="dxa"/>
              <w:end w:w="120" w:type="dxa"/>
            </w:tcMar>
            <w:vAlign w:val="center"/>
          </w:tcPr>
          <w:p>
            <w:r>
              <w:rPr>
                <w:rFonts w:ascii="Calibri" w:hAnsi="Calibri"/>
                <w:b w:val="0"/>
                <w:i w:val="0"/>
                <w:color w:val="222222"/>
                <w:sz w:val="18"/>
              </w:rPr>
              <w:t>__________</w:t>
            </w:r>
          </w:p>
        </w:tc>
      </w:tr>
      <w:tr>
        <w:tc>
          <w:tcPr>
            <w:tcW w:type="dxa" w:w="2600"/>
            <w:tcMar>
              <w:top w:w="100" w:type="dxa"/>
              <w:start w:w="120" w:type="dxa"/>
              <w:bottom w:w="100" w:type="dxa"/>
              <w:end w:w="120" w:type="dxa"/>
            </w:tcMar>
            <w:vAlign w:val="center"/>
          </w:tcPr>
          <w:p>
            <w:r>
              <w:rPr>
                <w:rFonts w:ascii="Calibri" w:hAnsi="Calibri"/>
                <w:b w:val="0"/>
                <w:i w:val="0"/>
                <w:color w:val="222222"/>
                <w:sz w:val="18"/>
              </w:rPr>
              <w:t>Quality Owner</w:t>
            </w:r>
          </w:p>
        </w:tc>
        <w:tc>
          <w:tcPr>
            <w:tcW w:type="dxa" w:w="2500"/>
            <w:tcMar>
              <w:top w:w="100" w:type="dxa"/>
              <w:start w:w="120" w:type="dxa"/>
              <w:bottom w:w="100" w:type="dxa"/>
              <w:end w:w="120" w:type="dxa"/>
            </w:tcMar>
            <w:vAlign w:val="center"/>
          </w:tcPr>
          <w:p>
            <w:r>
              <w:rPr>
                <w:rFonts w:ascii="Calibri" w:hAnsi="Calibri"/>
                <w:b w:val="0"/>
                <w:i w:val="0"/>
                <w:color w:val="222222"/>
                <w:sz w:val="18"/>
              </w:rPr>
              <w:t>________________</w:t>
            </w:r>
          </w:p>
        </w:tc>
        <w:tc>
          <w:tcPr>
            <w:tcW w:type="dxa" w:w="2300"/>
            <w:tcMar>
              <w:top w:w="100" w:type="dxa"/>
              <w:start w:w="120" w:type="dxa"/>
              <w:bottom w:w="100" w:type="dxa"/>
              <w:end w:w="120" w:type="dxa"/>
            </w:tcMar>
            <w:vAlign w:val="center"/>
          </w:tcPr>
          <w:p>
            <w:r>
              <w:rPr>
                <w:rFonts w:ascii="Calibri" w:hAnsi="Calibri"/>
                <w:b w:val="0"/>
                <w:i w:val="0"/>
                <w:color w:val="222222"/>
                <w:sz w:val="18"/>
              </w:rPr>
              <w:t>Approve / Reject</w:t>
            </w:r>
          </w:p>
        </w:tc>
        <w:tc>
          <w:tcPr>
            <w:tcW w:type="dxa" w:w="1960"/>
            <w:tcMar>
              <w:top w:w="100" w:type="dxa"/>
              <w:start w:w="120" w:type="dxa"/>
              <w:bottom w:w="100" w:type="dxa"/>
              <w:end w:w="120" w:type="dxa"/>
            </w:tcMar>
            <w:vAlign w:val="center"/>
          </w:tcPr>
          <w:p>
            <w:r>
              <w:rPr>
                <w:rFonts w:ascii="Calibri" w:hAnsi="Calibri"/>
                <w:b w:val="0"/>
                <w:i w:val="0"/>
                <w:color w:val="222222"/>
                <w:sz w:val="18"/>
              </w:rPr>
              <w:t>__________</w:t>
            </w:r>
          </w:p>
        </w:tc>
      </w:tr>
    </w:tbl>
    <w:p>
      <w:pPr>
        <w:pStyle w:val="Heading1"/>
      </w:pPr>
      <w:r>
        <w:t>1. Business need</w:t>
      </w:r>
    </w:p>
    <w:p>
      <w:r>
        <w:t>The organization needs to progress from historical mobility reporting to governed scenario planning that quantifies how fleet availability, driver supply, trip duration, productivity, shared mobility, and disruptions affect service, capacity, fare coverage, and sustainability.</w:t>
      </w:r>
    </w:p>
    <w:p>
      <w:pPr>
        <w:pStyle w:val="Heading1"/>
      </w:pPr>
      <w:r>
        <w:t>2. Objectives and scope</w:t>
      </w:r>
    </w:p>
    <w:tbl>
      <w:tblPr>
        <w:tblStyle w:val="TableGrid"/>
        <w:tblW w:type="dxa" w:w="9360"/>
        <w:tblLayout w:type="fixed"/>
        <w:tblLook w:firstColumn="1" w:firstRow="1" w:lastColumn="0" w:lastRow="0" w:noHBand="0" w:noVBand="1" w:val="04A0"/>
        <w:tblInd w:w="120" w:type="dxa"/>
      </w:tblPr>
      <w:tblGrid>
        <w:gridCol w:w="1100"/>
        <w:gridCol w:w="4900"/>
        <w:gridCol w:w="3360"/>
      </w:tblGrid>
      <w:tr>
        <w:tc>
          <w:tcPr>
            <w:tcW w:type="dxa" w:w="1100"/>
            <w:shd w:fill="17324D"/>
            <w:tcMar>
              <w:top w:w="100" w:type="dxa"/>
              <w:start w:w="120" w:type="dxa"/>
              <w:bottom w:w="100" w:type="dxa"/>
              <w:end w:w="120" w:type="dxa"/>
            </w:tcMar>
            <w:vAlign w:val="center"/>
          </w:tcPr>
          <w:p>
            <w:r>
              <w:rPr>
                <w:rFonts w:ascii="Calibri" w:hAnsi="Calibri"/>
                <w:b/>
                <w:i w:val="0"/>
                <w:color w:val="FFFFFF"/>
                <w:sz w:val="18"/>
              </w:rPr>
              <w:t>ID</w:t>
            </w:r>
          </w:p>
        </w:tc>
        <w:tc>
          <w:tcPr>
            <w:tcW w:type="dxa" w:w="4900"/>
            <w:shd w:fill="17324D"/>
            <w:tcMar>
              <w:top w:w="100" w:type="dxa"/>
              <w:start w:w="120" w:type="dxa"/>
              <w:bottom w:w="100" w:type="dxa"/>
              <w:end w:w="120" w:type="dxa"/>
            </w:tcMar>
            <w:vAlign w:val="center"/>
          </w:tcPr>
          <w:p>
            <w:r>
              <w:rPr>
                <w:rFonts w:ascii="Calibri" w:hAnsi="Calibri"/>
                <w:b/>
                <w:i w:val="0"/>
                <w:color w:val="FFFFFF"/>
                <w:sz w:val="18"/>
              </w:rPr>
              <w:t>Objective</w:t>
            </w:r>
          </w:p>
        </w:tc>
        <w:tc>
          <w:tcPr>
            <w:tcW w:type="dxa" w:w="3360"/>
            <w:shd w:fill="17324D"/>
            <w:tcMar>
              <w:top w:w="100" w:type="dxa"/>
              <w:start w:w="120" w:type="dxa"/>
              <w:bottom w:w="100" w:type="dxa"/>
              <w:end w:w="120" w:type="dxa"/>
            </w:tcMar>
            <w:vAlign w:val="center"/>
          </w:tcPr>
          <w:p>
            <w:r>
              <w:rPr>
                <w:rFonts w:ascii="Calibri" w:hAnsi="Calibri"/>
                <w:b/>
                <w:i w:val="0"/>
                <w:color w:val="FFFFFF"/>
                <w:sz w:val="18"/>
              </w:rPr>
              <w:t>Success indicator</w:t>
            </w:r>
          </w:p>
        </w:tc>
      </w:tr>
      <w:tr>
        <w:tc>
          <w:tcPr>
            <w:tcW w:type="dxa" w:w="1100"/>
            <w:tcMar>
              <w:top w:w="100" w:type="dxa"/>
              <w:start w:w="120" w:type="dxa"/>
              <w:bottom w:w="100" w:type="dxa"/>
              <w:end w:w="120" w:type="dxa"/>
            </w:tcMar>
            <w:vAlign w:val="center"/>
          </w:tcPr>
          <w:p>
            <w:r>
              <w:rPr>
                <w:rFonts w:ascii="Calibri" w:hAnsi="Calibri"/>
                <w:b w:val="0"/>
                <w:i w:val="0"/>
                <w:color w:val="222222"/>
                <w:sz w:val="18"/>
              </w:rPr>
              <w:t>OBJ-01</w:t>
            </w:r>
          </w:p>
        </w:tc>
        <w:tc>
          <w:tcPr>
            <w:tcW w:type="dxa" w:w="4900"/>
            <w:tcMar>
              <w:top w:w="100" w:type="dxa"/>
              <w:start w:w="120" w:type="dxa"/>
              <w:bottom w:w="100" w:type="dxa"/>
              <w:end w:w="120" w:type="dxa"/>
            </w:tcMar>
            <w:vAlign w:val="center"/>
          </w:tcPr>
          <w:p>
            <w:r>
              <w:rPr>
                <w:rFonts w:ascii="Calibri" w:hAnsi="Calibri"/>
                <w:b w:val="0"/>
                <w:i w:val="0"/>
                <w:color w:val="222222"/>
                <w:sz w:val="18"/>
              </w:rPr>
              <w:t>Create a monthly mobility twin by license class</w:t>
            </w:r>
          </w:p>
        </w:tc>
        <w:tc>
          <w:tcPr>
            <w:tcW w:type="dxa" w:w="3360"/>
            <w:tcMar>
              <w:top w:w="100" w:type="dxa"/>
              <w:start w:w="120" w:type="dxa"/>
              <w:bottom w:w="100" w:type="dxa"/>
              <w:end w:w="120" w:type="dxa"/>
            </w:tcMar>
            <w:vAlign w:val="center"/>
          </w:tcPr>
          <w:p>
            <w:r>
              <w:rPr>
                <w:rFonts w:ascii="Calibri" w:hAnsi="Calibri"/>
                <w:b w:val="0"/>
                <w:i w:val="0"/>
                <w:color w:val="222222"/>
                <w:sz w:val="18"/>
              </w:rPr>
              <w:t>State and scenario outputs produced</w:t>
            </w:r>
          </w:p>
        </w:tc>
      </w:tr>
      <w:tr>
        <w:tc>
          <w:tcPr>
            <w:tcW w:type="dxa" w:w="1100"/>
            <w:shd w:fill="F2F4F7"/>
            <w:tcMar>
              <w:top w:w="100" w:type="dxa"/>
              <w:start w:w="120" w:type="dxa"/>
              <w:bottom w:w="100" w:type="dxa"/>
              <w:end w:w="120" w:type="dxa"/>
            </w:tcMar>
            <w:vAlign w:val="center"/>
          </w:tcPr>
          <w:p>
            <w:r>
              <w:rPr>
                <w:rFonts w:ascii="Calibri" w:hAnsi="Calibri"/>
                <w:b w:val="0"/>
                <w:i w:val="0"/>
                <w:color w:val="222222"/>
                <w:sz w:val="18"/>
              </w:rPr>
              <w:t>OBJ-02</w:t>
            </w:r>
          </w:p>
        </w:tc>
        <w:tc>
          <w:tcPr>
            <w:tcW w:type="dxa" w:w="4900"/>
            <w:shd w:fill="F2F4F7"/>
            <w:tcMar>
              <w:top w:w="100" w:type="dxa"/>
              <w:start w:w="120" w:type="dxa"/>
              <w:bottom w:w="100" w:type="dxa"/>
              <w:end w:w="120" w:type="dxa"/>
            </w:tcMar>
            <w:vAlign w:val="center"/>
          </w:tcPr>
          <w:p>
            <w:r>
              <w:rPr>
                <w:rFonts w:ascii="Calibri" w:hAnsi="Calibri"/>
                <w:b w:val="0"/>
                <w:i w:val="0"/>
                <w:color w:val="222222"/>
                <w:sz w:val="18"/>
              </w:rPr>
              <w:t>Reduce capacity shortfall</w:t>
            </w:r>
          </w:p>
        </w:tc>
        <w:tc>
          <w:tcPr>
            <w:tcW w:type="dxa" w:w="3360"/>
            <w:shd w:fill="F2F4F7"/>
            <w:tcMar>
              <w:top w:w="100" w:type="dxa"/>
              <w:start w:w="120" w:type="dxa"/>
              <w:bottom w:w="100" w:type="dxa"/>
              <w:end w:w="120" w:type="dxa"/>
            </w:tcMar>
            <w:vAlign w:val="center"/>
          </w:tcPr>
          <w:p>
            <w:r>
              <w:rPr>
                <w:rFonts w:ascii="Calibri" w:hAnsi="Calibri"/>
                <w:b w:val="0"/>
                <w:i w:val="0"/>
                <w:color w:val="222222"/>
                <w:sz w:val="18"/>
              </w:rPr>
              <w:t>Lower unmet trips and pressure</w:t>
            </w:r>
          </w:p>
        </w:tc>
      </w:tr>
      <w:tr>
        <w:tc>
          <w:tcPr>
            <w:tcW w:type="dxa" w:w="1100"/>
            <w:tcMar>
              <w:top w:w="100" w:type="dxa"/>
              <w:start w:w="120" w:type="dxa"/>
              <w:bottom w:w="100" w:type="dxa"/>
              <w:end w:w="120" w:type="dxa"/>
            </w:tcMar>
            <w:vAlign w:val="center"/>
          </w:tcPr>
          <w:p>
            <w:r>
              <w:rPr>
                <w:rFonts w:ascii="Calibri" w:hAnsi="Calibri"/>
                <w:b w:val="0"/>
                <w:i w:val="0"/>
                <w:color w:val="222222"/>
                <w:sz w:val="18"/>
              </w:rPr>
              <w:t>OBJ-03</w:t>
            </w:r>
          </w:p>
        </w:tc>
        <w:tc>
          <w:tcPr>
            <w:tcW w:type="dxa" w:w="4900"/>
            <w:tcMar>
              <w:top w:w="100" w:type="dxa"/>
              <w:start w:w="120" w:type="dxa"/>
              <w:bottom w:w="100" w:type="dxa"/>
              <w:end w:w="120" w:type="dxa"/>
            </w:tcMar>
            <w:vAlign w:val="center"/>
          </w:tcPr>
          <w:p>
            <w:r>
              <w:rPr>
                <w:rFonts w:ascii="Calibri" w:hAnsi="Calibri"/>
                <w:b w:val="0"/>
                <w:i w:val="0"/>
                <w:color w:val="222222"/>
                <w:sz w:val="18"/>
              </w:rPr>
              <w:t>Improve service and journey time</w:t>
            </w:r>
          </w:p>
        </w:tc>
        <w:tc>
          <w:tcPr>
            <w:tcW w:type="dxa" w:w="3360"/>
            <w:tcMar>
              <w:top w:w="100" w:type="dxa"/>
              <w:start w:w="120" w:type="dxa"/>
              <w:bottom w:w="100" w:type="dxa"/>
              <w:end w:w="120" w:type="dxa"/>
            </w:tcMar>
            <w:vAlign w:val="center"/>
          </w:tcPr>
          <w:p>
            <w:r>
              <w:rPr>
                <w:rFonts w:ascii="Calibri" w:hAnsi="Calibri"/>
                <w:b w:val="0"/>
                <w:i w:val="0"/>
                <w:color w:val="222222"/>
                <w:sz w:val="18"/>
              </w:rPr>
              <w:t>Higher service rate; lower trip minutes</w:t>
            </w:r>
          </w:p>
        </w:tc>
      </w:tr>
      <w:tr>
        <w:tc>
          <w:tcPr>
            <w:tcW w:type="dxa" w:w="1100"/>
            <w:shd w:fill="F2F4F7"/>
            <w:tcMar>
              <w:top w:w="100" w:type="dxa"/>
              <w:start w:w="120" w:type="dxa"/>
              <w:bottom w:w="100" w:type="dxa"/>
              <w:end w:w="120" w:type="dxa"/>
            </w:tcMar>
            <w:vAlign w:val="center"/>
          </w:tcPr>
          <w:p>
            <w:r>
              <w:rPr>
                <w:rFonts w:ascii="Calibri" w:hAnsi="Calibri"/>
                <w:b w:val="0"/>
                <w:i w:val="0"/>
                <w:color w:val="222222"/>
                <w:sz w:val="18"/>
              </w:rPr>
              <w:t>OBJ-04</w:t>
            </w:r>
          </w:p>
        </w:tc>
        <w:tc>
          <w:tcPr>
            <w:tcW w:type="dxa" w:w="4900"/>
            <w:shd w:fill="F2F4F7"/>
            <w:tcMar>
              <w:top w:w="100" w:type="dxa"/>
              <w:start w:w="120" w:type="dxa"/>
              <w:bottom w:w="100" w:type="dxa"/>
              <w:end w:w="120" w:type="dxa"/>
            </w:tcMar>
            <w:vAlign w:val="center"/>
          </w:tcPr>
          <w:p>
            <w:r>
              <w:rPr>
                <w:rFonts w:ascii="Calibri" w:hAnsi="Calibri"/>
                <w:b w:val="0"/>
                <w:i w:val="0"/>
                <w:color w:val="222222"/>
                <w:sz w:val="18"/>
              </w:rPr>
              <w:t>Support sustainability</w:t>
            </w:r>
          </w:p>
        </w:tc>
        <w:tc>
          <w:tcPr>
            <w:tcW w:type="dxa" w:w="3360"/>
            <w:shd w:fill="F2F4F7"/>
            <w:tcMar>
              <w:top w:w="100" w:type="dxa"/>
              <w:start w:w="120" w:type="dxa"/>
              <w:bottom w:w="100" w:type="dxa"/>
              <w:end w:w="120" w:type="dxa"/>
            </w:tcMar>
            <w:vAlign w:val="center"/>
          </w:tcPr>
          <w:p>
            <w:r>
              <w:rPr>
                <w:rFonts w:ascii="Calibri" w:hAnsi="Calibri"/>
                <w:b w:val="0"/>
                <w:i w:val="0"/>
                <w:color w:val="222222"/>
                <w:sz w:val="18"/>
              </w:rPr>
              <w:t>More shared trips; lower approved emissions measure</w:t>
            </w:r>
          </w:p>
        </w:tc>
      </w:tr>
      <w:tr>
        <w:tc>
          <w:tcPr>
            <w:tcW w:type="dxa" w:w="1100"/>
            <w:tcMar>
              <w:top w:w="100" w:type="dxa"/>
              <w:start w:w="120" w:type="dxa"/>
              <w:bottom w:w="100" w:type="dxa"/>
              <w:end w:w="120" w:type="dxa"/>
            </w:tcMar>
            <w:vAlign w:val="center"/>
          </w:tcPr>
          <w:p>
            <w:r>
              <w:rPr>
                <w:rFonts w:ascii="Calibri" w:hAnsi="Calibri"/>
                <w:b w:val="0"/>
                <w:i w:val="0"/>
                <w:color w:val="222222"/>
                <w:sz w:val="18"/>
              </w:rPr>
              <w:t>OBJ-05</w:t>
            </w:r>
          </w:p>
        </w:tc>
        <w:tc>
          <w:tcPr>
            <w:tcW w:type="dxa" w:w="4900"/>
            <w:tcMar>
              <w:top w:w="100" w:type="dxa"/>
              <w:start w:w="120" w:type="dxa"/>
              <w:bottom w:w="100" w:type="dxa"/>
              <w:end w:w="120" w:type="dxa"/>
            </w:tcMar>
            <w:vAlign w:val="center"/>
          </w:tcPr>
          <w:p>
            <w:r>
              <w:rPr>
                <w:rFonts w:ascii="Calibri" w:hAnsi="Calibri"/>
                <w:b w:val="0"/>
                <w:i w:val="0"/>
                <w:color w:val="222222"/>
                <w:sz w:val="18"/>
              </w:rPr>
              <w:t>Operationalize insights in Power BI</w:t>
            </w:r>
          </w:p>
        </w:tc>
        <w:tc>
          <w:tcPr>
            <w:tcW w:type="dxa" w:w="3360"/>
            <w:tcMar>
              <w:top w:w="100" w:type="dxa"/>
              <w:start w:w="120" w:type="dxa"/>
              <w:bottom w:w="100" w:type="dxa"/>
              <w:end w:w="120" w:type="dxa"/>
            </w:tcMar>
            <w:vAlign w:val="center"/>
          </w:tcPr>
          <w:p>
            <w:r>
              <w:rPr>
                <w:rFonts w:ascii="Calibri" w:hAnsi="Calibri"/>
                <w:b w:val="0"/>
                <w:i w:val="0"/>
                <w:color w:val="222222"/>
                <w:sz w:val="18"/>
              </w:rPr>
              <w:t>Scenario and exception views available</w:t>
            </w:r>
          </w:p>
        </w:tc>
      </w:tr>
    </w:tbl>
    <w:p>
      <w:pPr>
        <w:pStyle w:val="Heading2"/>
      </w:pPr>
      <w:r>
        <w:t>In scope</w:t>
      </w:r>
    </w:p>
    <w:p>
      <w:pPr>
        <w:pStyle w:val="ListBullet"/>
      </w:pPr>
      <w:r>
        <w:t>Existing Python data engineering, Snowflake SQL, and Power BI solution.</w:t>
      </w:r>
    </w:p>
    <w:p>
      <w:pPr>
        <w:pStyle w:val="ListBullet"/>
      </w:pPr>
      <w:r>
        <w:t>Monthly scenario simulation by license class; five policy scenarios; 12-month horizon; uncertainty ranges.</w:t>
      </w:r>
    </w:p>
    <w:p>
      <w:pPr>
        <w:pStyle w:val="ListBullet"/>
      </w:pPr>
      <w:r>
        <w:t>Service, capacity, fleet, driver, journey-time, shared-trip, covered-fare, and emissions-proxy outcomes.</w:t>
      </w:r>
    </w:p>
    <w:p>
      <w:pPr>
        <w:pStyle w:val="ListBullet"/>
      </w:pPr>
      <w:r>
        <w:t>Governance, validation, Power BI outputs, pilot, and production roadmap.</w:t>
      </w:r>
    </w:p>
    <w:p>
      <w:pPr>
        <w:pStyle w:val="Heading2"/>
      </w:pPr>
      <w:r>
        <w:t>Out of scope</w:t>
      </w:r>
    </w:p>
    <w:p>
      <w:pPr>
        <w:pStyle w:val="ListBullet"/>
      </w:pPr>
      <w:r>
        <w:t>Autonomous dispatch or regulatory decisions.</w:t>
      </w:r>
    </w:p>
    <w:p>
      <w:pPr>
        <w:pStyle w:val="ListBullet"/>
      </w:pPr>
      <w:r>
        <w:t>Road-network traffic microsimulation, routing, or real-time vehicle control.</w:t>
      </w:r>
    </w:p>
    <w:p>
      <w:pPr>
        <w:pStyle w:val="ListBullet"/>
      </w:pPr>
      <w:r>
        <w:t>Total-market revenue where fare data is absent.</w:t>
      </w:r>
    </w:p>
    <w:p>
      <w:pPr>
        <w:pStyle w:val="ListBullet"/>
      </w:pPr>
      <w:r>
        <w:t>Certified greenhouse-gas accounting in the prototype.</w:t>
      </w:r>
    </w:p>
    <w:p>
      <w:pPr>
        <w:pStyle w:val="Heading1"/>
      </w:pPr>
      <w:r>
        <w:t>3. Stakeholders</w:t>
      </w:r>
    </w:p>
    <w:tbl>
      <w:tblPr>
        <w:tblStyle w:val="TableGrid"/>
        <w:tblW w:type="dxa" w:w="9360"/>
        <w:tblLayout w:type="fixed"/>
        <w:tblLook w:firstColumn="1" w:firstRow="1" w:lastColumn="0" w:lastRow="0" w:noHBand="0" w:noVBand="1" w:val="04A0"/>
        <w:tblInd w:w="120" w:type="dxa"/>
      </w:tblPr>
      <w:tblGrid>
        <w:gridCol w:w="3000"/>
        <w:gridCol w:w="6360"/>
      </w:tblGrid>
      <w:tr>
        <w:tc>
          <w:tcPr>
            <w:tcW w:type="dxa" w:w="3000"/>
            <w:shd w:fill="17324D"/>
            <w:tcMar>
              <w:top w:w="100" w:type="dxa"/>
              <w:start w:w="120" w:type="dxa"/>
              <w:bottom w:w="100" w:type="dxa"/>
              <w:end w:w="120" w:type="dxa"/>
            </w:tcMar>
            <w:vAlign w:val="center"/>
          </w:tcPr>
          <w:p>
            <w:r>
              <w:rPr>
                <w:rFonts w:ascii="Calibri" w:hAnsi="Calibri"/>
                <w:b/>
                <w:i w:val="0"/>
                <w:color w:val="FFFFFF"/>
                <w:sz w:val="18"/>
              </w:rPr>
              <w:t>Stakeholder</w:t>
            </w:r>
          </w:p>
        </w:tc>
        <w:tc>
          <w:tcPr>
            <w:tcW w:type="dxa" w:w="6360"/>
            <w:shd w:fill="17324D"/>
            <w:tcMar>
              <w:top w:w="100" w:type="dxa"/>
              <w:start w:w="120" w:type="dxa"/>
              <w:bottom w:w="100" w:type="dxa"/>
              <w:end w:w="120" w:type="dxa"/>
            </w:tcMar>
            <w:vAlign w:val="center"/>
          </w:tcPr>
          <w:p>
            <w:r>
              <w:rPr>
                <w:rFonts w:ascii="Calibri" w:hAnsi="Calibri"/>
                <w:b/>
                <w:i w:val="0"/>
                <w:color w:val="FFFFFF"/>
                <w:sz w:val="18"/>
              </w:rPr>
              <w:t>Accountability</w:t>
            </w:r>
          </w:p>
        </w:tc>
      </w:tr>
      <w:tr>
        <w:tc>
          <w:tcPr>
            <w:tcW w:type="dxa" w:w="3000"/>
            <w:tcMar>
              <w:top w:w="100" w:type="dxa"/>
              <w:start w:w="120" w:type="dxa"/>
              <w:bottom w:w="100" w:type="dxa"/>
              <w:end w:w="120" w:type="dxa"/>
            </w:tcMar>
            <w:vAlign w:val="center"/>
          </w:tcPr>
          <w:p>
            <w:r>
              <w:rPr>
                <w:rFonts w:ascii="Calibri" w:hAnsi="Calibri"/>
                <w:b w:val="0"/>
                <w:i w:val="0"/>
                <w:color w:val="222222"/>
                <w:sz w:val="18"/>
              </w:rPr>
              <w:t>Executive/City Mobility Sponsor</w:t>
            </w:r>
          </w:p>
        </w:tc>
        <w:tc>
          <w:tcPr>
            <w:tcW w:type="dxa" w:w="6360"/>
            <w:tcMar>
              <w:top w:w="100" w:type="dxa"/>
              <w:start w:w="120" w:type="dxa"/>
              <w:bottom w:w="100" w:type="dxa"/>
              <w:end w:w="120" w:type="dxa"/>
            </w:tcMar>
            <w:vAlign w:val="center"/>
          </w:tcPr>
          <w:p>
            <w:r>
              <w:rPr>
                <w:rFonts w:ascii="Calibri" w:hAnsi="Calibri"/>
                <w:b w:val="0"/>
                <w:i w:val="0"/>
                <w:color w:val="222222"/>
                <w:sz w:val="18"/>
              </w:rPr>
              <w:t>Outcomes, funding, policy approval</w:t>
            </w:r>
          </w:p>
        </w:tc>
      </w:tr>
      <w:tr>
        <w:tc>
          <w:tcPr>
            <w:tcW w:type="dxa" w:w="3000"/>
            <w:shd w:fill="F2F4F7"/>
            <w:tcMar>
              <w:top w:w="100" w:type="dxa"/>
              <w:start w:w="120" w:type="dxa"/>
              <w:bottom w:w="100" w:type="dxa"/>
              <w:end w:w="120" w:type="dxa"/>
            </w:tcMar>
            <w:vAlign w:val="center"/>
          </w:tcPr>
          <w:p>
            <w:r>
              <w:rPr>
                <w:rFonts w:ascii="Calibri" w:hAnsi="Calibri"/>
                <w:b w:val="0"/>
                <w:i w:val="0"/>
                <w:color w:val="222222"/>
                <w:sz w:val="18"/>
              </w:rPr>
              <w:t>Mobility Operations</w:t>
            </w:r>
          </w:p>
        </w:tc>
        <w:tc>
          <w:tcPr>
            <w:tcW w:type="dxa" w:w="6360"/>
            <w:shd w:fill="F2F4F7"/>
            <w:tcMar>
              <w:top w:w="100" w:type="dxa"/>
              <w:start w:w="120" w:type="dxa"/>
              <w:bottom w:w="100" w:type="dxa"/>
              <w:end w:w="120" w:type="dxa"/>
            </w:tcMar>
            <w:vAlign w:val="center"/>
          </w:tcPr>
          <w:p>
            <w:r>
              <w:rPr>
                <w:rFonts w:ascii="Calibri" w:hAnsi="Calibri"/>
                <w:b w:val="0"/>
                <w:i w:val="0"/>
                <w:color w:val="222222"/>
                <w:sz w:val="18"/>
              </w:rPr>
              <w:t>Fleet, driver, and service policy</w:t>
            </w:r>
          </w:p>
        </w:tc>
      </w:tr>
      <w:tr>
        <w:tc>
          <w:tcPr>
            <w:tcW w:type="dxa" w:w="3000"/>
            <w:tcMar>
              <w:top w:w="100" w:type="dxa"/>
              <w:start w:w="120" w:type="dxa"/>
              <w:bottom w:w="100" w:type="dxa"/>
              <w:end w:w="120" w:type="dxa"/>
            </w:tcMar>
            <w:vAlign w:val="center"/>
          </w:tcPr>
          <w:p>
            <w:r>
              <w:rPr>
                <w:rFonts w:ascii="Calibri" w:hAnsi="Calibri"/>
                <w:b w:val="0"/>
                <w:i w:val="0"/>
                <w:color w:val="222222"/>
                <w:sz w:val="18"/>
              </w:rPr>
              <w:t>Data Engineering</w:t>
            </w:r>
          </w:p>
        </w:tc>
        <w:tc>
          <w:tcPr>
            <w:tcW w:type="dxa" w:w="6360"/>
            <w:tcMar>
              <w:top w:w="100" w:type="dxa"/>
              <w:start w:w="120" w:type="dxa"/>
              <w:bottom w:w="100" w:type="dxa"/>
              <w:end w:w="120" w:type="dxa"/>
            </w:tcMar>
            <w:vAlign w:val="center"/>
          </w:tcPr>
          <w:p>
            <w:r>
              <w:rPr>
                <w:rFonts w:ascii="Calibri" w:hAnsi="Calibri"/>
                <w:b w:val="0"/>
                <w:i w:val="0"/>
                <w:color w:val="222222"/>
                <w:sz w:val="18"/>
              </w:rPr>
              <w:t>Pipeline, Snowflake, validation, scheduling</w:t>
            </w:r>
          </w:p>
        </w:tc>
      </w:tr>
      <w:tr>
        <w:tc>
          <w:tcPr>
            <w:tcW w:type="dxa" w:w="3000"/>
            <w:shd w:fill="F2F4F7"/>
            <w:tcMar>
              <w:top w:w="100" w:type="dxa"/>
              <w:start w:w="120" w:type="dxa"/>
              <w:bottom w:w="100" w:type="dxa"/>
              <w:end w:w="120" w:type="dxa"/>
            </w:tcMar>
            <w:vAlign w:val="center"/>
          </w:tcPr>
          <w:p>
            <w:r>
              <w:rPr>
                <w:rFonts w:ascii="Calibri" w:hAnsi="Calibri"/>
                <w:b w:val="0"/>
                <w:i w:val="0"/>
                <w:color w:val="222222"/>
                <w:sz w:val="18"/>
              </w:rPr>
              <w:t>BI/Analytics</w:t>
            </w:r>
          </w:p>
        </w:tc>
        <w:tc>
          <w:tcPr>
            <w:tcW w:type="dxa" w:w="6360"/>
            <w:shd w:fill="F2F4F7"/>
            <w:tcMar>
              <w:top w:w="100" w:type="dxa"/>
              <w:start w:w="120" w:type="dxa"/>
              <w:bottom w:w="100" w:type="dxa"/>
              <w:end w:w="120" w:type="dxa"/>
            </w:tcMar>
            <w:vAlign w:val="center"/>
          </w:tcPr>
          <w:p>
            <w:r>
              <w:rPr>
                <w:rFonts w:ascii="Calibri" w:hAnsi="Calibri"/>
                <w:b w:val="0"/>
                <w:i w:val="0"/>
                <w:color w:val="222222"/>
                <w:sz w:val="18"/>
              </w:rPr>
              <w:t>KPIs, Power BI, scenario communication</w:t>
            </w:r>
          </w:p>
        </w:tc>
      </w:tr>
      <w:tr>
        <w:tc>
          <w:tcPr>
            <w:tcW w:type="dxa" w:w="3000"/>
            <w:tcMar>
              <w:top w:w="100" w:type="dxa"/>
              <w:start w:w="120" w:type="dxa"/>
              <w:bottom w:w="100" w:type="dxa"/>
              <w:end w:w="120" w:type="dxa"/>
            </w:tcMar>
            <w:vAlign w:val="center"/>
          </w:tcPr>
          <w:p>
            <w:r>
              <w:rPr>
                <w:rFonts w:ascii="Calibri" w:hAnsi="Calibri"/>
                <w:b w:val="0"/>
                <w:i w:val="0"/>
                <w:color w:val="222222"/>
                <w:sz w:val="18"/>
              </w:rPr>
              <w:t>Finance</w:t>
            </w:r>
          </w:p>
        </w:tc>
        <w:tc>
          <w:tcPr>
            <w:tcW w:type="dxa" w:w="6360"/>
            <w:tcMar>
              <w:top w:w="100" w:type="dxa"/>
              <w:start w:w="120" w:type="dxa"/>
              <w:bottom w:w="100" w:type="dxa"/>
              <w:end w:w="120" w:type="dxa"/>
            </w:tcMar>
            <w:vAlign w:val="center"/>
          </w:tcPr>
          <w:p>
            <w:r>
              <w:rPr>
                <w:rFonts w:ascii="Calibri" w:hAnsi="Calibri"/>
                <w:b w:val="0"/>
                <w:i w:val="0"/>
                <w:color w:val="222222"/>
                <w:sz w:val="18"/>
              </w:rPr>
              <w:t>Fare coverage and financial definitions</w:t>
            </w:r>
          </w:p>
        </w:tc>
      </w:tr>
      <w:tr>
        <w:tc>
          <w:tcPr>
            <w:tcW w:type="dxa" w:w="3000"/>
            <w:shd w:fill="F2F4F7"/>
            <w:tcMar>
              <w:top w:w="100" w:type="dxa"/>
              <w:start w:w="120" w:type="dxa"/>
              <w:bottom w:w="100" w:type="dxa"/>
              <w:end w:w="120" w:type="dxa"/>
            </w:tcMar>
            <w:vAlign w:val="center"/>
          </w:tcPr>
          <w:p>
            <w:r>
              <w:rPr>
                <w:rFonts w:ascii="Calibri" w:hAnsi="Calibri"/>
                <w:b w:val="0"/>
                <w:i w:val="0"/>
                <w:color w:val="222222"/>
                <w:sz w:val="18"/>
              </w:rPr>
              <w:t>Sustainability</w:t>
            </w:r>
          </w:p>
        </w:tc>
        <w:tc>
          <w:tcPr>
            <w:tcW w:type="dxa" w:w="6360"/>
            <w:shd w:fill="F2F4F7"/>
            <w:tcMar>
              <w:top w:w="100" w:type="dxa"/>
              <w:start w:w="120" w:type="dxa"/>
              <w:bottom w:w="100" w:type="dxa"/>
              <w:end w:w="120" w:type="dxa"/>
            </w:tcMar>
            <w:vAlign w:val="center"/>
          </w:tcPr>
          <w:p>
            <w:r>
              <w:rPr>
                <w:rFonts w:ascii="Calibri" w:hAnsi="Calibri"/>
                <w:b w:val="0"/>
                <w:i w:val="0"/>
                <w:color w:val="222222"/>
                <w:sz w:val="18"/>
              </w:rPr>
              <w:t>Approved emissions methodology</w:t>
            </w:r>
          </w:p>
        </w:tc>
      </w:tr>
      <w:tr>
        <w:tc>
          <w:tcPr>
            <w:tcW w:type="dxa" w:w="3000"/>
            <w:tcMar>
              <w:top w:w="100" w:type="dxa"/>
              <w:start w:w="120" w:type="dxa"/>
              <w:bottom w:w="100" w:type="dxa"/>
              <w:end w:w="120" w:type="dxa"/>
            </w:tcMar>
            <w:vAlign w:val="center"/>
          </w:tcPr>
          <w:p>
            <w:r>
              <w:rPr>
                <w:rFonts w:ascii="Calibri" w:hAnsi="Calibri"/>
                <w:b w:val="0"/>
                <w:i w:val="0"/>
                <w:color w:val="222222"/>
                <w:sz w:val="18"/>
              </w:rPr>
              <w:t>Risk/Compliance</w:t>
            </w:r>
          </w:p>
        </w:tc>
        <w:tc>
          <w:tcPr>
            <w:tcW w:type="dxa" w:w="6360"/>
            <w:tcMar>
              <w:top w:w="100" w:type="dxa"/>
              <w:start w:w="120" w:type="dxa"/>
              <w:bottom w:w="100" w:type="dxa"/>
              <w:end w:w="120" w:type="dxa"/>
            </w:tcMar>
            <w:vAlign w:val="center"/>
          </w:tcPr>
          <w:p>
            <w:r>
              <w:rPr>
                <w:rFonts w:ascii="Calibri" w:hAnsi="Calibri"/>
                <w:b w:val="0"/>
                <w:i w:val="0"/>
                <w:color w:val="222222"/>
                <w:sz w:val="18"/>
              </w:rPr>
              <w:t>Governance, privacy, audit, human control</w:t>
            </w:r>
          </w:p>
        </w:tc>
      </w:tr>
    </w:tbl>
    <w:p>
      <w:pPr>
        <w:pStyle w:val="Heading1"/>
      </w:pPr>
      <w:r>
        <w:t>4. Business requirements</w:t>
      </w:r>
    </w:p>
    <w:p>
      <w:pPr>
        <w:pStyle w:val="RequirementID"/>
      </w:pPr>
      <w:r>
        <w:t>MBR-001 — Unified mobility view</w:t>
      </w:r>
    </w:p>
    <w:p>
      <w:r>
        <w:rPr>
          <w:rFonts w:ascii="Calibri" w:hAnsi="Calibri"/>
          <w:b/>
          <w:i w:val="0"/>
          <w:color w:val="17324D"/>
          <w:sz w:val="21"/>
        </w:rPr>
        <w:t xml:space="preserve">Requirement: </w:t>
      </w:r>
      <w:r>
        <w:rPr>
          <w:rFonts w:ascii="Calibri" w:hAnsi="Calibri"/>
          <w:b w:val="0"/>
          <w:i w:val="0"/>
          <w:color w:val="222222"/>
          <w:sz w:val="21"/>
        </w:rPr>
        <w:t>The solution shall combine historical KPIs and forward-looking scenario outcomes.</w:t>
      </w:r>
    </w:p>
    <w:p>
      <w:pPr>
        <w:spacing w:after="100"/>
      </w:pPr>
      <w:r>
        <w:rPr>
          <w:rFonts w:ascii="Calibri" w:hAnsi="Calibri"/>
          <w:b w:val="0"/>
          <w:i/>
          <w:color w:val="59636E"/>
          <w:sz w:val="18"/>
        </w:rPr>
        <w:t>Priority: Must  |  Owner: Sponsor</w:t>
      </w:r>
    </w:p>
    <w:p>
      <w:pPr>
        <w:pStyle w:val="RequirementID"/>
      </w:pPr>
      <w:r>
        <w:t>MBR-002 — Scenario planning</w:t>
      </w:r>
    </w:p>
    <w:p>
      <w:r>
        <w:rPr>
          <w:rFonts w:ascii="Calibri" w:hAnsi="Calibri"/>
          <w:b/>
          <w:i w:val="0"/>
          <w:color w:val="17324D"/>
          <w:sz w:val="21"/>
        </w:rPr>
        <w:t xml:space="preserve">Requirement: </w:t>
      </w:r>
      <w:r>
        <w:rPr>
          <w:rFonts w:ascii="Calibri" w:hAnsi="Calibri"/>
          <w:b w:val="0"/>
          <w:i w:val="0"/>
          <w:color w:val="222222"/>
          <w:sz w:val="21"/>
        </w:rPr>
        <w:t>Users shall compare baseline, balanced, service, sustainability, and disruption policies.</w:t>
      </w:r>
    </w:p>
    <w:p>
      <w:pPr>
        <w:spacing w:after="100"/>
      </w:pPr>
      <w:r>
        <w:rPr>
          <w:rFonts w:ascii="Calibri" w:hAnsi="Calibri"/>
          <w:b w:val="0"/>
          <w:i/>
          <w:color w:val="59636E"/>
          <w:sz w:val="18"/>
        </w:rPr>
        <w:t>Priority: Must  |  Owner: Operations</w:t>
      </w:r>
    </w:p>
    <w:p>
      <w:pPr>
        <w:pStyle w:val="RequirementID"/>
      </w:pPr>
      <w:r>
        <w:t>MBR-003 — Capacity management</w:t>
      </w:r>
    </w:p>
    <w:p>
      <w:r>
        <w:rPr>
          <w:rFonts w:ascii="Calibri" w:hAnsi="Calibri"/>
          <w:b/>
          <w:i w:val="0"/>
          <w:color w:val="17324D"/>
          <w:sz w:val="21"/>
        </w:rPr>
        <w:t xml:space="preserve">Requirement: </w:t>
      </w:r>
      <w:r>
        <w:rPr>
          <w:rFonts w:ascii="Calibri" w:hAnsi="Calibri"/>
          <w:b w:val="0"/>
          <w:i w:val="0"/>
          <w:color w:val="222222"/>
          <w:sz w:val="21"/>
        </w:rPr>
        <w:t>The solution shall quantify served and unmet demand, capacity pressure, vehicles, and drivers.</w:t>
      </w:r>
    </w:p>
    <w:p>
      <w:pPr>
        <w:spacing w:after="100"/>
      </w:pPr>
      <w:r>
        <w:rPr>
          <w:rFonts w:ascii="Calibri" w:hAnsi="Calibri"/>
          <w:b w:val="0"/>
          <w:i/>
          <w:color w:val="59636E"/>
          <w:sz w:val="18"/>
        </w:rPr>
        <w:t>Priority: Must  |  Owner: Operations</w:t>
      </w:r>
    </w:p>
    <w:p>
      <w:pPr>
        <w:pStyle w:val="RequirementID"/>
      </w:pPr>
      <w:r>
        <w:t>MBR-004 — Service improvement</w:t>
      </w:r>
    </w:p>
    <w:p>
      <w:r>
        <w:rPr>
          <w:rFonts w:ascii="Calibri" w:hAnsi="Calibri"/>
          <w:b/>
          <w:i w:val="0"/>
          <w:color w:val="17324D"/>
          <w:sz w:val="21"/>
        </w:rPr>
        <w:t xml:space="preserve">Requirement: </w:t>
      </w:r>
      <w:r>
        <w:rPr>
          <w:rFonts w:ascii="Calibri" w:hAnsi="Calibri"/>
          <w:b w:val="0"/>
          <w:i w:val="0"/>
          <w:color w:val="222222"/>
          <w:sz w:val="21"/>
        </w:rPr>
        <w:t>The solution shall measure service rate and trip-duration effects.</w:t>
      </w:r>
    </w:p>
    <w:p>
      <w:pPr>
        <w:spacing w:after="100"/>
      </w:pPr>
      <w:r>
        <w:rPr>
          <w:rFonts w:ascii="Calibri" w:hAnsi="Calibri"/>
          <w:b w:val="0"/>
          <w:i/>
          <w:color w:val="59636E"/>
          <w:sz w:val="18"/>
        </w:rPr>
        <w:t>Priority: Must  |  Owner: Operations</w:t>
      </w:r>
    </w:p>
    <w:p>
      <w:pPr>
        <w:pStyle w:val="RequirementID"/>
      </w:pPr>
      <w:r>
        <w:t>MBR-005 — Sustainability</w:t>
      </w:r>
    </w:p>
    <w:p>
      <w:r>
        <w:rPr>
          <w:rFonts w:ascii="Calibri" w:hAnsi="Calibri"/>
          <w:b/>
          <w:i w:val="0"/>
          <w:color w:val="17324D"/>
          <w:sz w:val="21"/>
        </w:rPr>
        <w:t xml:space="preserve">Requirement: </w:t>
      </w:r>
      <w:r>
        <w:rPr>
          <w:rFonts w:ascii="Calibri" w:hAnsi="Calibri"/>
          <w:b w:val="0"/>
          <w:i w:val="0"/>
          <w:color w:val="222222"/>
          <w:sz w:val="21"/>
        </w:rPr>
        <w:t>The solution shall compare shared mobility and an approved emissions measure.</w:t>
      </w:r>
    </w:p>
    <w:p>
      <w:pPr>
        <w:spacing w:after="100"/>
      </w:pPr>
      <w:r>
        <w:rPr>
          <w:rFonts w:ascii="Calibri" w:hAnsi="Calibri"/>
          <w:b w:val="0"/>
          <w:i/>
          <w:color w:val="59636E"/>
          <w:sz w:val="18"/>
        </w:rPr>
        <w:t>Priority: Must  |  Owner: Sustainability</w:t>
      </w:r>
    </w:p>
    <w:p>
      <w:pPr>
        <w:pStyle w:val="RequirementID"/>
      </w:pPr>
      <w:r>
        <w:t>MBR-006 — Financial integrity</w:t>
      </w:r>
    </w:p>
    <w:p>
      <w:r>
        <w:rPr>
          <w:rFonts w:ascii="Calibri" w:hAnsi="Calibri"/>
          <w:b/>
          <w:i w:val="0"/>
          <w:color w:val="17324D"/>
          <w:sz w:val="21"/>
        </w:rPr>
        <w:t xml:space="preserve">Requirement: </w:t>
      </w:r>
      <w:r>
        <w:rPr>
          <w:rFonts w:ascii="Calibri" w:hAnsi="Calibri"/>
          <w:b w:val="0"/>
          <w:i w:val="0"/>
          <w:color w:val="222222"/>
          <w:sz w:val="21"/>
        </w:rPr>
        <w:t>Fare outputs shall identify their limited coverage and shall not be presented as total market revenue.</w:t>
      </w:r>
    </w:p>
    <w:p>
      <w:pPr>
        <w:spacing w:after="100"/>
      </w:pPr>
      <w:r>
        <w:rPr>
          <w:rFonts w:ascii="Calibri" w:hAnsi="Calibri"/>
          <w:b w:val="0"/>
          <w:i/>
          <w:color w:val="59636E"/>
          <w:sz w:val="18"/>
        </w:rPr>
        <w:t>Priority: Must  |  Owner: Finance</w:t>
      </w:r>
    </w:p>
    <w:p>
      <w:pPr>
        <w:pStyle w:val="RequirementID"/>
      </w:pPr>
      <w:r>
        <w:t>MBR-007 — Power BI integration</w:t>
      </w:r>
    </w:p>
    <w:p>
      <w:r>
        <w:rPr>
          <w:rFonts w:ascii="Calibri" w:hAnsi="Calibri"/>
          <w:b/>
          <w:i w:val="0"/>
          <w:color w:val="17324D"/>
          <w:sz w:val="21"/>
        </w:rPr>
        <w:t xml:space="preserve">Requirement: </w:t>
      </w:r>
      <w:r>
        <w:rPr>
          <w:rFonts w:ascii="Calibri" w:hAnsi="Calibri"/>
          <w:b w:val="0"/>
          <w:i w:val="0"/>
          <w:color w:val="222222"/>
          <w:sz w:val="21"/>
        </w:rPr>
        <w:t>Scenario outputs shall be consumable in governed Power BI pages.</w:t>
      </w:r>
    </w:p>
    <w:p>
      <w:pPr>
        <w:spacing w:after="100"/>
      </w:pPr>
      <w:r>
        <w:rPr>
          <w:rFonts w:ascii="Calibri" w:hAnsi="Calibri"/>
          <w:b w:val="0"/>
          <w:i/>
          <w:color w:val="59636E"/>
          <w:sz w:val="18"/>
        </w:rPr>
        <w:t>Priority: Must  |  Owner: BI Owner</w:t>
      </w:r>
    </w:p>
    <w:p>
      <w:pPr>
        <w:pStyle w:val="RequirementID"/>
      </w:pPr>
      <w:r>
        <w:t>MBR-008 — Auditability</w:t>
      </w:r>
    </w:p>
    <w:p>
      <w:r>
        <w:rPr>
          <w:rFonts w:ascii="Calibri" w:hAnsi="Calibri"/>
          <w:b/>
          <w:i w:val="0"/>
          <w:color w:val="17324D"/>
          <w:sz w:val="21"/>
        </w:rPr>
        <w:t xml:space="preserve">Requirement: </w:t>
      </w:r>
      <w:r>
        <w:rPr>
          <w:rFonts w:ascii="Calibri" w:hAnsi="Calibri"/>
          <w:b w:val="0"/>
          <w:i w:val="0"/>
          <w:color w:val="222222"/>
          <w:sz w:val="21"/>
        </w:rPr>
        <w:t>Each run shall retain input period, parameters, run count, seed, code version, and status.</w:t>
      </w:r>
    </w:p>
    <w:p>
      <w:pPr>
        <w:spacing w:after="100"/>
      </w:pPr>
      <w:r>
        <w:rPr>
          <w:rFonts w:ascii="Calibri" w:hAnsi="Calibri"/>
          <w:b w:val="0"/>
          <w:i/>
          <w:color w:val="59636E"/>
          <w:sz w:val="18"/>
        </w:rPr>
        <w:t>Priority: Must  |  Owner: Risk</w:t>
      </w:r>
    </w:p>
    <w:p>
      <w:pPr>
        <w:pStyle w:val="RequirementID"/>
      </w:pPr>
      <w:r>
        <w:t>MBR-009 — Human control</w:t>
      </w:r>
    </w:p>
    <w:p>
      <w:r>
        <w:rPr>
          <w:rFonts w:ascii="Calibri" w:hAnsi="Calibri"/>
          <w:b/>
          <w:i w:val="0"/>
          <w:color w:val="17324D"/>
          <w:sz w:val="21"/>
        </w:rPr>
        <w:t xml:space="preserve">Requirement: </w:t>
      </w:r>
      <w:r>
        <w:rPr>
          <w:rFonts w:ascii="Calibri" w:hAnsi="Calibri"/>
          <w:b w:val="0"/>
          <w:i w:val="0"/>
          <w:color w:val="222222"/>
          <w:sz w:val="21"/>
        </w:rPr>
        <w:t>The prototype shall not autonomously dispatch vehicles or change policy.</w:t>
      </w:r>
    </w:p>
    <w:p>
      <w:pPr>
        <w:spacing w:after="100"/>
      </w:pPr>
      <w:r>
        <w:rPr>
          <w:rFonts w:ascii="Calibri" w:hAnsi="Calibri"/>
          <w:b w:val="0"/>
          <w:i/>
          <w:color w:val="59636E"/>
          <w:sz w:val="18"/>
        </w:rPr>
        <w:t>Priority: Must  |  Owner: Risk</w:t>
      </w:r>
    </w:p>
    <w:p>
      <w:pPr>
        <w:pStyle w:val="RequirementID"/>
      </w:pPr>
      <w:r>
        <w:t>MBR-010 — Production evolution</w:t>
      </w:r>
    </w:p>
    <w:p>
      <w:r>
        <w:rPr>
          <w:rFonts w:ascii="Calibri" w:hAnsi="Calibri"/>
          <w:b/>
          <w:i w:val="0"/>
          <w:color w:val="17324D"/>
          <w:sz w:val="21"/>
        </w:rPr>
        <w:t xml:space="preserve">Requirement: </w:t>
      </w:r>
      <w:r>
        <w:rPr>
          <w:rFonts w:ascii="Calibri" w:hAnsi="Calibri"/>
          <w:b w:val="0"/>
          <w:i w:val="0"/>
          <w:color w:val="222222"/>
          <w:sz w:val="21"/>
        </w:rPr>
        <w:t>The design shall support future event-level, geographic, weather, incident, cost, and emissions data.</w:t>
      </w:r>
    </w:p>
    <w:p>
      <w:pPr>
        <w:spacing w:after="100"/>
      </w:pPr>
      <w:r>
        <w:rPr>
          <w:rFonts w:ascii="Calibri" w:hAnsi="Calibri"/>
          <w:b w:val="0"/>
          <w:i/>
          <w:color w:val="59636E"/>
          <w:sz w:val="18"/>
        </w:rPr>
        <w:t>Priority: Should  |  Owner: Technology</w:t>
      </w:r>
    </w:p>
    <w:p>
      <w:pPr>
        <w:pStyle w:val="Heading1"/>
      </w:pPr>
      <w:r>
        <w:t>5. KPIs and acceptance</w:t>
      </w:r>
    </w:p>
    <w:tbl>
      <w:tblPr>
        <w:tblStyle w:val="TableGrid"/>
        <w:tblW w:type="dxa" w:w="9360"/>
        <w:tblLayout w:type="fixed"/>
        <w:tblLook w:firstColumn="1" w:firstRow="1" w:lastColumn="0" w:lastRow="0" w:noHBand="0" w:noVBand="1" w:val="04A0"/>
        <w:tblInd w:w="120" w:type="dxa"/>
      </w:tblPr>
      <w:tblGrid>
        <w:gridCol w:w="3500"/>
        <w:gridCol w:w="5860"/>
      </w:tblGrid>
      <w:tr>
        <w:tc>
          <w:tcPr>
            <w:tcW w:type="dxa" w:w="3500"/>
            <w:shd w:fill="17324D"/>
            <w:tcMar>
              <w:top w:w="100" w:type="dxa"/>
              <w:start w:w="120" w:type="dxa"/>
              <w:bottom w:w="100" w:type="dxa"/>
              <w:end w:w="120" w:type="dxa"/>
            </w:tcMar>
            <w:vAlign w:val="center"/>
          </w:tcPr>
          <w:p>
            <w:r>
              <w:rPr>
                <w:rFonts w:ascii="Calibri" w:hAnsi="Calibri"/>
                <w:b/>
                <w:i w:val="0"/>
                <w:color w:val="FFFFFF"/>
                <w:sz w:val="18"/>
              </w:rPr>
              <w:t>KPI</w:t>
            </w:r>
          </w:p>
        </w:tc>
        <w:tc>
          <w:tcPr>
            <w:tcW w:type="dxa" w:w="5860"/>
            <w:shd w:fill="17324D"/>
            <w:tcMar>
              <w:top w:w="100" w:type="dxa"/>
              <w:start w:w="120" w:type="dxa"/>
              <w:bottom w:w="100" w:type="dxa"/>
              <w:end w:w="120" w:type="dxa"/>
            </w:tcMar>
            <w:vAlign w:val="center"/>
          </w:tcPr>
          <w:p>
            <w:r>
              <w:rPr>
                <w:rFonts w:ascii="Calibri" w:hAnsi="Calibri"/>
                <w:b/>
                <w:i w:val="0"/>
                <w:color w:val="FFFFFF"/>
                <w:sz w:val="18"/>
              </w:rPr>
              <w:t>Business use</w:t>
            </w:r>
          </w:p>
        </w:tc>
      </w:tr>
      <w:tr>
        <w:tc>
          <w:tcPr>
            <w:tcW w:type="dxa" w:w="3500"/>
            <w:tcMar>
              <w:top w:w="100" w:type="dxa"/>
              <w:start w:w="120" w:type="dxa"/>
              <w:bottom w:w="100" w:type="dxa"/>
              <w:end w:w="120" w:type="dxa"/>
            </w:tcMar>
            <w:vAlign w:val="center"/>
          </w:tcPr>
          <w:p>
            <w:r>
              <w:rPr>
                <w:rFonts w:ascii="Calibri" w:hAnsi="Calibri"/>
                <w:b w:val="0"/>
                <w:i w:val="0"/>
                <w:color w:val="222222"/>
                <w:sz w:val="18"/>
              </w:rPr>
              <w:t>Service rate</w:t>
            </w:r>
          </w:p>
        </w:tc>
        <w:tc>
          <w:tcPr>
            <w:tcW w:type="dxa" w:w="5860"/>
            <w:tcMar>
              <w:top w:w="100" w:type="dxa"/>
              <w:start w:w="120" w:type="dxa"/>
              <w:bottom w:w="100" w:type="dxa"/>
              <w:end w:w="120" w:type="dxa"/>
            </w:tcMar>
            <w:vAlign w:val="center"/>
          </w:tcPr>
          <w:p>
            <w:r>
              <w:rPr>
                <w:rFonts w:ascii="Calibri" w:hAnsi="Calibri"/>
                <w:b w:val="0"/>
                <w:i w:val="0"/>
                <w:color w:val="222222"/>
                <w:sz w:val="18"/>
              </w:rPr>
              <w:t>Share of modeled demand served</w:t>
            </w:r>
          </w:p>
        </w:tc>
      </w:tr>
      <w:tr>
        <w:tc>
          <w:tcPr>
            <w:tcW w:type="dxa" w:w="3500"/>
            <w:shd w:fill="F2F4F7"/>
            <w:tcMar>
              <w:top w:w="100" w:type="dxa"/>
              <w:start w:w="120" w:type="dxa"/>
              <w:bottom w:w="100" w:type="dxa"/>
              <w:end w:w="120" w:type="dxa"/>
            </w:tcMar>
            <w:vAlign w:val="center"/>
          </w:tcPr>
          <w:p>
            <w:r>
              <w:rPr>
                <w:rFonts w:ascii="Calibri" w:hAnsi="Calibri"/>
                <w:b w:val="0"/>
                <w:i w:val="0"/>
                <w:color w:val="222222"/>
                <w:sz w:val="18"/>
              </w:rPr>
              <w:t>Unmet trips/day</w:t>
            </w:r>
          </w:p>
        </w:tc>
        <w:tc>
          <w:tcPr>
            <w:tcW w:type="dxa" w:w="5860"/>
            <w:shd w:fill="F2F4F7"/>
            <w:tcMar>
              <w:top w:w="100" w:type="dxa"/>
              <w:start w:w="120" w:type="dxa"/>
              <w:bottom w:w="100" w:type="dxa"/>
              <w:end w:w="120" w:type="dxa"/>
            </w:tcMar>
            <w:vAlign w:val="center"/>
          </w:tcPr>
          <w:p>
            <w:r>
              <w:rPr>
                <w:rFonts w:ascii="Calibri" w:hAnsi="Calibri"/>
                <w:b w:val="0"/>
                <w:i w:val="0"/>
                <w:color w:val="222222"/>
                <w:sz w:val="18"/>
              </w:rPr>
              <w:t>Capacity shortfall</w:t>
            </w:r>
          </w:p>
        </w:tc>
      </w:tr>
      <w:tr>
        <w:tc>
          <w:tcPr>
            <w:tcW w:type="dxa" w:w="3500"/>
            <w:tcMar>
              <w:top w:w="100" w:type="dxa"/>
              <w:start w:w="120" w:type="dxa"/>
              <w:bottom w:w="100" w:type="dxa"/>
              <w:end w:w="120" w:type="dxa"/>
            </w:tcMar>
            <w:vAlign w:val="center"/>
          </w:tcPr>
          <w:p>
            <w:r>
              <w:rPr>
                <w:rFonts w:ascii="Calibri" w:hAnsi="Calibri"/>
                <w:b w:val="0"/>
                <w:i w:val="0"/>
                <w:color w:val="222222"/>
                <w:sz w:val="18"/>
              </w:rPr>
              <w:t>Capacity pressure</w:t>
            </w:r>
          </w:p>
        </w:tc>
        <w:tc>
          <w:tcPr>
            <w:tcW w:type="dxa" w:w="5860"/>
            <w:tcMar>
              <w:top w:w="100" w:type="dxa"/>
              <w:start w:w="120" w:type="dxa"/>
              <w:bottom w:w="100" w:type="dxa"/>
              <w:end w:w="120" w:type="dxa"/>
            </w:tcMar>
            <w:vAlign w:val="center"/>
          </w:tcPr>
          <w:p>
            <w:r>
              <w:rPr>
                <w:rFonts w:ascii="Calibri" w:hAnsi="Calibri"/>
                <w:b w:val="0"/>
                <w:i w:val="0"/>
                <w:color w:val="222222"/>
                <w:sz w:val="18"/>
              </w:rPr>
              <w:t>Demand divided by modeled capacity</w:t>
            </w:r>
          </w:p>
        </w:tc>
      </w:tr>
      <w:tr>
        <w:tc>
          <w:tcPr>
            <w:tcW w:type="dxa" w:w="3500"/>
            <w:shd w:fill="F2F4F7"/>
            <w:tcMar>
              <w:top w:w="100" w:type="dxa"/>
              <w:start w:w="120" w:type="dxa"/>
              <w:bottom w:w="100" w:type="dxa"/>
              <w:end w:w="120" w:type="dxa"/>
            </w:tcMar>
            <w:vAlign w:val="center"/>
          </w:tcPr>
          <w:p>
            <w:r>
              <w:rPr>
                <w:rFonts w:ascii="Calibri" w:hAnsi="Calibri"/>
                <w:b w:val="0"/>
                <w:i w:val="0"/>
                <w:color w:val="222222"/>
                <w:sz w:val="18"/>
              </w:rPr>
              <w:t>Active vehicles and drivers</w:t>
            </w:r>
          </w:p>
        </w:tc>
        <w:tc>
          <w:tcPr>
            <w:tcW w:type="dxa" w:w="5860"/>
            <w:shd w:fill="F2F4F7"/>
            <w:tcMar>
              <w:top w:w="100" w:type="dxa"/>
              <w:start w:w="120" w:type="dxa"/>
              <w:bottom w:w="100" w:type="dxa"/>
              <w:end w:w="120" w:type="dxa"/>
            </w:tcMar>
            <w:vAlign w:val="center"/>
          </w:tcPr>
          <w:p>
            <w:r>
              <w:rPr>
                <w:rFonts w:ascii="Calibri" w:hAnsi="Calibri"/>
                <w:b w:val="0"/>
                <w:i w:val="0"/>
                <w:color w:val="222222"/>
                <w:sz w:val="18"/>
              </w:rPr>
              <w:t>Supply levers</w:t>
            </w:r>
          </w:p>
        </w:tc>
      </w:tr>
      <w:tr>
        <w:tc>
          <w:tcPr>
            <w:tcW w:type="dxa" w:w="3500"/>
            <w:tcMar>
              <w:top w:w="100" w:type="dxa"/>
              <w:start w:w="120" w:type="dxa"/>
              <w:bottom w:w="100" w:type="dxa"/>
              <w:end w:w="120" w:type="dxa"/>
            </w:tcMar>
            <w:vAlign w:val="center"/>
          </w:tcPr>
          <w:p>
            <w:r>
              <w:rPr>
                <w:rFonts w:ascii="Calibri" w:hAnsi="Calibri"/>
                <w:b w:val="0"/>
                <w:i w:val="0"/>
                <w:color w:val="222222"/>
                <w:sz w:val="18"/>
              </w:rPr>
              <w:t>Average minutes/trip</w:t>
            </w:r>
          </w:p>
        </w:tc>
        <w:tc>
          <w:tcPr>
            <w:tcW w:type="dxa" w:w="5860"/>
            <w:tcMar>
              <w:top w:w="100" w:type="dxa"/>
              <w:start w:w="120" w:type="dxa"/>
              <w:bottom w:w="100" w:type="dxa"/>
              <w:end w:w="120" w:type="dxa"/>
            </w:tcMar>
            <w:vAlign w:val="center"/>
          </w:tcPr>
          <w:p>
            <w:r>
              <w:rPr>
                <w:rFonts w:ascii="Calibri" w:hAnsi="Calibri"/>
                <w:b w:val="0"/>
                <w:i w:val="0"/>
                <w:color w:val="222222"/>
                <w:sz w:val="18"/>
              </w:rPr>
              <w:t>Journey efficiency</w:t>
            </w:r>
          </w:p>
        </w:tc>
      </w:tr>
      <w:tr>
        <w:tc>
          <w:tcPr>
            <w:tcW w:type="dxa" w:w="3500"/>
            <w:shd w:fill="F2F4F7"/>
            <w:tcMar>
              <w:top w:w="100" w:type="dxa"/>
              <w:start w:w="120" w:type="dxa"/>
              <w:bottom w:w="100" w:type="dxa"/>
              <w:end w:w="120" w:type="dxa"/>
            </w:tcMar>
            <w:vAlign w:val="center"/>
          </w:tcPr>
          <w:p>
            <w:r>
              <w:rPr>
                <w:rFonts w:ascii="Calibri" w:hAnsi="Calibri"/>
                <w:b w:val="0"/>
                <w:i w:val="0"/>
                <w:color w:val="222222"/>
                <w:sz w:val="18"/>
              </w:rPr>
              <w:t>Shared trips/day</w:t>
            </w:r>
          </w:p>
        </w:tc>
        <w:tc>
          <w:tcPr>
            <w:tcW w:type="dxa" w:w="5860"/>
            <w:shd w:fill="F2F4F7"/>
            <w:tcMar>
              <w:top w:w="100" w:type="dxa"/>
              <w:start w:w="120" w:type="dxa"/>
              <w:bottom w:w="100" w:type="dxa"/>
              <w:end w:w="120" w:type="dxa"/>
            </w:tcMar>
            <w:vAlign w:val="center"/>
          </w:tcPr>
          <w:p>
            <w:r>
              <w:rPr>
                <w:rFonts w:ascii="Calibri" w:hAnsi="Calibri"/>
                <w:b w:val="0"/>
                <w:i w:val="0"/>
                <w:color w:val="222222"/>
                <w:sz w:val="18"/>
              </w:rPr>
              <w:t>Sharing outcome</w:t>
            </w:r>
          </w:p>
        </w:tc>
      </w:tr>
      <w:tr>
        <w:tc>
          <w:tcPr>
            <w:tcW w:type="dxa" w:w="3500"/>
            <w:tcMar>
              <w:top w:w="100" w:type="dxa"/>
              <w:start w:w="120" w:type="dxa"/>
              <w:bottom w:w="100" w:type="dxa"/>
              <w:end w:w="120" w:type="dxa"/>
            </w:tcMar>
            <w:vAlign w:val="center"/>
          </w:tcPr>
          <w:p>
            <w:r>
              <w:rPr>
                <w:rFonts w:ascii="Calibri" w:hAnsi="Calibri"/>
                <w:b w:val="0"/>
                <w:i w:val="0"/>
                <w:color w:val="222222"/>
                <w:sz w:val="18"/>
              </w:rPr>
              <w:t>Farebox/day covered</w:t>
            </w:r>
          </w:p>
        </w:tc>
        <w:tc>
          <w:tcPr>
            <w:tcW w:type="dxa" w:w="5860"/>
            <w:tcMar>
              <w:top w:w="100" w:type="dxa"/>
              <w:start w:w="120" w:type="dxa"/>
              <w:bottom w:w="100" w:type="dxa"/>
              <w:end w:w="120" w:type="dxa"/>
            </w:tcMar>
            <w:vAlign w:val="center"/>
          </w:tcPr>
          <w:p>
            <w:r>
              <w:rPr>
                <w:rFonts w:ascii="Calibri" w:hAnsi="Calibri"/>
                <w:b w:val="0"/>
                <w:i w:val="0"/>
                <w:color w:val="222222"/>
                <w:sz w:val="18"/>
              </w:rPr>
              <w:t>Financial KPI for covered classes only</w:t>
            </w:r>
          </w:p>
        </w:tc>
      </w:tr>
      <w:tr>
        <w:tc>
          <w:tcPr>
            <w:tcW w:type="dxa" w:w="3500"/>
            <w:shd w:fill="F2F4F7"/>
            <w:tcMar>
              <w:top w:w="100" w:type="dxa"/>
              <w:start w:w="120" w:type="dxa"/>
              <w:bottom w:w="100" w:type="dxa"/>
              <w:end w:w="120" w:type="dxa"/>
            </w:tcMar>
            <w:vAlign w:val="center"/>
          </w:tcPr>
          <w:p>
            <w:r>
              <w:rPr>
                <w:rFonts w:ascii="Calibri" w:hAnsi="Calibri"/>
                <w:b w:val="0"/>
                <w:i w:val="0"/>
                <w:color w:val="222222"/>
                <w:sz w:val="18"/>
              </w:rPr>
              <w:t>Emissions measure</w:t>
            </w:r>
          </w:p>
        </w:tc>
        <w:tc>
          <w:tcPr>
            <w:tcW w:type="dxa" w:w="5860"/>
            <w:shd w:fill="F2F4F7"/>
            <w:tcMar>
              <w:top w:w="100" w:type="dxa"/>
              <w:start w:w="120" w:type="dxa"/>
              <w:bottom w:w="100" w:type="dxa"/>
              <w:end w:w="120" w:type="dxa"/>
            </w:tcMar>
            <w:vAlign w:val="center"/>
          </w:tcPr>
          <w:p>
            <w:r>
              <w:rPr>
                <w:rFonts w:ascii="Calibri" w:hAnsi="Calibri"/>
                <w:b w:val="0"/>
                <w:i w:val="0"/>
                <w:color w:val="222222"/>
                <w:sz w:val="18"/>
              </w:rPr>
              <w:t>Sustainability comparison after methodology approval</w:t>
            </w:r>
          </w:p>
        </w:tc>
      </w:tr>
    </w:tbl>
    <w:p>
      <w:pPr>
        <w:pStyle w:val="Heading1"/>
      </w:pPr>
      <w:r>
        <w:t>6. Risks, constraints, and acceptance gates</w:t>
      </w:r>
    </w:p>
    <w:p>
      <w:pPr>
        <w:pStyle w:val="ListBullet"/>
      </w:pPr>
      <w:r>
        <w:t>Sparse optional fields require explicit coverage labels and conditional measures.</w:t>
      </w:r>
    </w:p>
    <w:p>
      <w:pPr>
        <w:pStyle w:val="ListBullet"/>
      </w:pPr>
      <w:r>
        <w:t>Monthly aggregates limit geographic and intraday decisions.</w:t>
      </w:r>
    </w:p>
    <w:p>
      <w:pPr>
        <w:pStyle w:val="ListBullet"/>
      </w:pPr>
      <w:r>
        <w:t>Trend disruption or structural change can invalidate calibration; monitor drift and back-test.</w:t>
      </w:r>
    </w:p>
    <w:p>
      <w:pPr>
        <w:pStyle w:val="ListBullet"/>
      </w:pPr>
      <w:r>
        <w:t>Approve data dictionary, service targets, emissions methodology, and scenario constraints before pilot.</w:t>
      </w:r>
    </w:p>
    <w:p>
      <w:pPr>
        <w:pStyle w:val="ListBullet"/>
      </w:pPr>
      <w:r>
        <w:t>All Must requirements, reproducibility tests, Power BI contracts, and human-control tests must pass before business acceptance.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636E"/>
        <w:sz w:val="18"/>
      </w:rPr>
      <w:t>Controlled project document  |  Version 1.0  |  17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9636E"/>
        <w:sz w:val="18"/>
      </w:rPr>
      <w:t>SUPPLY CHAIN INTELLIGENCE HUB  |  BUSINESS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pPr>
      <w:keepNext/>
      <w:spacing w:before="160" w:after="40"/>
    </w:pPr>
    <w:rPr>
      <w:rFonts w:ascii="Calibri" w:hAnsi="Calibri"/>
      <w:b/>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