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</w:pPr>
      <w:r>
        <w:rPr>
          <w:rFonts w:ascii="Calibri" w:hAnsi="Calibri"/>
          <w:b/>
          <w:i w:val="0"/>
          <w:color w:val="C69214"/>
          <w:sz w:val="20"/>
        </w:rPr>
        <w:t>UM-FRD-001</w:t>
      </w:r>
    </w:p>
    <w:p>
      <w:pPr>
        <w:spacing w:after="80"/>
      </w:pPr>
      <w:r>
        <w:rPr>
          <w:rFonts w:ascii="Calibri" w:hAnsi="Calibri"/>
          <w:b/>
          <w:i w:val="0"/>
          <w:color w:val="17324D"/>
          <w:sz w:val="56"/>
        </w:rPr>
        <w:t>Functional Requirements Document</w:t>
      </w:r>
    </w:p>
    <w:p>
      <w:pPr>
        <w:spacing w:after="400"/>
      </w:pPr>
      <w:r>
        <w:rPr>
          <w:rFonts w:ascii="Calibri" w:hAnsi="Calibri"/>
          <w:b w:val="0"/>
          <w:i w:val="0"/>
          <w:color w:val="167D8D"/>
          <w:sz w:val="28"/>
        </w:rPr>
        <w:t>Urban Mobility Digital Twin, Data Pipeline, Snowflake, and Power BI</w:t>
      </w:r>
    </w:p>
    <w:p>
      <w:pPr>
        <w:spacing w:after="60"/>
      </w:pPr>
      <w:r>
        <w:rPr>
          <w:rFonts w:ascii="Calibri" w:hAnsi="Calibri"/>
          <w:b/>
          <w:i w:val="0"/>
          <w:color w:val="17324D"/>
          <w:sz w:val="21"/>
        </w:rPr>
        <w:t xml:space="preserve">Project: </w:t>
      </w:r>
      <w:r>
        <w:rPr>
          <w:rFonts w:ascii="Calibri" w:hAnsi="Calibri"/>
          <w:b w:val="0"/>
          <w:i w:val="0"/>
          <w:color w:val="222222"/>
          <w:sz w:val="21"/>
        </w:rPr>
        <w:t>Supply Chain Intelligence Hub and Digital Twin</w:t>
      </w:r>
    </w:p>
    <w:p>
      <w:pPr>
        <w:spacing w:after="60"/>
      </w:pPr>
      <w:r>
        <w:rPr>
          <w:rFonts w:ascii="Calibri" w:hAnsi="Calibri"/>
          <w:b/>
          <w:i w:val="0"/>
          <w:color w:val="17324D"/>
          <w:sz w:val="21"/>
        </w:rPr>
        <w:t xml:space="preserve">Document owner: </w:t>
      </w:r>
      <w:r>
        <w:rPr>
          <w:rFonts w:ascii="Calibri" w:hAnsi="Calibri"/>
          <w:b w:val="0"/>
          <w:i w:val="0"/>
          <w:color w:val="222222"/>
          <w:sz w:val="21"/>
        </w:rPr>
        <w:t>Business Analysis / Product Management</w:t>
      </w:r>
    </w:p>
    <w:p>
      <w:pPr>
        <w:spacing w:after="60"/>
      </w:pPr>
      <w:r>
        <w:rPr>
          <w:rFonts w:ascii="Calibri" w:hAnsi="Calibri"/>
          <w:b/>
          <w:i w:val="0"/>
          <w:color w:val="17324D"/>
          <w:sz w:val="21"/>
        </w:rPr>
        <w:t xml:space="preserve">Version: </w:t>
      </w:r>
      <w:r>
        <w:rPr>
          <w:rFonts w:ascii="Calibri" w:hAnsi="Calibri"/>
          <w:b w:val="0"/>
          <w:i w:val="0"/>
          <w:color w:val="222222"/>
          <w:sz w:val="21"/>
        </w:rPr>
        <w:t>1.0</w:t>
      </w:r>
    </w:p>
    <w:p>
      <w:pPr>
        <w:spacing w:after="60"/>
      </w:pPr>
      <w:r>
        <w:rPr>
          <w:rFonts w:ascii="Calibri" w:hAnsi="Calibri"/>
          <w:b/>
          <w:i w:val="0"/>
          <w:color w:val="17324D"/>
          <w:sz w:val="21"/>
        </w:rPr>
        <w:t xml:space="preserve">Status: </w:t>
      </w:r>
      <w:r>
        <w:rPr>
          <w:rFonts w:ascii="Calibri" w:hAnsi="Calibri"/>
          <w:b w:val="0"/>
          <w:i w:val="0"/>
          <w:color w:val="222222"/>
          <w:sz w:val="21"/>
        </w:rPr>
        <w:t>Draft for stakeholder review</w:t>
      </w:r>
    </w:p>
    <w:p>
      <w:pPr>
        <w:spacing w:after="60"/>
      </w:pPr>
      <w:r>
        <w:rPr>
          <w:rFonts w:ascii="Calibri" w:hAnsi="Calibri"/>
          <w:b/>
          <w:i w:val="0"/>
          <w:color w:val="17324D"/>
          <w:sz w:val="21"/>
        </w:rPr>
        <w:t xml:space="preserve">Date: </w:t>
      </w:r>
      <w:r>
        <w:rPr>
          <w:rFonts w:ascii="Calibri" w:hAnsi="Calibri"/>
          <w:b w:val="0"/>
          <w:i w:val="0"/>
          <w:color w:val="222222"/>
          <w:sz w:val="21"/>
        </w:rPr>
        <w:t>17 August 2026</w:t>
      </w:r>
    </w:p>
    <w:p>
      <w:pPr>
        <w:spacing w:after="60"/>
      </w:pPr>
      <w:r>
        <w:rPr>
          <w:rFonts w:ascii="Calibri" w:hAnsi="Calibri"/>
          <w:b/>
          <w:i w:val="0"/>
          <w:color w:val="17324D"/>
          <w:sz w:val="21"/>
        </w:rPr>
        <w:t xml:space="preserve">Classification: </w:t>
      </w:r>
      <w:r>
        <w:rPr>
          <w:rFonts w:ascii="Calibri" w:hAnsi="Calibri"/>
          <w:b w:val="0"/>
          <w:i w:val="0"/>
          <w:color w:val="222222"/>
          <w:sz w:val="21"/>
        </w:rPr>
        <w:t>Internal</w:t>
      </w:r>
    </w:p>
    <w:p>
      <w:pPr>
        <w:spacing w:before="400" w:after="160"/>
      </w:pPr>
      <w:r>
        <w:rPr>
          <w:rFonts w:ascii="Calibri" w:hAnsi="Calibri"/>
          <w:b/>
          <w:i w:val="0"/>
          <w:color w:val="2E74B5"/>
          <w:sz w:val="24"/>
        </w:rPr>
        <w:t>Document purpose</w:t>
      </w:r>
    </w:p>
    <w:p>
      <w:r>
        <w:t>This controlled document defines the approved scope and requirements for transforming the existing analytics notebook and Power BI dashboard into a governed, scenario-based supply-chain digital twin.</w:t>
      </w:r>
    </w:p>
    <w:p>
      <w:pPr>
        <w:spacing w:before="360"/>
        <w:shd w:fill="E8EEF5"/>
      </w:pPr>
      <w:r>
        <w:rPr>
          <w:rFonts w:ascii="Calibri" w:hAnsi="Calibri"/>
          <w:b/>
          <w:i w:val="0"/>
          <w:color w:val="17324D"/>
          <w:sz w:val="22"/>
        </w:rPr>
        <w:t xml:space="preserve">Approval gate: </w:t>
      </w:r>
      <w:r>
        <w:rPr>
          <w:rFonts w:ascii="Calibri" w:hAnsi="Calibri"/>
          <w:b w:val="0"/>
          <w:i w:val="0"/>
          <w:color w:val="222222"/>
          <w:sz w:val="22"/>
        </w:rPr>
        <w:t>Requirements become baselined only after Business Owner, Operations, Finance, Data/Technology, and Quality approval.</w:t>
      </w:r>
    </w:p>
    <w:p>
      <w:r>
        <w:br w:type="page"/>
      </w:r>
    </w:p>
    <w:p>
      <w:pPr>
        <w:pStyle w:val="Heading1"/>
      </w:pPr>
      <w:r>
        <w:t>Document control</w:t>
      </w:r>
    </w:p>
    <w:p>
      <w:pPr>
        <w:pStyle w:val="Heading2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400"/>
        <w:gridCol w:w="1900"/>
        <w:gridCol w:w="3560"/>
        <w:gridCol w:w="1600"/>
      </w:tblGrid>
      <w:tr>
        <w:tc>
          <w:tcPr>
            <w:tcW w:type="dxa" w:w="90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Version</w:t>
            </w:r>
          </w:p>
        </w:tc>
        <w:tc>
          <w:tcPr>
            <w:tcW w:type="dxa" w:w="140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190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Author/Owner</w:t>
            </w:r>
          </w:p>
        </w:tc>
        <w:tc>
          <w:tcPr>
            <w:tcW w:type="dxa" w:w="356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Change</w:t>
            </w:r>
          </w:p>
        </w:tc>
        <w:tc>
          <w:tcPr>
            <w:tcW w:type="dxa" w:w="160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1.0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17 Aug 2026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Business Analysis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Initial controlled draft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Review</w:t>
            </w:r>
          </w:p>
        </w:tc>
      </w:tr>
    </w:tbl>
    <w:p>
      <w:pPr>
        <w:pStyle w:val="Heading2"/>
      </w:pPr>
      <w:r>
        <w:t>Review and approval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2500"/>
        <w:gridCol w:w="2300"/>
        <w:gridCol w:w="1960"/>
      </w:tblGrid>
      <w:tr>
        <w:tc>
          <w:tcPr>
            <w:tcW w:type="dxa" w:w="260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250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230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Decision</w:t>
            </w:r>
          </w:p>
        </w:tc>
        <w:tc>
          <w:tcPr>
            <w:tcW w:type="dxa" w:w="196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Business Sponsor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________________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Approve / Reject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__________</w:t>
            </w:r>
          </w:p>
        </w:tc>
      </w:tr>
      <w:tr>
        <w:tc>
          <w:tcPr>
            <w:tcW w:type="dxa" w:w="26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Supply Chain Owner</w:t>
            </w:r>
          </w:p>
        </w:tc>
        <w:tc>
          <w:tcPr>
            <w:tcW w:type="dxa" w:w="25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________________</w:t>
            </w:r>
          </w:p>
        </w:tc>
        <w:tc>
          <w:tcPr>
            <w:tcW w:type="dxa" w:w="23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Approve / Reject</w:t>
            </w:r>
          </w:p>
        </w:tc>
        <w:tc>
          <w:tcPr>
            <w:tcW w:type="dxa" w:w="19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__________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Finance Owner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________________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Approve / Reject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__________</w:t>
            </w:r>
          </w:p>
        </w:tc>
      </w:tr>
      <w:tr>
        <w:tc>
          <w:tcPr>
            <w:tcW w:type="dxa" w:w="26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Data/Technology Owner</w:t>
            </w:r>
          </w:p>
        </w:tc>
        <w:tc>
          <w:tcPr>
            <w:tcW w:type="dxa" w:w="25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________________</w:t>
            </w:r>
          </w:p>
        </w:tc>
        <w:tc>
          <w:tcPr>
            <w:tcW w:type="dxa" w:w="23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Approve / Reject</w:t>
            </w:r>
          </w:p>
        </w:tc>
        <w:tc>
          <w:tcPr>
            <w:tcW w:type="dxa" w:w="19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__________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Quality Owner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________________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Approve / Reject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__________</w:t>
            </w:r>
          </w:p>
        </w:tc>
      </w:tr>
    </w:tbl>
    <w:p>
      <w:pPr>
        <w:pStyle w:val="Heading1"/>
      </w:pPr>
      <w:r>
        <w:t>1. Architecture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700"/>
        <w:gridCol w:w="5060"/>
      </w:tblGrid>
      <w:tr>
        <w:tc>
          <w:tcPr>
            <w:tcW w:type="dxa" w:w="160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270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506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Function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Source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Monthly TLC CSV / future feeds</w:t>
            </w:r>
          </w:p>
        </w:tc>
        <w:tc>
          <w:tcPr>
            <w:tcW w:type="dxa" w:w="5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Mobility observations</w:t>
            </w:r>
          </w:p>
        </w:tc>
      </w:tr>
      <w:tr>
        <w:tc>
          <w:tcPr>
            <w:tcW w:type="dxa" w:w="16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Processing</w:t>
            </w:r>
          </w:p>
        </w:tc>
        <w:tc>
          <w:tcPr>
            <w:tcW w:type="dxa" w:w="2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Python cleaning and quality checks</w:t>
            </w:r>
          </w:p>
        </w:tc>
        <w:tc>
          <w:tcPr>
            <w:tcW w:type="dxa" w:w="50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Typed, validated dataset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Warehouse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Snowflake MONTHLY_MOBILITY and views</w:t>
            </w:r>
          </w:p>
        </w:tc>
        <w:tc>
          <w:tcPr>
            <w:tcW w:type="dxa" w:w="5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Governed analytical model</w:t>
            </w:r>
          </w:p>
        </w:tc>
      </w:tr>
      <w:tr>
        <w:tc>
          <w:tcPr>
            <w:tcW w:type="dxa" w:w="16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Twin</w:t>
            </w:r>
          </w:p>
        </w:tc>
        <w:tc>
          <w:tcPr>
            <w:tcW w:type="dxa" w:w="2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Python Monte Carlo engine</w:t>
            </w:r>
          </w:p>
        </w:tc>
        <w:tc>
          <w:tcPr>
            <w:tcW w:type="dxa" w:w="50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Calibration, policy simulation, aggregation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Output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CSV and JSON contracts</w:t>
            </w:r>
          </w:p>
        </w:tc>
        <w:tc>
          <w:tcPr>
            <w:tcW w:type="dxa" w:w="5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Summary, monthly state, run metrics, configuration</w:t>
            </w:r>
          </w:p>
        </w:tc>
      </w:tr>
      <w:tr>
        <w:tc>
          <w:tcPr>
            <w:tcW w:type="dxa" w:w="16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Consumption</w:t>
            </w:r>
          </w:p>
        </w:tc>
        <w:tc>
          <w:tcPr>
            <w:tcW w:type="dxa" w:w="2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Power BI</w:t>
            </w:r>
          </w:p>
        </w:tc>
        <w:tc>
          <w:tcPr>
            <w:tcW w:type="dxa" w:w="50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Executive, operational, sustainability, assumptions pages</w:t>
            </w:r>
          </w:p>
        </w:tc>
      </w:tr>
    </w:tbl>
    <w:p>
      <w:pPr>
        <w:pStyle w:val="Heading1"/>
      </w:pPr>
      <w:r>
        <w:t>2. Functional requirements</w:t>
      </w:r>
    </w:p>
    <w:p>
      <w:pPr>
        <w:pStyle w:val="RequirementID"/>
      </w:pPr>
      <w:r>
        <w:t>MFR-001 — Input validation</w:t>
      </w:r>
    </w:p>
    <w:p>
      <w:r>
        <w:rPr>
          <w:rFonts w:ascii="Calibri" w:hAnsi="Calibri"/>
          <w:b/>
          <w:i w:val="0"/>
          <w:color w:val="17324D"/>
          <w:sz w:val="21"/>
        </w:rPr>
        <w:t xml:space="preserve">Requirement: </w:t>
      </w:r>
      <w:r>
        <w:rPr>
          <w:rFonts w:ascii="Calibri" w:hAnsi="Calibri"/>
          <w:b w:val="0"/>
          <w:i w:val="0"/>
          <w:color w:val="222222"/>
          <w:sz w:val="21"/>
        </w:rPr>
        <w:t>The engine shall validate required schema, critical values, and unique month/license keys.</w:t>
      </w:r>
    </w:p>
    <w:p>
      <w:pPr>
        <w:spacing w:after="100"/>
      </w:pPr>
      <w:r>
        <w:rPr>
          <w:rFonts w:ascii="Calibri" w:hAnsi="Calibri"/>
          <w:b w:val="0"/>
          <w:i/>
          <w:color w:val="59636E"/>
          <w:sz w:val="18"/>
        </w:rPr>
        <w:t>Priority: Must  |  Owner: Engineering/Product</w:t>
      </w:r>
    </w:p>
    <w:p>
      <w:pPr>
        <w:pStyle w:val="RequirementID"/>
      </w:pPr>
      <w:r>
        <w:t>MFR-002 — Calibration</w:t>
      </w:r>
    </w:p>
    <w:p>
      <w:r>
        <w:rPr>
          <w:rFonts w:ascii="Calibri" w:hAnsi="Calibri"/>
          <w:b/>
          <w:i w:val="0"/>
          <w:color w:val="17324D"/>
          <w:sz w:val="21"/>
        </w:rPr>
        <w:t xml:space="preserve">Requirement: </w:t>
      </w:r>
      <w:r>
        <w:rPr>
          <w:rFonts w:ascii="Calibri" w:hAnsi="Calibri"/>
          <w:b w:val="0"/>
          <w:i w:val="0"/>
          <w:color w:val="222222"/>
          <w:sz w:val="21"/>
        </w:rPr>
        <w:t>The engine shall calibrate recent capped trend, month seasonality, productive trips per active vehicle, fare per trip where available, and shared-trip ratio.</w:t>
      </w:r>
    </w:p>
    <w:p>
      <w:pPr>
        <w:spacing w:after="100"/>
      </w:pPr>
      <w:r>
        <w:rPr>
          <w:rFonts w:ascii="Calibri" w:hAnsi="Calibri"/>
          <w:b w:val="0"/>
          <w:i/>
          <w:color w:val="59636E"/>
          <w:sz w:val="18"/>
        </w:rPr>
        <w:t>Priority: Must  |  Owner: Engineering/Product</w:t>
      </w:r>
    </w:p>
    <w:p>
      <w:pPr>
        <w:pStyle w:val="RequirementID"/>
      </w:pPr>
      <w:r>
        <w:t>MFR-003 — Twin state</w:t>
      </w:r>
    </w:p>
    <w:p>
      <w:r>
        <w:rPr>
          <w:rFonts w:ascii="Calibri" w:hAnsi="Calibri"/>
          <w:b/>
          <w:i w:val="0"/>
          <w:color w:val="17324D"/>
          <w:sz w:val="21"/>
        </w:rPr>
        <w:t xml:space="preserve">Requirement: </w:t>
      </w:r>
      <w:r>
        <w:rPr>
          <w:rFonts w:ascii="Calibri" w:hAnsi="Calibri"/>
          <w:b w:val="0"/>
          <w:i w:val="0"/>
          <w:color w:val="222222"/>
          <w:sz w:val="21"/>
        </w:rPr>
        <w:t>The engine shall maintain demand, vehicles, drivers, trip time, capacity, served/unmet trips, sharing, covered fare, and emissions proxy by class/month.</w:t>
      </w:r>
    </w:p>
    <w:p>
      <w:pPr>
        <w:spacing w:after="100"/>
      </w:pPr>
      <w:r>
        <w:rPr>
          <w:rFonts w:ascii="Calibri" w:hAnsi="Calibri"/>
          <w:b w:val="0"/>
          <w:i/>
          <w:color w:val="59636E"/>
          <w:sz w:val="18"/>
        </w:rPr>
        <w:t>Priority: Must  |  Owner: Engineering/Product</w:t>
      </w:r>
    </w:p>
    <w:p>
      <w:pPr>
        <w:pStyle w:val="RequirementID"/>
      </w:pPr>
      <w:r>
        <w:t>MFR-004 — Scenario policies</w:t>
      </w:r>
    </w:p>
    <w:p>
      <w:r>
        <w:rPr>
          <w:rFonts w:ascii="Calibri" w:hAnsi="Calibri"/>
          <w:b/>
          <w:i w:val="0"/>
          <w:color w:val="17324D"/>
          <w:sz w:val="21"/>
        </w:rPr>
        <w:t xml:space="preserve">Requirement: </w:t>
      </w:r>
      <w:r>
        <w:rPr>
          <w:rFonts w:ascii="Calibri" w:hAnsi="Calibri"/>
          <w:b w:val="0"/>
          <w:i w:val="0"/>
          <w:color w:val="222222"/>
          <w:sz w:val="21"/>
        </w:rPr>
        <w:t>The engine shall configure demand, vehicle, driver, trip-time, productivity, sharing, and emissions-factor changes.</w:t>
      </w:r>
    </w:p>
    <w:p>
      <w:pPr>
        <w:spacing w:after="100"/>
      </w:pPr>
      <w:r>
        <w:rPr>
          <w:rFonts w:ascii="Calibri" w:hAnsi="Calibri"/>
          <w:b w:val="0"/>
          <w:i/>
          <w:color w:val="59636E"/>
          <w:sz w:val="18"/>
        </w:rPr>
        <w:t>Priority: Must  |  Owner: Engineering/Product</w:t>
      </w:r>
    </w:p>
    <w:p>
      <w:pPr>
        <w:pStyle w:val="RequirementID"/>
      </w:pPr>
      <w:r>
        <w:t>MFR-005 — Stochastic runs</w:t>
      </w:r>
    </w:p>
    <w:p>
      <w:r>
        <w:rPr>
          <w:rFonts w:ascii="Calibri" w:hAnsi="Calibri"/>
          <w:b/>
          <w:i w:val="0"/>
          <w:color w:val="17324D"/>
          <w:sz w:val="21"/>
        </w:rPr>
        <w:t xml:space="preserve">Requirement: </w:t>
      </w:r>
      <w:r>
        <w:rPr>
          <w:rFonts w:ascii="Calibri" w:hAnsi="Calibri"/>
          <w:b w:val="0"/>
          <w:i w:val="0"/>
          <w:color w:val="222222"/>
          <w:sz w:val="21"/>
        </w:rPr>
        <w:t>The engine shall execute configurable Monte Carlo runs using reproducible seed derivation.</w:t>
      </w:r>
    </w:p>
    <w:p>
      <w:pPr>
        <w:spacing w:after="100"/>
      </w:pPr>
      <w:r>
        <w:rPr>
          <w:rFonts w:ascii="Calibri" w:hAnsi="Calibri"/>
          <w:b w:val="0"/>
          <w:i/>
          <w:color w:val="59636E"/>
          <w:sz w:val="18"/>
        </w:rPr>
        <w:t>Priority: Must  |  Owner: Engineering/Product</w:t>
      </w:r>
    </w:p>
    <w:p>
      <w:pPr>
        <w:pStyle w:val="RequirementID"/>
      </w:pPr>
      <w:r>
        <w:t>MFR-006 — Capacity logic</w:t>
      </w:r>
    </w:p>
    <w:p>
      <w:r>
        <w:rPr>
          <w:rFonts w:ascii="Calibri" w:hAnsi="Calibri"/>
          <w:b/>
          <w:i w:val="0"/>
          <w:color w:val="17324D"/>
          <w:sz w:val="21"/>
        </w:rPr>
        <w:t xml:space="preserve">Requirement: </w:t>
      </w:r>
      <w:r>
        <w:rPr>
          <w:rFonts w:ascii="Calibri" w:hAnsi="Calibri"/>
          <w:b w:val="0"/>
          <w:i w:val="0"/>
          <w:color w:val="222222"/>
          <w:sz w:val="21"/>
        </w:rPr>
        <w:t>Served trips shall equal the lesser of modeled demand and capacity; unmet trips shall remain nonnegative.</w:t>
      </w:r>
    </w:p>
    <w:p>
      <w:pPr>
        <w:spacing w:after="100"/>
      </w:pPr>
      <w:r>
        <w:rPr>
          <w:rFonts w:ascii="Calibri" w:hAnsi="Calibri"/>
          <w:b w:val="0"/>
          <w:i/>
          <w:color w:val="59636E"/>
          <w:sz w:val="18"/>
        </w:rPr>
        <w:t>Priority: Must  |  Owner: Engineering/Product</w:t>
      </w:r>
    </w:p>
    <w:p>
      <w:pPr>
        <w:pStyle w:val="RequirementID"/>
      </w:pPr>
      <w:r>
        <w:t>MFR-007 — Partial fare coverage</w:t>
      </w:r>
    </w:p>
    <w:p>
      <w:r>
        <w:rPr>
          <w:rFonts w:ascii="Calibri" w:hAnsi="Calibri"/>
          <w:b/>
          <w:i w:val="0"/>
          <w:color w:val="17324D"/>
          <w:sz w:val="21"/>
        </w:rPr>
        <w:t xml:space="preserve">Requirement: </w:t>
      </w:r>
      <w:r>
        <w:rPr>
          <w:rFonts w:ascii="Calibri" w:hAnsi="Calibri"/>
          <w:b w:val="0"/>
          <w:i w:val="0"/>
          <w:color w:val="222222"/>
          <w:sz w:val="21"/>
        </w:rPr>
        <w:t>Fare shall be calculated only when a valid class-level fare-per-trip basis exists.</w:t>
      </w:r>
    </w:p>
    <w:p>
      <w:pPr>
        <w:spacing w:after="100"/>
      </w:pPr>
      <w:r>
        <w:rPr>
          <w:rFonts w:ascii="Calibri" w:hAnsi="Calibri"/>
          <w:b w:val="0"/>
          <w:i/>
          <w:color w:val="59636E"/>
          <w:sz w:val="18"/>
        </w:rPr>
        <w:t>Priority: Must  |  Owner: Engineering/Product</w:t>
      </w:r>
    </w:p>
    <w:p>
      <w:pPr>
        <w:pStyle w:val="RequirementID"/>
      </w:pPr>
      <w:r>
        <w:t>MFR-008 — Aggregation</w:t>
      </w:r>
    </w:p>
    <w:p>
      <w:r>
        <w:rPr>
          <w:rFonts w:ascii="Calibri" w:hAnsi="Calibri"/>
          <w:b/>
          <w:i w:val="0"/>
          <w:color w:val="17324D"/>
          <w:sz w:val="21"/>
        </w:rPr>
        <w:t xml:space="preserve">Requirement: </w:t>
      </w:r>
      <w:r>
        <w:rPr>
          <w:rFonts w:ascii="Calibri" w:hAnsi="Calibri"/>
          <w:b w:val="0"/>
          <w:i w:val="0"/>
          <w:color w:val="222222"/>
          <w:sz w:val="21"/>
        </w:rPr>
        <w:t>The engine shall publish mean, standard deviation, P05, and P95 for scenario metrics.</w:t>
      </w:r>
    </w:p>
    <w:p>
      <w:pPr>
        <w:spacing w:after="100"/>
      </w:pPr>
      <w:r>
        <w:rPr>
          <w:rFonts w:ascii="Calibri" w:hAnsi="Calibri"/>
          <w:b w:val="0"/>
          <w:i/>
          <w:color w:val="59636E"/>
          <w:sz w:val="18"/>
        </w:rPr>
        <w:t>Priority: Must  |  Owner: Engineering/Product</w:t>
      </w:r>
    </w:p>
    <w:p>
      <w:pPr>
        <w:pStyle w:val="RequirementID"/>
      </w:pPr>
      <w:r>
        <w:t>MFR-009 — State output</w:t>
      </w:r>
    </w:p>
    <w:p>
      <w:r>
        <w:rPr>
          <w:rFonts w:ascii="Calibri" w:hAnsi="Calibri"/>
          <w:b/>
          <w:i w:val="0"/>
          <w:color w:val="17324D"/>
          <w:sz w:val="21"/>
        </w:rPr>
        <w:t xml:space="preserve">Requirement: </w:t>
      </w:r>
      <w:r>
        <w:rPr>
          <w:rFonts w:ascii="Calibri" w:hAnsi="Calibri"/>
          <w:b w:val="0"/>
          <w:i w:val="0"/>
          <w:color w:val="222222"/>
          <w:sz w:val="21"/>
        </w:rPr>
        <w:t>The engine shall publish scenario × month × license-class state data.</w:t>
      </w:r>
    </w:p>
    <w:p>
      <w:pPr>
        <w:spacing w:after="100"/>
      </w:pPr>
      <w:r>
        <w:rPr>
          <w:rFonts w:ascii="Calibri" w:hAnsi="Calibri"/>
          <w:b w:val="0"/>
          <w:i/>
          <w:color w:val="59636E"/>
          <w:sz w:val="18"/>
        </w:rPr>
        <w:t>Priority: Must  |  Owner: Engineering/Product</w:t>
      </w:r>
    </w:p>
    <w:p>
      <w:pPr>
        <w:pStyle w:val="RequirementID"/>
      </w:pPr>
      <w:r>
        <w:t>MFR-010 — Configuration output</w:t>
      </w:r>
    </w:p>
    <w:p>
      <w:r>
        <w:rPr>
          <w:rFonts w:ascii="Calibri" w:hAnsi="Calibri"/>
          <w:b/>
          <w:i w:val="0"/>
          <w:color w:val="17324D"/>
          <w:sz w:val="21"/>
        </w:rPr>
        <w:t xml:space="preserve">Requirement: </w:t>
      </w:r>
      <w:r>
        <w:rPr>
          <w:rFonts w:ascii="Calibri" w:hAnsi="Calibri"/>
          <w:b w:val="0"/>
          <w:i w:val="0"/>
          <w:color w:val="222222"/>
          <w:sz w:val="21"/>
        </w:rPr>
        <w:t>The engine shall retain horizon, runs, seed, source period, source row count, and policies.</w:t>
      </w:r>
    </w:p>
    <w:p>
      <w:pPr>
        <w:spacing w:after="100"/>
      </w:pPr>
      <w:r>
        <w:rPr>
          <w:rFonts w:ascii="Calibri" w:hAnsi="Calibri"/>
          <w:b w:val="0"/>
          <w:i/>
          <w:color w:val="59636E"/>
          <w:sz w:val="18"/>
        </w:rPr>
        <w:t>Priority: Must  |  Owner: Engineering/Product</w:t>
      </w:r>
    </w:p>
    <w:p>
      <w:pPr>
        <w:pStyle w:val="RequirementID"/>
      </w:pPr>
      <w:r>
        <w:t>MFR-011 — Power BI contract</w:t>
      </w:r>
    </w:p>
    <w:p>
      <w:r>
        <w:rPr>
          <w:rFonts w:ascii="Calibri" w:hAnsi="Calibri"/>
          <w:b/>
          <w:i w:val="0"/>
          <w:color w:val="17324D"/>
          <w:sz w:val="21"/>
        </w:rPr>
        <w:t xml:space="preserve">Requirement: </w:t>
      </w:r>
      <w:r>
        <w:rPr>
          <w:rFonts w:ascii="Calibri" w:hAnsi="Calibri"/>
          <w:b w:val="0"/>
          <w:i w:val="0"/>
          <w:color w:val="222222"/>
          <w:sz w:val="21"/>
        </w:rPr>
        <w:t>Outputs shall use stable names and types for automated refresh.</w:t>
      </w:r>
    </w:p>
    <w:p>
      <w:pPr>
        <w:spacing w:after="100"/>
      </w:pPr>
      <w:r>
        <w:rPr>
          <w:rFonts w:ascii="Calibri" w:hAnsi="Calibri"/>
          <w:b w:val="0"/>
          <w:i/>
          <w:color w:val="59636E"/>
          <w:sz w:val="18"/>
        </w:rPr>
        <w:t>Priority: Must  |  Owner: Engineering/Product</w:t>
      </w:r>
    </w:p>
    <w:p>
      <w:pPr>
        <w:pStyle w:val="RequirementID"/>
      </w:pPr>
      <w:r>
        <w:t>MFR-012 — Failure behavior</w:t>
      </w:r>
    </w:p>
    <w:p>
      <w:r>
        <w:rPr>
          <w:rFonts w:ascii="Calibri" w:hAnsi="Calibri"/>
          <w:b/>
          <w:i w:val="0"/>
          <w:color w:val="17324D"/>
          <w:sz w:val="21"/>
        </w:rPr>
        <w:t xml:space="preserve">Requirement: </w:t>
      </w:r>
      <w:r>
        <w:rPr>
          <w:rFonts w:ascii="Calibri" w:hAnsi="Calibri"/>
          <w:b w:val="0"/>
          <w:i w:val="0"/>
          <w:color w:val="222222"/>
          <w:sz w:val="21"/>
        </w:rPr>
        <w:t>Invalid critical data shall stop processing and prevent publication of approved outputs.</w:t>
      </w:r>
    </w:p>
    <w:p>
      <w:pPr>
        <w:spacing w:after="100"/>
      </w:pPr>
      <w:r>
        <w:rPr>
          <w:rFonts w:ascii="Calibri" w:hAnsi="Calibri"/>
          <w:b w:val="0"/>
          <w:i/>
          <w:color w:val="59636E"/>
          <w:sz w:val="18"/>
        </w:rPr>
        <w:t>Priority: Must  |  Owner: Engineering/Product</w:t>
      </w:r>
    </w:p>
    <w:p>
      <w:pPr>
        <w:pStyle w:val="RequirementID"/>
      </w:pPr>
      <w:r>
        <w:t>MFR-013 — Advisory control</w:t>
      </w:r>
    </w:p>
    <w:p>
      <w:r>
        <w:rPr>
          <w:rFonts w:ascii="Calibri" w:hAnsi="Calibri"/>
          <w:b/>
          <w:i w:val="0"/>
          <w:color w:val="17324D"/>
          <w:sz w:val="21"/>
        </w:rPr>
        <w:t xml:space="preserve">Requirement: </w:t>
      </w:r>
      <w:r>
        <w:rPr>
          <w:rFonts w:ascii="Calibri" w:hAnsi="Calibri"/>
          <w:b w:val="0"/>
          <w:i w:val="0"/>
          <w:color w:val="222222"/>
          <w:sz w:val="21"/>
        </w:rPr>
        <w:t>The system shall not invoke dispatch, payment, regulatory, or operational-write APIs.</w:t>
      </w:r>
    </w:p>
    <w:p>
      <w:pPr>
        <w:spacing w:after="100"/>
      </w:pPr>
      <w:r>
        <w:rPr>
          <w:rFonts w:ascii="Calibri" w:hAnsi="Calibri"/>
          <w:b w:val="0"/>
          <w:i/>
          <w:color w:val="59636E"/>
          <w:sz w:val="18"/>
        </w:rPr>
        <w:t>Priority: Must  |  Owner: Engineering/Product</w:t>
      </w:r>
    </w:p>
    <w:p>
      <w:pPr>
        <w:pStyle w:val="RequirementID"/>
      </w:pPr>
      <w:r>
        <w:t>MFR-014 — Extensibility</w:t>
      </w:r>
    </w:p>
    <w:p>
      <w:r>
        <w:rPr>
          <w:rFonts w:ascii="Calibri" w:hAnsi="Calibri"/>
          <w:b/>
          <w:i w:val="0"/>
          <w:color w:val="17324D"/>
          <w:sz w:val="21"/>
        </w:rPr>
        <w:t xml:space="preserve">Requirement: </w:t>
      </w:r>
      <w:r>
        <w:rPr>
          <w:rFonts w:ascii="Calibri" w:hAnsi="Calibri"/>
          <w:b w:val="0"/>
          <w:i w:val="0"/>
          <w:color w:val="222222"/>
          <w:sz w:val="21"/>
        </w:rPr>
        <w:t>Interfaces shall permit future event, zone, weather, incident, cost, and emissions inputs.</w:t>
      </w:r>
    </w:p>
    <w:p>
      <w:pPr>
        <w:spacing w:after="100"/>
      </w:pPr>
      <w:r>
        <w:rPr>
          <w:rFonts w:ascii="Calibri" w:hAnsi="Calibri"/>
          <w:b w:val="0"/>
          <w:i/>
          <w:color w:val="59636E"/>
          <w:sz w:val="18"/>
        </w:rPr>
        <w:t>Priority: Should  |  Owner: Engineering/Product</w:t>
      </w:r>
    </w:p>
    <w:p>
      <w:pPr>
        <w:pStyle w:val="Heading1"/>
      </w:pPr>
      <w:r>
        <w:t>3. Calculations and output contracts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c>
          <w:tcPr>
            <w:tcW w:type="dxa" w:w="310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Measure</w:t>
            </w:r>
          </w:p>
        </w:tc>
        <w:tc>
          <w:tcPr>
            <w:tcW w:type="dxa" w:w="626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Demand</w:t>
            </w:r>
          </w:p>
        </w:tc>
        <w:tc>
          <w:tcPr>
            <w:tcW w:type="dxa" w:w="6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Recent trend × month seasonality × scenario change × random variation</w:t>
            </w:r>
          </w:p>
        </w:tc>
      </w:tr>
      <w:tr>
        <w:tc>
          <w:tcPr>
            <w:tcW w:type="dxa" w:w="3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Capacity</w:t>
            </w:r>
          </w:p>
        </w:tc>
        <w:tc>
          <w:tcPr>
            <w:tcW w:type="dxa" w:w="62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Active vehicles × calibrated trips/vehicle × trip-time gain × productivity × driver constraint</w:t>
            </w:r>
          </w:p>
        </w:tc>
      </w:tr>
      <w:t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Served trips</w:t>
            </w:r>
          </w:p>
        </w:tc>
        <w:tc>
          <w:tcPr>
            <w:tcW w:type="dxa" w:w="6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min(demand, capacity)</w:t>
            </w:r>
          </w:p>
        </w:tc>
      </w:tr>
      <w:tr>
        <w:tc>
          <w:tcPr>
            <w:tcW w:type="dxa" w:w="3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Service rate</w:t>
            </w:r>
          </w:p>
        </w:tc>
        <w:tc>
          <w:tcPr>
            <w:tcW w:type="dxa" w:w="62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served ÷ demand</w:t>
            </w:r>
          </w:p>
        </w:tc>
      </w:tr>
      <w:t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Capacity pressure</w:t>
            </w:r>
          </w:p>
        </w:tc>
        <w:tc>
          <w:tcPr>
            <w:tcW w:type="dxa" w:w="6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demand ÷ capacity</w:t>
            </w:r>
          </w:p>
        </w:tc>
      </w:tr>
      <w:tr>
        <w:tc>
          <w:tcPr>
            <w:tcW w:type="dxa" w:w="3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Covered farebox</w:t>
            </w:r>
          </w:p>
        </w:tc>
        <w:tc>
          <w:tcPr>
            <w:tcW w:type="dxa" w:w="62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served × fare/trip only when observed</w:t>
            </w:r>
          </w:p>
        </w:tc>
      </w:tr>
      <w:t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Emissions index</w:t>
            </w:r>
          </w:p>
        </w:tc>
        <w:tc>
          <w:tcPr>
            <w:tcW w:type="dxa" w:w="6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vehicle-hours × scenario factor × sharing adjustment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4760"/>
      </w:tblGrid>
      <w:tr>
        <w:tc>
          <w:tcPr>
            <w:tcW w:type="dxa" w:w="460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File</w:t>
            </w:r>
          </w:p>
        </w:tc>
        <w:tc>
          <w:tcPr>
            <w:tcW w:type="dxa" w:w="476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Grain</w:t>
            </w:r>
          </w:p>
        </w:tc>
      </w:tr>
      <w:tr>
        <w:tc>
          <w:tcPr>
            <w:tcW w:type="dxa" w:w="4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mobility_monte_carlo_runs.csv</w:t>
            </w:r>
          </w:p>
        </w:tc>
        <w:tc>
          <w:tcPr>
            <w:tcW w:type="dxa" w:w="4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Scenario × run</w:t>
            </w:r>
          </w:p>
        </w:tc>
      </w:tr>
      <w:tr>
        <w:tc>
          <w:tcPr>
            <w:tcW w:type="dxa" w:w="46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mobility_scenario_summary.csv</w:t>
            </w:r>
          </w:p>
        </w:tc>
        <w:tc>
          <w:tcPr>
            <w:tcW w:type="dxa" w:w="47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Scenario</w:t>
            </w:r>
          </w:p>
        </w:tc>
      </w:tr>
      <w:tr>
        <w:tc>
          <w:tcPr>
            <w:tcW w:type="dxa" w:w="4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mobility_twin_monthly_state.csv</w:t>
            </w:r>
          </w:p>
        </w:tc>
        <w:tc>
          <w:tcPr>
            <w:tcW w:type="dxa" w:w="4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Scenario × month × license class</w:t>
            </w:r>
          </w:p>
        </w:tc>
      </w:tr>
      <w:tr>
        <w:tc>
          <w:tcPr>
            <w:tcW w:type="dxa" w:w="46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mobility_twin_config.json</w:t>
            </w:r>
          </w:p>
        </w:tc>
        <w:tc>
          <w:tcPr>
            <w:tcW w:type="dxa" w:w="47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Run</w:t>
            </w:r>
          </w:p>
        </w:tc>
      </w:tr>
    </w:tbl>
    <w:p>
      <w:pPr>
        <w:pStyle w:val="Heading1"/>
      </w:pPr>
      <w:r>
        <w:t>4. Non-functional requirements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766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MNFR-001</w:t>
            </w:r>
          </w:p>
        </w:tc>
        <w:tc>
          <w:tcPr>
            <w:tcW w:type="dxa" w:w="7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Reference workload completes within the approved batch window; initial target &lt;=10 minutes.</w:t>
            </w:r>
          </w:p>
        </w:tc>
      </w:tr>
      <w:t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MNFR-002</w:t>
            </w:r>
          </w:p>
        </w:tc>
        <w:tc>
          <w:tcPr>
            <w:tcW w:type="dxa" w:w="76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Identical input, code, parameters, and seed produce identical values.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MNFR-003</w:t>
            </w:r>
          </w:p>
        </w:tc>
        <w:tc>
          <w:tcPr>
            <w:tcW w:type="dxa" w:w="7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Critical-field validity and month/license uniqueness equal 100%.</w:t>
            </w:r>
          </w:p>
        </w:tc>
      </w:tr>
      <w:t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MNFR-004</w:t>
            </w:r>
          </w:p>
        </w:tc>
        <w:tc>
          <w:tcPr>
            <w:tcW w:type="dxa" w:w="76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Failed runs do not overwrite the last approved output set.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MNFR-005</w:t>
            </w:r>
          </w:p>
        </w:tc>
        <w:tc>
          <w:tcPr>
            <w:tcW w:type="dxa" w:w="7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Policy modification and publication use role-based access and audit logs.</w:t>
            </w:r>
          </w:p>
        </w:tc>
      </w:tr>
      <w:t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MNFR-006</w:t>
            </w:r>
          </w:p>
        </w:tc>
        <w:tc>
          <w:tcPr>
            <w:tcW w:type="dxa" w:w="76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Power BI shows freshness, coverage, scenario, and simulation disclaimers.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MNFR-007</w:t>
            </w:r>
          </w:p>
        </w:tc>
        <w:tc>
          <w:tcPr>
            <w:tcW w:type="dxa" w:w="7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Dependencies are version controlled and calculations are unit tested.</w:t>
            </w:r>
          </w:p>
        </w:tc>
      </w:tr>
      <w:t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MNFR-008</w:t>
            </w:r>
          </w:p>
        </w:tc>
        <w:tc>
          <w:tcPr>
            <w:tcW w:type="dxa" w:w="76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Logs contain source version, timestamps, counts, parameters, duration, and status.</w:t>
            </w:r>
          </w:p>
        </w:tc>
      </w:tr>
    </w:tbl>
    <w:p>
      <w:pPr>
        <w:pStyle w:val="Heading1"/>
      </w:pPr>
      <w:r>
        <w:t>5. Acceptance tests and traceability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c>
          <w:tcPr>
            <w:tcW w:type="dxa" w:w="330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Test</w:t>
            </w:r>
          </w:p>
        </w:tc>
        <w:tc>
          <w:tcPr>
            <w:tcW w:type="dxa" w:w="606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Valid source run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All four outputs produced with expected schemas</w:t>
            </w:r>
          </w:p>
        </w:tc>
      </w:tr>
      <w:tr>
        <w:tc>
          <w:tcPr>
            <w:tcW w:type="dxa" w:w="33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Missing critical field</w:t>
            </w:r>
          </w:p>
        </w:tc>
        <w:tc>
          <w:tcPr>
            <w:tcW w:type="dxa" w:w="60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Run stops with clear error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Duplicate key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Run stops and identifies month/license duplicates</w:t>
            </w:r>
          </w:p>
        </w:tc>
      </w:tr>
      <w:tr>
        <w:tc>
          <w:tcPr>
            <w:tcW w:type="dxa" w:w="33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Fixed seed</w:t>
            </w:r>
          </w:p>
        </w:tc>
        <w:tc>
          <w:tcPr>
            <w:tcW w:type="dxa" w:w="60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Repeated run produces equivalent outputs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Capacity constraint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Served &lt;= demand and served &lt;= capacity</w:t>
            </w:r>
          </w:p>
        </w:tc>
      </w:tr>
      <w:tr>
        <w:tc>
          <w:tcPr>
            <w:tcW w:type="dxa" w:w="33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Partial fare</w:t>
            </w:r>
          </w:p>
        </w:tc>
        <w:tc>
          <w:tcPr>
            <w:tcW w:type="dxa" w:w="60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Uncovered classes remain null; no invented fare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Scenario aggregation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Mean/P05/P95 reconcile independently</w:t>
            </w:r>
          </w:p>
        </w:tc>
      </w:tr>
      <w:tr>
        <w:tc>
          <w:tcPr>
            <w:tcW w:type="dxa" w:w="33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Power BI load</w:t>
            </w:r>
          </w:p>
        </w:tc>
        <w:tc>
          <w:tcPr>
            <w:tcW w:type="dxa" w:w="60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Files load with stable types and relationships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Advisory control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No operational write is attempted</w:t>
            </w:r>
          </w:p>
        </w:tc>
      </w:tr>
      <w:tr>
        <w:tc>
          <w:tcPr>
            <w:tcW w:type="dxa" w:w="33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Performance</w:t>
            </w:r>
          </w:p>
        </w:tc>
        <w:tc>
          <w:tcPr>
            <w:tcW w:type="dxa" w:w="60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Reference workload meets batch target</w:t>
            </w:r>
          </w:p>
        </w:tc>
      </w:tr>
    </w:tbl>
    <w:p>
      <w:pPr>
        <w:pStyle w:val="ListBullet"/>
      </w:pPr>
      <w:r>
        <w:t>MBR-001/002 → MFR-002–005 and MFR-008–011.</w:t>
      </w:r>
    </w:p>
    <w:p>
      <w:pPr>
        <w:pStyle w:val="ListBullet"/>
      </w:pPr>
      <w:r>
        <w:t>MBR-003/004 → MFR-003, MFR-006, and scenario state outputs.</w:t>
      </w:r>
    </w:p>
    <w:p>
      <w:pPr>
        <w:pStyle w:val="ListBullet"/>
      </w:pPr>
      <w:r>
        <w:t>MBR-005/006 → MFR-007 and emissions/shared-trip calculations.</w:t>
      </w:r>
    </w:p>
    <w:p>
      <w:pPr>
        <w:pStyle w:val="ListBullet"/>
      </w:pPr>
      <w:r>
        <w:t>MBR-008/009 → MFR-010, MFR-012, MFR-013, and non-functional controls.</w:t>
      </w:r>
    </w:p>
    <w:p>
      <w:pPr>
        <w:pStyle w:val="ListBullet"/>
      </w:pPr>
      <w:r>
        <w:t>MBR-010 → MFR-014 and layered interface design.</w:t>
      </w:r>
    </w:p>
    <w:p>
      <w:pPr>
        <w:pStyle w:val="Heading1"/>
      </w:pPr>
      <w:r>
        <w:t>6. Deployment and production gaps</w:t>
      </w:r>
    </w:p>
    <w:p>
      <w:pPr>
        <w:pStyle w:val="ListBullet"/>
      </w:pPr>
      <w:r>
        <w:t>Schedule cleaning, validation, warehouse load, twin execution, output validation, and Power BI refresh as one monitored dependency chain.</w:t>
      </w:r>
    </w:p>
    <w:p>
      <w:pPr>
        <w:pStyle w:val="ListBullet"/>
      </w:pPr>
      <w:r>
        <w:t>Publish atomically and retain the last approved run for rollback.</w:t>
      </w:r>
    </w:p>
    <w:p>
      <w:pPr>
        <w:pStyle w:val="ListBullet"/>
      </w:pPr>
      <w:r>
        <w:t>Add unit/integration tests, structured logs, source/output versioning, and alerts.</w:t>
      </w:r>
    </w:p>
    <w:p>
      <w:pPr>
        <w:pStyle w:val="ListBullet"/>
      </w:pPr>
      <w:r>
        <w:t>For production, add zone and event grain, intraday demand, actual fleet availability, incidents/weather, costs, certified emissions factors, privacy review, disaster recovery, and support SLAs.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9636E"/>
        <w:sz w:val="18"/>
      </w:rPr>
      <w:t>Controlled project document  |  Version 1.0  |  17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59636E"/>
        <w:sz w:val="18"/>
      </w:rPr>
      <w:t>SUPPLY CHAIN INTELLIGENCE HUB  |  FUNCTIONAL REQUIREMENTS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quirementID">
    <w:name w:val="Requirement ID"/>
    <w:pPr>
      <w:keepNext/>
      <w:spacing w:before="160" w:after="40"/>
    </w:pPr>
    <w:rPr>
      <w:rFonts w:ascii="Calibri" w:hAnsi="Calibri"/>
      <w:b/>
      <w:color w:val="17324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