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i w:val="0"/>
          <w:color w:val="C69214"/>
          <w:sz w:val="20"/>
        </w:rPr>
        <w:t>UM-DTR-001</w:t>
      </w:r>
    </w:p>
    <w:p>
      <w:pPr>
        <w:spacing w:after="80"/>
      </w:pPr>
      <w:r>
        <w:rPr>
          <w:rFonts w:ascii="Calibri" w:hAnsi="Calibri"/>
          <w:b/>
          <w:i w:val="0"/>
          <w:color w:val="17324D"/>
          <w:sz w:val="56"/>
        </w:rPr>
        <w:t>Urban Mobility Digital Twin Report</w:t>
      </w:r>
    </w:p>
    <w:p>
      <w:pPr>
        <w:spacing w:after="400"/>
      </w:pPr>
      <w:r>
        <w:rPr>
          <w:rFonts w:ascii="Calibri" w:hAnsi="Calibri"/>
          <w:b w:val="0"/>
          <w:i w:val="0"/>
          <w:color w:val="167D8D"/>
          <w:sz w:val="28"/>
        </w:rPr>
        <w:t>Enterprise Mobility Intelligence — scenario simulation and implementation roadmap</w:t>
      </w:r>
    </w:p>
    <w:p>
      <w:pPr>
        <w:spacing w:after="60"/>
      </w:pPr>
      <w:r>
        <w:rPr>
          <w:rFonts w:ascii="Calibri" w:hAnsi="Calibri"/>
          <w:b/>
          <w:i w:val="0"/>
          <w:color w:val="17324D"/>
          <w:sz w:val="21"/>
        </w:rPr>
        <w:t xml:space="preserve">Project: </w:t>
      </w:r>
      <w:r>
        <w:rPr>
          <w:rFonts w:ascii="Calibri" w:hAnsi="Calibri"/>
          <w:b w:val="0"/>
          <w:i w:val="0"/>
          <w:color w:val="222222"/>
          <w:sz w:val="21"/>
        </w:rPr>
        <w:t>Supply Chain Intelligence Hub and Digital Twin</w:t>
      </w:r>
    </w:p>
    <w:p>
      <w:pPr>
        <w:spacing w:after="60"/>
      </w:pPr>
      <w:r>
        <w:rPr>
          <w:rFonts w:ascii="Calibri" w:hAnsi="Calibri"/>
          <w:b/>
          <w:i w:val="0"/>
          <w:color w:val="17324D"/>
          <w:sz w:val="21"/>
        </w:rPr>
        <w:t xml:space="preserve">Document owner: </w:t>
      </w:r>
      <w:r>
        <w:rPr>
          <w:rFonts w:ascii="Calibri" w:hAnsi="Calibri"/>
          <w:b w:val="0"/>
          <w:i w:val="0"/>
          <w:color w:val="222222"/>
          <w:sz w:val="21"/>
        </w:rPr>
        <w:t>Business Analysis / Product Management</w:t>
      </w:r>
    </w:p>
    <w:p>
      <w:pPr>
        <w:spacing w:after="60"/>
      </w:pPr>
      <w:r>
        <w:rPr>
          <w:rFonts w:ascii="Calibri" w:hAnsi="Calibri"/>
          <w:b/>
          <w:i w:val="0"/>
          <w:color w:val="17324D"/>
          <w:sz w:val="21"/>
        </w:rPr>
        <w:t xml:space="preserve">Version: </w:t>
      </w:r>
      <w:r>
        <w:rPr>
          <w:rFonts w:ascii="Calibri" w:hAnsi="Calibri"/>
          <w:b w:val="0"/>
          <w:i w:val="0"/>
          <w:color w:val="222222"/>
          <w:sz w:val="21"/>
        </w:rPr>
        <w:t>1.0</w:t>
      </w:r>
    </w:p>
    <w:p>
      <w:pPr>
        <w:spacing w:after="60"/>
      </w:pPr>
      <w:r>
        <w:rPr>
          <w:rFonts w:ascii="Calibri" w:hAnsi="Calibri"/>
          <w:b/>
          <w:i w:val="0"/>
          <w:color w:val="17324D"/>
          <w:sz w:val="21"/>
        </w:rPr>
        <w:t xml:space="preserve">Status: </w:t>
      </w:r>
      <w:r>
        <w:rPr>
          <w:rFonts w:ascii="Calibri" w:hAnsi="Calibri"/>
          <w:b w:val="0"/>
          <w:i w:val="0"/>
          <w:color w:val="222222"/>
          <w:sz w:val="21"/>
        </w:rPr>
        <w:t>Draft for stakeholder review</w:t>
      </w:r>
    </w:p>
    <w:p>
      <w:pPr>
        <w:spacing w:after="60"/>
      </w:pPr>
      <w:r>
        <w:rPr>
          <w:rFonts w:ascii="Calibri" w:hAnsi="Calibri"/>
          <w:b/>
          <w:i w:val="0"/>
          <w:color w:val="17324D"/>
          <w:sz w:val="21"/>
        </w:rPr>
        <w:t xml:space="preserve">Date: </w:t>
      </w:r>
      <w:r>
        <w:rPr>
          <w:rFonts w:ascii="Calibri" w:hAnsi="Calibri"/>
          <w:b w:val="0"/>
          <w:i w:val="0"/>
          <w:color w:val="222222"/>
          <w:sz w:val="21"/>
        </w:rPr>
        <w:t>17 August 2026</w:t>
      </w:r>
    </w:p>
    <w:p>
      <w:pPr>
        <w:spacing w:after="60"/>
      </w:pPr>
      <w:r>
        <w:rPr>
          <w:rFonts w:ascii="Calibri" w:hAnsi="Calibri"/>
          <w:b/>
          <w:i w:val="0"/>
          <w:color w:val="17324D"/>
          <w:sz w:val="21"/>
        </w:rPr>
        <w:t xml:space="preserve">Classification: </w:t>
      </w:r>
      <w:r>
        <w:rPr>
          <w:rFonts w:ascii="Calibri" w:hAnsi="Calibri"/>
          <w:b w:val="0"/>
          <w:i w:val="0"/>
          <w:color w:val="222222"/>
          <w:sz w:val="21"/>
        </w:rPr>
        <w:t>Internal</w:t>
      </w:r>
    </w:p>
    <w:p>
      <w:pPr>
        <w:spacing w:before="400" w:after="160"/>
      </w:pPr>
      <w:r>
        <w:rPr>
          <w:rFonts w:ascii="Calibri" w:hAnsi="Calibri"/>
          <w:b/>
          <w:i w:val="0"/>
          <w:color w:val="2E74B5"/>
          <w:sz w:val="24"/>
        </w:rPr>
        <w:t>Document purpose</w:t>
      </w:r>
    </w:p>
    <w:p>
      <w:r>
        <w:t>This controlled document defines the approved scope and requirements for transforming the existing analytics notebook and Power BI dashboard into a governed, scenario-based supply-chain digital twin.</w:t>
      </w:r>
    </w:p>
    <w:p>
      <w:pPr>
        <w:spacing w:before="360"/>
        <w:shd w:fill="E8EEF5"/>
      </w:pPr>
      <w:r>
        <w:rPr>
          <w:rFonts w:ascii="Calibri" w:hAnsi="Calibri"/>
          <w:b/>
          <w:i w:val="0"/>
          <w:color w:val="17324D"/>
          <w:sz w:val="22"/>
        </w:rPr>
        <w:t xml:space="preserve">Approval gate: </w:t>
      </w:r>
      <w:r>
        <w:rPr>
          <w:rFonts w:ascii="Calibri" w:hAnsi="Calibri"/>
          <w:b w:val="0"/>
          <w:i w:val="0"/>
          <w:color w:val="222222"/>
          <w:sz w:val="22"/>
        </w:rPr>
        <w:t>Requirements become baselined only after Business Owner, Operations, Finance, Data/Technology, and Quality approval.</w:t>
      </w:r>
    </w:p>
    <w:p>
      <w:r>
        <w:br w:type="page"/>
      </w:r>
    </w:p>
    <w:p>
      <w:pPr>
        <w:pStyle w:val="Heading1"/>
      </w:pPr>
      <w:r>
        <w:t>1. Executive result</w:t>
      </w:r>
    </w:p>
    <w:p>
      <w:r>
        <w:t>The existing solution is a strong analytics pipeline: it ingests and cleans monthly TLC mobility data, validates quality, models the dataset in Snowflake SQL, and presents executive KPIs in Power BI. The added digital twin converts that historical view into a forward-looking capacity and service simulation by license class.</w:t>
      </w:r>
    </w:p>
    <w:p>
      <w:pPr>
        <w:shd w:fill="E8EEF5"/>
      </w:pPr>
      <w:r>
        <w:rPr>
          <w:rFonts w:ascii="Calibri" w:hAnsi="Calibri"/>
          <w:b/>
          <w:i w:val="0"/>
          <w:color w:val="17324D"/>
          <w:sz w:val="22"/>
        </w:rPr>
        <w:t xml:space="preserve">Recommendation: </w:t>
      </w:r>
      <w:r>
        <w:rPr>
          <w:rFonts w:ascii="Calibri" w:hAnsi="Calibri"/>
          <w:b w:val="0"/>
          <w:i w:val="0"/>
          <w:color w:val="222222"/>
          <w:sz w:val="22"/>
        </w:rPr>
        <w:t>Pilot the Balanced policy as the operational default, use Transit Priority as the high-service target, and apply Sustainability measures as a parallel emissions and shared-mobility program.</w:t>
      </w:r>
    </w:p>
    <w:tbl>
      <w:tblPr>
        <w:tblStyle w:val="TableGrid"/>
        <w:tblW w:type="dxa" w:w="9360"/>
        <w:tblLayout w:type="fixed"/>
        <w:tblLook w:firstColumn="1" w:firstRow="1" w:lastColumn="0" w:lastRow="0" w:noHBand="0" w:noVBand="1" w:val="04A0"/>
        <w:tblInd w:w="120" w:type="dxa"/>
      </w:tblPr>
      <w:tblGrid>
        <w:gridCol w:w="2400"/>
        <w:gridCol w:w="1600"/>
        <w:gridCol w:w="1750"/>
        <w:gridCol w:w="1900"/>
        <w:gridCol w:w="1710"/>
      </w:tblGrid>
      <w:tr>
        <w:tc>
          <w:tcPr>
            <w:tcW w:type="dxa" w:w="2400"/>
            <w:shd w:fill="17324D"/>
            <w:tcMar>
              <w:top w:w="100" w:type="dxa"/>
              <w:start w:w="120" w:type="dxa"/>
              <w:bottom w:w="100" w:type="dxa"/>
              <w:end w:w="120" w:type="dxa"/>
            </w:tcMar>
            <w:vAlign w:val="center"/>
          </w:tcPr>
          <w:p>
            <w:r>
              <w:rPr>
                <w:rFonts w:ascii="Calibri" w:hAnsi="Calibri"/>
                <w:b/>
                <w:i w:val="0"/>
                <w:color w:val="FFFFFF"/>
                <w:sz w:val="17"/>
              </w:rPr>
              <w:t>Outcome</w:t>
            </w:r>
          </w:p>
        </w:tc>
        <w:tc>
          <w:tcPr>
            <w:tcW w:type="dxa" w:w="1600"/>
            <w:shd w:fill="17324D"/>
            <w:tcMar>
              <w:top w:w="100" w:type="dxa"/>
              <w:start w:w="120" w:type="dxa"/>
              <w:bottom w:w="100" w:type="dxa"/>
              <w:end w:w="120" w:type="dxa"/>
            </w:tcMar>
            <w:vAlign w:val="center"/>
          </w:tcPr>
          <w:p>
            <w:r>
              <w:rPr>
                <w:rFonts w:ascii="Calibri" w:hAnsi="Calibri"/>
                <w:b/>
                <w:i w:val="0"/>
                <w:color w:val="FFFFFF"/>
                <w:sz w:val="17"/>
              </w:rPr>
              <w:t>Baseline</w:t>
            </w:r>
          </w:p>
        </w:tc>
        <w:tc>
          <w:tcPr>
            <w:tcW w:type="dxa" w:w="1750"/>
            <w:shd w:fill="17324D"/>
            <w:tcMar>
              <w:top w:w="100" w:type="dxa"/>
              <w:start w:w="120" w:type="dxa"/>
              <w:bottom w:w="100" w:type="dxa"/>
              <w:end w:w="120" w:type="dxa"/>
            </w:tcMar>
            <w:vAlign w:val="center"/>
          </w:tcPr>
          <w:p>
            <w:r>
              <w:rPr>
                <w:rFonts w:ascii="Calibri" w:hAnsi="Calibri"/>
                <w:b/>
                <w:i w:val="0"/>
                <w:color w:val="FFFFFF"/>
                <w:sz w:val="17"/>
              </w:rPr>
              <w:t>Balanced</w:t>
            </w:r>
          </w:p>
        </w:tc>
        <w:tc>
          <w:tcPr>
            <w:tcW w:type="dxa" w:w="1900"/>
            <w:shd w:fill="17324D"/>
            <w:tcMar>
              <w:top w:w="100" w:type="dxa"/>
              <w:start w:w="120" w:type="dxa"/>
              <w:bottom w:w="100" w:type="dxa"/>
              <w:end w:w="120" w:type="dxa"/>
            </w:tcMar>
            <w:vAlign w:val="center"/>
          </w:tcPr>
          <w:p>
            <w:r>
              <w:rPr>
                <w:rFonts w:ascii="Calibri" w:hAnsi="Calibri"/>
                <w:b/>
                <w:i w:val="0"/>
                <w:color w:val="FFFFFF"/>
                <w:sz w:val="17"/>
              </w:rPr>
              <w:t>Transit Priority</w:t>
            </w:r>
          </w:p>
        </w:tc>
        <w:tc>
          <w:tcPr>
            <w:tcW w:type="dxa" w:w="1710"/>
            <w:shd w:fill="17324D"/>
            <w:tcMar>
              <w:top w:w="100" w:type="dxa"/>
              <w:start w:w="120" w:type="dxa"/>
              <w:bottom w:w="100" w:type="dxa"/>
              <w:end w:w="120" w:type="dxa"/>
            </w:tcMar>
            <w:vAlign w:val="center"/>
          </w:tcPr>
          <w:p>
            <w:r>
              <w:rPr>
                <w:rFonts w:ascii="Calibri" w:hAnsi="Calibri"/>
                <w:b/>
                <w:i w:val="0"/>
                <w:color w:val="FFFFFF"/>
                <w:sz w:val="17"/>
              </w:rPr>
              <w:t>Sustainability</w:t>
            </w:r>
          </w:p>
        </w:tc>
      </w:tr>
      <w:tr>
        <w:tc>
          <w:tcPr>
            <w:tcW w:type="dxa" w:w="2400"/>
            <w:tcMar>
              <w:top w:w="100" w:type="dxa"/>
              <w:start w:w="120" w:type="dxa"/>
              <w:bottom w:w="100" w:type="dxa"/>
              <w:end w:w="120" w:type="dxa"/>
            </w:tcMar>
            <w:vAlign w:val="center"/>
          </w:tcPr>
          <w:p>
            <w:r>
              <w:rPr>
                <w:rFonts w:ascii="Calibri" w:hAnsi="Calibri"/>
                <w:b w:val="0"/>
                <w:i w:val="0"/>
                <w:color w:val="222222"/>
                <w:sz w:val="17"/>
              </w:rPr>
              <w:t>Service rate</w:t>
            </w:r>
          </w:p>
        </w:tc>
        <w:tc>
          <w:tcPr>
            <w:tcW w:type="dxa" w:w="1600"/>
            <w:tcMar>
              <w:top w:w="100" w:type="dxa"/>
              <w:start w:w="120" w:type="dxa"/>
              <w:bottom w:w="100" w:type="dxa"/>
              <w:end w:w="120" w:type="dxa"/>
            </w:tcMar>
            <w:vAlign w:val="center"/>
          </w:tcPr>
          <w:p>
            <w:r>
              <w:rPr>
                <w:rFonts w:ascii="Calibri" w:hAnsi="Calibri"/>
                <w:b w:val="0"/>
                <w:i w:val="0"/>
                <w:color w:val="222222"/>
                <w:sz w:val="17"/>
              </w:rPr>
              <w:t>95.1%</w:t>
            </w:r>
          </w:p>
        </w:tc>
        <w:tc>
          <w:tcPr>
            <w:tcW w:type="dxa" w:w="1750"/>
            <w:tcMar>
              <w:top w:w="100" w:type="dxa"/>
              <w:start w:w="120" w:type="dxa"/>
              <w:bottom w:w="100" w:type="dxa"/>
              <w:end w:w="120" w:type="dxa"/>
            </w:tcMar>
            <w:vAlign w:val="center"/>
          </w:tcPr>
          <w:p>
            <w:r>
              <w:rPr>
                <w:rFonts w:ascii="Calibri" w:hAnsi="Calibri"/>
                <w:b w:val="0"/>
                <w:i w:val="0"/>
                <w:color w:val="222222"/>
                <w:sz w:val="17"/>
              </w:rPr>
              <w:t>99.7%</w:t>
            </w:r>
          </w:p>
        </w:tc>
        <w:tc>
          <w:tcPr>
            <w:tcW w:type="dxa" w:w="1900"/>
            <w:tcMar>
              <w:top w:w="100" w:type="dxa"/>
              <w:start w:w="120" w:type="dxa"/>
              <w:bottom w:w="100" w:type="dxa"/>
              <w:end w:w="120" w:type="dxa"/>
            </w:tcMar>
            <w:vAlign w:val="center"/>
          </w:tcPr>
          <w:p>
            <w:r>
              <w:rPr>
                <w:rFonts w:ascii="Calibri" w:hAnsi="Calibri"/>
                <w:b w:val="0"/>
                <w:i w:val="0"/>
                <w:color w:val="222222"/>
                <w:sz w:val="17"/>
              </w:rPr>
              <w:t>99.9%</w:t>
            </w:r>
          </w:p>
        </w:tc>
        <w:tc>
          <w:tcPr>
            <w:tcW w:type="dxa" w:w="1710"/>
            <w:tcMar>
              <w:top w:w="100" w:type="dxa"/>
              <w:start w:w="120" w:type="dxa"/>
              <w:bottom w:w="100" w:type="dxa"/>
              <w:end w:w="120" w:type="dxa"/>
            </w:tcMar>
            <w:vAlign w:val="center"/>
          </w:tcPr>
          <w:p>
            <w:r>
              <w:rPr>
                <w:rFonts w:ascii="Calibri" w:hAnsi="Calibri"/>
                <w:b w:val="0"/>
                <w:i w:val="0"/>
                <w:color w:val="222222"/>
                <w:sz w:val="17"/>
              </w:rPr>
              <w:t>96.8%</w:t>
            </w:r>
          </w:p>
        </w:tc>
      </w:tr>
      <w:tr>
        <w:tc>
          <w:tcPr>
            <w:tcW w:type="dxa" w:w="2400"/>
            <w:shd w:fill="F2F4F7"/>
            <w:tcMar>
              <w:top w:w="100" w:type="dxa"/>
              <w:start w:w="120" w:type="dxa"/>
              <w:bottom w:w="100" w:type="dxa"/>
              <w:end w:w="120" w:type="dxa"/>
            </w:tcMar>
            <w:vAlign w:val="center"/>
          </w:tcPr>
          <w:p>
            <w:r>
              <w:rPr>
                <w:rFonts w:ascii="Calibri" w:hAnsi="Calibri"/>
                <w:b w:val="0"/>
                <w:i w:val="0"/>
                <w:color w:val="222222"/>
                <w:sz w:val="17"/>
              </w:rPr>
              <w:t>Unmet trips/day</w:t>
            </w:r>
          </w:p>
        </w:tc>
        <w:tc>
          <w:tcPr>
            <w:tcW w:type="dxa" w:w="1600"/>
            <w:shd w:fill="F2F4F7"/>
            <w:tcMar>
              <w:top w:w="100" w:type="dxa"/>
              <w:start w:w="120" w:type="dxa"/>
              <w:bottom w:w="100" w:type="dxa"/>
              <w:end w:w="120" w:type="dxa"/>
            </w:tcMar>
            <w:vAlign w:val="center"/>
          </w:tcPr>
          <w:p>
            <w:r>
              <w:rPr>
                <w:rFonts w:ascii="Calibri" w:hAnsi="Calibri"/>
                <w:b w:val="0"/>
                <w:i w:val="0"/>
                <w:color w:val="222222"/>
                <w:sz w:val="17"/>
              </w:rPr>
              <w:t>46,319</w:t>
            </w:r>
          </w:p>
        </w:tc>
        <w:tc>
          <w:tcPr>
            <w:tcW w:type="dxa" w:w="1750"/>
            <w:shd w:fill="F2F4F7"/>
            <w:tcMar>
              <w:top w:w="100" w:type="dxa"/>
              <w:start w:w="120" w:type="dxa"/>
              <w:bottom w:w="100" w:type="dxa"/>
              <w:end w:w="120" w:type="dxa"/>
            </w:tcMar>
            <w:vAlign w:val="center"/>
          </w:tcPr>
          <w:p>
            <w:r>
              <w:rPr>
                <w:rFonts w:ascii="Calibri" w:hAnsi="Calibri"/>
                <w:b w:val="0"/>
                <w:i w:val="0"/>
                <w:color w:val="222222"/>
                <w:sz w:val="17"/>
              </w:rPr>
              <w:t>3,372</w:t>
            </w:r>
          </w:p>
        </w:tc>
        <w:tc>
          <w:tcPr>
            <w:tcW w:type="dxa" w:w="1900"/>
            <w:shd w:fill="F2F4F7"/>
            <w:tcMar>
              <w:top w:w="100" w:type="dxa"/>
              <w:start w:w="120" w:type="dxa"/>
              <w:bottom w:w="100" w:type="dxa"/>
              <w:end w:w="120" w:type="dxa"/>
            </w:tcMar>
            <w:vAlign w:val="center"/>
          </w:tcPr>
          <w:p>
            <w:r>
              <w:rPr>
                <w:rFonts w:ascii="Calibri" w:hAnsi="Calibri"/>
                <w:b w:val="0"/>
                <w:i w:val="0"/>
                <w:color w:val="222222"/>
                <w:sz w:val="17"/>
              </w:rPr>
              <w:t>1,092</w:t>
            </w:r>
          </w:p>
        </w:tc>
        <w:tc>
          <w:tcPr>
            <w:tcW w:type="dxa" w:w="1710"/>
            <w:shd w:fill="F2F4F7"/>
            <w:tcMar>
              <w:top w:w="100" w:type="dxa"/>
              <w:start w:w="120" w:type="dxa"/>
              <w:bottom w:w="100" w:type="dxa"/>
              <w:end w:w="120" w:type="dxa"/>
            </w:tcMar>
            <w:vAlign w:val="center"/>
          </w:tcPr>
          <w:p>
            <w:r>
              <w:rPr>
                <w:rFonts w:ascii="Calibri" w:hAnsi="Calibri"/>
                <w:b w:val="0"/>
                <w:i w:val="0"/>
                <w:color w:val="222222"/>
                <w:sz w:val="17"/>
              </w:rPr>
              <w:t>31,050</w:t>
            </w:r>
          </w:p>
        </w:tc>
      </w:tr>
      <w:tr>
        <w:tc>
          <w:tcPr>
            <w:tcW w:type="dxa" w:w="2400"/>
            <w:tcMar>
              <w:top w:w="100" w:type="dxa"/>
              <w:start w:w="120" w:type="dxa"/>
              <w:bottom w:w="100" w:type="dxa"/>
              <w:end w:w="120" w:type="dxa"/>
            </w:tcMar>
            <w:vAlign w:val="center"/>
          </w:tcPr>
          <w:p>
            <w:r>
              <w:rPr>
                <w:rFonts w:ascii="Calibri" w:hAnsi="Calibri"/>
                <w:b w:val="0"/>
                <w:i w:val="0"/>
                <w:color w:val="222222"/>
                <w:sz w:val="17"/>
              </w:rPr>
              <w:t>Served trips/day</w:t>
            </w:r>
          </w:p>
        </w:tc>
        <w:tc>
          <w:tcPr>
            <w:tcW w:type="dxa" w:w="1600"/>
            <w:tcMar>
              <w:top w:w="100" w:type="dxa"/>
              <w:start w:w="120" w:type="dxa"/>
              <w:bottom w:w="100" w:type="dxa"/>
              <w:end w:w="120" w:type="dxa"/>
            </w:tcMar>
            <w:vAlign w:val="center"/>
          </w:tcPr>
          <w:p>
            <w:r>
              <w:rPr>
                <w:rFonts w:ascii="Calibri" w:hAnsi="Calibri"/>
                <w:b w:val="0"/>
                <w:i w:val="0"/>
                <w:color w:val="222222"/>
                <w:sz w:val="17"/>
              </w:rPr>
              <w:t>895,348</w:t>
            </w:r>
          </w:p>
        </w:tc>
        <w:tc>
          <w:tcPr>
            <w:tcW w:type="dxa" w:w="1750"/>
            <w:tcMar>
              <w:top w:w="100" w:type="dxa"/>
              <w:start w:w="120" w:type="dxa"/>
              <w:bottom w:w="100" w:type="dxa"/>
              <w:end w:w="120" w:type="dxa"/>
            </w:tcMar>
            <w:vAlign w:val="center"/>
          </w:tcPr>
          <w:p>
            <w:r>
              <w:rPr>
                <w:rFonts w:ascii="Calibri" w:hAnsi="Calibri"/>
                <w:b w:val="0"/>
                <w:i w:val="0"/>
                <w:color w:val="222222"/>
                <w:sz w:val="17"/>
              </w:rPr>
              <w:t>966,355</w:t>
            </w:r>
          </w:p>
        </w:tc>
        <w:tc>
          <w:tcPr>
            <w:tcW w:type="dxa" w:w="1900"/>
            <w:tcMar>
              <w:top w:w="100" w:type="dxa"/>
              <w:start w:w="120" w:type="dxa"/>
              <w:bottom w:w="100" w:type="dxa"/>
              <w:end w:w="120" w:type="dxa"/>
            </w:tcMar>
            <w:vAlign w:val="center"/>
          </w:tcPr>
          <w:p>
            <w:r>
              <w:rPr>
                <w:rFonts w:ascii="Calibri" w:hAnsi="Calibri"/>
                <w:b w:val="0"/>
                <w:i w:val="0"/>
                <w:color w:val="222222"/>
                <w:sz w:val="17"/>
              </w:rPr>
              <w:t>977,422</w:t>
            </w:r>
          </w:p>
        </w:tc>
        <w:tc>
          <w:tcPr>
            <w:tcW w:type="dxa" w:w="1710"/>
            <w:tcMar>
              <w:top w:w="100" w:type="dxa"/>
              <w:start w:w="120" w:type="dxa"/>
              <w:bottom w:w="100" w:type="dxa"/>
              <w:end w:w="120" w:type="dxa"/>
            </w:tcMar>
            <w:vAlign w:val="center"/>
          </w:tcPr>
          <w:p>
            <w:r>
              <w:rPr>
                <w:rFonts w:ascii="Calibri" w:hAnsi="Calibri"/>
                <w:b w:val="0"/>
                <w:i w:val="0"/>
                <w:color w:val="222222"/>
                <w:sz w:val="17"/>
              </w:rPr>
              <w:t>928,520</w:t>
            </w:r>
          </w:p>
        </w:tc>
      </w:tr>
      <w:tr>
        <w:tc>
          <w:tcPr>
            <w:tcW w:type="dxa" w:w="2400"/>
            <w:shd w:fill="F2F4F7"/>
            <w:tcMar>
              <w:top w:w="100" w:type="dxa"/>
              <w:start w:w="120" w:type="dxa"/>
              <w:bottom w:w="100" w:type="dxa"/>
              <w:end w:w="120" w:type="dxa"/>
            </w:tcMar>
            <w:vAlign w:val="center"/>
          </w:tcPr>
          <w:p>
            <w:r>
              <w:rPr>
                <w:rFonts w:ascii="Calibri" w:hAnsi="Calibri"/>
                <w:b w:val="0"/>
                <w:i w:val="0"/>
                <w:color w:val="222222"/>
                <w:sz w:val="17"/>
              </w:rPr>
              <w:t>Trip minutes</w:t>
            </w:r>
          </w:p>
        </w:tc>
        <w:tc>
          <w:tcPr>
            <w:tcW w:type="dxa" w:w="1600"/>
            <w:shd w:fill="F2F4F7"/>
            <w:tcMar>
              <w:top w:w="100" w:type="dxa"/>
              <w:start w:w="120" w:type="dxa"/>
              <w:bottom w:w="100" w:type="dxa"/>
              <w:end w:w="120" w:type="dxa"/>
            </w:tcMar>
            <w:vAlign w:val="center"/>
          </w:tcPr>
          <w:p>
            <w:r>
              <w:rPr>
                <w:rFonts w:ascii="Calibri" w:hAnsi="Calibri"/>
                <w:b w:val="0"/>
                <w:i w:val="0"/>
                <w:color w:val="222222"/>
                <w:sz w:val="17"/>
              </w:rPr>
              <w:t>20.0</w:t>
            </w:r>
          </w:p>
        </w:tc>
        <w:tc>
          <w:tcPr>
            <w:tcW w:type="dxa" w:w="1750"/>
            <w:shd w:fill="F2F4F7"/>
            <w:tcMar>
              <w:top w:w="100" w:type="dxa"/>
              <w:start w:w="120" w:type="dxa"/>
              <w:bottom w:w="100" w:type="dxa"/>
              <w:end w:w="120" w:type="dxa"/>
            </w:tcMar>
            <w:vAlign w:val="center"/>
          </w:tcPr>
          <w:p>
            <w:r>
              <w:rPr>
                <w:rFonts w:ascii="Calibri" w:hAnsi="Calibri"/>
                <w:b w:val="0"/>
                <w:i w:val="0"/>
                <w:color w:val="222222"/>
                <w:sz w:val="17"/>
              </w:rPr>
              <w:t>19.0</w:t>
            </w:r>
          </w:p>
        </w:tc>
        <w:tc>
          <w:tcPr>
            <w:tcW w:type="dxa" w:w="1900"/>
            <w:shd w:fill="F2F4F7"/>
            <w:tcMar>
              <w:top w:w="100" w:type="dxa"/>
              <w:start w:w="120" w:type="dxa"/>
              <w:bottom w:w="100" w:type="dxa"/>
              <w:end w:w="120" w:type="dxa"/>
            </w:tcMar>
            <w:vAlign w:val="center"/>
          </w:tcPr>
          <w:p>
            <w:r>
              <w:rPr>
                <w:rFonts w:ascii="Calibri" w:hAnsi="Calibri"/>
                <w:b w:val="0"/>
                <w:i w:val="0"/>
                <w:color w:val="222222"/>
                <w:sz w:val="17"/>
              </w:rPr>
              <w:t>18.4</w:t>
            </w:r>
          </w:p>
        </w:tc>
        <w:tc>
          <w:tcPr>
            <w:tcW w:type="dxa" w:w="1710"/>
            <w:shd w:fill="F2F4F7"/>
            <w:tcMar>
              <w:top w:w="100" w:type="dxa"/>
              <w:start w:w="120" w:type="dxa"/>
              <w:bottom w:w="100" w:type="dxa"/>
              <w:end w:w="120" w:type="dxa"/>
            </w:tcMar>
            <w:vAlign w:val="center"/>
          </w:tcPr>
          <w:p>
            <w:r>
              <w:rPr>
                <w:rFonts w:ascii="Calibri" w:hAnsi="Calibri"/>
                <w:b w:val="0"/>
                <w:i w:val="0"/>
                <w:color w:val="222222"/>
                <w:sz w:val="17"/>
              </w:rPr>
              <w:t>19.4</w:t>
            </w:r>
          </w:p>
        </w:tc>
      </w:tr>
      <w:tr>
        <w:tc>
          <w:tcPr>
            <w:tcW w:type="dxa" w:w="2400"/>
            <w:tcMar>
              <w:top w:w="100" w:type="dxa"/>
              <w:start w:w="120" w:type="dxa"/>
              <w:bottom w:w="100" w:type="dxa"/>
              <w:end w:w="120" w:type="dxa"/>
            </w:tcMar>
            <w:vAlign w:val="center"/>
          </w:tcPr>
          <w:p>
            <w:r>
              <w:rPr>
                <w:rFonts w:ascii="Calibri" w:hAnsi="Calibri"/>
                <w:b w:val="0"/>
                <w:i w:val="0"/>
                <w:color w:val="222222"/>
                <w:sz w:val="17"/>
              </w:rPr>
              <w:t>Shared trips/day</w:t>
            </w:r>
          </w:p>
        </w:tc>
        <w:tc>
          <w:tcPr>
            <w:tcW w:type="dxa" w:w="1600"/>
            <w:tcMar>
              <w:top w:w="100" w:type="dxa"/>
              <w:start w:w="120" w:type="dxa"/>
              <w:bottom w:w="100" w:type="dxa"/>
              <w:end w:w="120" w:type="dxa"/>
            </w:tcMar>
            <w:vAlign w:val="center"/>
          </w:tcPr>
          <w:p>
            <w:r>
              <w:rPr>
                <w:rFonts w:ascii="Calibri" w:hAnsi="Calibri"/>
                <w:b w:val="0"/>
                <w:i w:val="0"/>
                <w:color w:val="222222"/>
                <w:sz w:val="17"/>
              </w:rPr>
              <w:t>7,044</w:t>
            </w:r>
          </w:p>
        </w:tc>
        <w:tc>
          <w:tcPr>
            <w:tcW w:type="dxa" w:w="1750"/>
            <w:tcMar>
              <w:top w:w="100" w:type="dxa"/>
              <w:start w:w="120" w:type="dxa"/>
              <w:bottom w:w="100" w:type="dxa"/>
              <w:end w:w="120" w:type="dxa"/>
            </w:tcMar>
            <w:vAlign w:val="center"/>
          </w:tcPr>
          <w:p>
            <w:r>
              <w:rPr>
                <w:rFonts w:ascii="Calibri" w:hAnsi="Calibri"/>
                <w:b w:val="0"/>
                <w:i w:val="0"/>
                <w:color w:val="222222"/>
                <w:sz w:val="17"/>
              </w:rPr>
              <w:t>8,288</w:t>
            </w:r>
          </w:p>
        </w:tc>
        <w:tc>
          <w:tcPr>
            <w:tcW w:type="dxa" w:w="1900"/>
            <w:tcMar>
              <w:top w:w="100" w:type="dxa"/>
              <w:start w:w="120" w:type="dxa"/>
              <w:bottom w:w="100" w:type="dxa"/>
              <w:end w:w="120" w:type="dxa"/>
            </w:tcMar>
            <w:vAlign w:val="center"/>
          </w:tcPr>
          <w:p>
            <w:r>
              <w:rPr>
                <w:rFonts w:ascii="Calibri" w:hAnsi="Calibri"/>
                <w:b w:val="0"/>
                <w:i w:val="0"/>
                <w:color w:val="222222"/>
                <w:sz w:val="17"/>
              </w:rPr>
              <w:t>8,214</w:t>
            </w:r>
          </w:p>
        </w:tc>
        <w:tc>
          <w:tcPr>
            <w:tcW w:type="dxa" w:w="1710"/>
            <w:tcMar>
              <w:top w:w="100" w:type="dxa"/>
              <w:start w:w="120" w:type="dxa"/>
              <w:bottom w:w="100" w:type="dxa"/>
              <w:end w:w="120" w:type="dxa"/>
            </w:tcMar>
            <w:vAlign w:val="center"/>
          </w:tcPr>
          <w:p>
            <w:r>
              <w:rPr>
                <w:rFonts w:ascii="Calibri" w:hAnsi="Calibri"/>
                <w:b w:val="0"/>
                <w:i w:val="0"/>
                <w:color w:val="222222"/>
                <w:sz w:val="17"/>
              </w:rPr>
              <w:t>9,117</w:t>
            </w:r>
          </w:p>
        </w:tc>
      </w:tr>
      <w:tr>
        <w:tc>
          <w:tcPr>
            <w:tcW w:type="dxa" w:w="2400"/>
            <w:shd w:fill="F2F4F7"/>
            <w:tcMar>
              <w:top w:w="100" w:type="dxa"/>
              <w:start w:w="120" w:type="dxa"/>
              <w:bottom w:w="100" w:type="dxa"/>
              <w:end w:w="120" w:type="dxa"/>
            </w:tcMar>
            <w:vAlign w:val="center"/>
          </w:tcPr>
          <w:p>
            <w:r>
              <w:rPr>
                <w:rFonts w:ascii="Calibri" w:hAnsi="Calibri"/>
                <w:b w:val="0"/>
                <w:i w:val="0"/>
                <w:color w:val="222222"/>
                <w:sz w:val="17"/>
              </w:rPr>
              <w:t>Emissions index</w:t>
            </w:r>
          </w:p>
        </w:tc>
        <w:tc>
          <w:tcPr>
            <w:tcW w:type="dxa" w:w="1600"/>
            <w:shd w:fill="F2F4F7"/>
            <w:tcMar>
              <w:top w:w="100" w:type="dxa"/>
              <w:start w:w="120" w:type="dxa"/>
              <w:bottom w:w="100" w:type="dxa"/>
              <w:end w:w="120" w:type="dxa"/>
            </w:tcMar>
            <w:vAlign w:val="center"/>
          </w:tcPr>
          <w:p>
            <w:r>
              <w:rPr>
                <w:rFonts w:ascii="Calibri" w:hAnsi="Calibri"/>
                <w:b w:val="0"/>
                <w:i w:val="0"/>
                <w:color w:val="222222"/>
                <w:sz w:val="17"/>
              </w:rPr>
              <w:t>541,122</w:t>
            </w:r>
          </w:p>
        </w:tc>
        <w:tc>
          <w:tcPr>
            <w:tcW w:type="dxa" w:w="1750"/>
            <w:shd w:fill="F2F4F7"/>
            <w:tcMar>
              <w:top w:w="100" w:type="dxa"/>
              <w:start w:w="120" w:type="dxa"/>
              <w:bottom w:w="100" w:type="dxa"/>
              <w:end w:w="120" w:type="dxa"/>
            </w:tcMar>
            <w:vAlign w:val="center"/>
          </w:tcPr>
          <w:p>
            <w:r>
              <w:rPr>
                <w:rFonts w:ascii="Calibri" w:hAnsi="Calibri"/>
                <w:b w:val="0"/>
                <w:i w:val="0"/>
                <w:color w:val="222222"/>
                <w:sz w:val="17"/>
              </w:rPr>
              <w:t>517,828</w:t>
            </w:r>
          </w:p>
        </w:tc>
        <w:tc>
          <w:tcPr>
            <w:tcW w:type="dxa" w:w="1900"/>
            <w:shd w:fill="F2F4F7"/>
            <w:tcMar>
              <w:top w:w="100" w:type="dxa"/>
              <w:start w:w="120" w:type="dxa"/>
              <w:bottom w:w="100" w:type="dxa"/>
              <w:end w:w="120" w:type="dxa"/>
            </w:tcMar>
            <w:vAlign w:val="center"/>
          </w:tcPr>
          <w:p>
            <w:r>
              <w:rPr>
                <w:rFonts w:ascii="Calibri" w:hAnsi="Calibri"/>
                <w:b w:val="0"/>
                <w:i w:val="0"/>
                <w:color w:val="222222"/>
                <w:sz w:val="17"/>
              </w:rPr>
              <w:t>511,540</w:t>
            </w:r>
          </w:p>
        </w:tc>
        <w:tc>
          <w:tcPr>
            <w:tcW w:type="dxa" w:w="1710"/>
            <w:shd w:fill="F2F4F7"/>
            <w:tcMar>
              <w:top w:w="100" w:type="dxa"/>
              <w:start w:w="120" w:type="dxa"/>
              <w:bottom w:w="100" w:type="dxa"/>
              <w:end w:w="120" w:type="dxa"/>
            </w:tcMar>
            <w:vAlign w:val="center"/>
          </w:tcPr>
          <w:p>
            <w:r>
              <w:rPr>
                <w:rFonts w:ascii="Calibri" w:hAnsi="Calibri"/>
                <w:b w:val="0"/>
                <w:i w:val="0"/>
                <w:color w:val="222222"/>
                <w:sz w:val="17"/>
              </w:rPr>
              <w:t>409,336</w:t>
            </w:r>
          </w:p>
        </w:tc>
      </w:tr>
    </w:tbl>
    <w:p>
      <w:pPr>
        <w:pStyle w:val="Heading1"/>
      </w:pPr>
      <w:r>
        <w:t>2. Source project assessment</w:t>
      </w:r>
    </w:p>
    <w:p>
      <w:pPr>
        <w:pStyle w:val="ListBullet"/>
      </w:pPr>
      <w:r>
        <w:t>896 monthly records, six license classes, January 2010 through May 2026.</w:t>
      </w:r>
    </w:p>
    <w:p>
      <w:pPr>
        <w:pStyle w:val="ListBullet"/>
      </w:pPr>
      <w:r>
        <w:t>Python ingestion, cleaning, and validation scripts produce a 14-field processed monthly dataset.</w:t>
      </w:r>
    </w:p>
    <w:p>
      <w:pPr>
        <w:pStyle w:val="ListBullet"/>
      </w:pPr>
      <w:r>
        <w:t>Snowflake SQL creates the MONTHLY_MOBILITY table and analytical views for mobility and Power BI KPIs.</w:t>
      </w:r>
    </w:p>
    <w:p>
      <w:pPr>
        <w:pStyle w:val="ListBullet"/>
      </w:pPr>
      <w:r>
        <w:t>Power BI provides executive cards and trends for trips, drivers, vehicles, fare, and productivity.</w:t>
      </w:r>
    </w:p>
    <w:p>
      <w:pPr>
        <w:pStyle w:val="ListBullet"/>
      </w:pPr>
      <w:r>
        <w:t>Farebox, credit-card, and shared-trip fields are sparse by design and must not be treated as complete across all classes.</w:t>
      </w:r>
    </w:p>
    <w:p>
      <w:pPr>
        <w:pStyle w:val="Heading1"/>
      </w:pPr>
      <w:r>
        <w:t>3. Twin model</w:t>
      </w:r>
    </w:p>
    <w:p>
      <w:r>
        <w:t>Each license class is represented as a monthly state containing demand, active vehicles, drivers, trip duration, productive trips per vehicle, served and unmet demand, shared trips, farebox where covered, capacity pressure, and an operational emissions proxy. A capped recent trend and seasonal index set the demand baseline. Each policy changes demand, active fleet, driver supply, trip time, productivity, sharing, and emissions intensity. Five hundred Monte Carlo runs quantify stochastic uncertainty.</w:t>
      </w:r>
    </w:p>
    <w:p>
      <w:pPr>
        <w:pStyle w:val="Heading1"/>
      </w:pPr>
      <w:r>
        <w:t>4. Scenario insights</w:t>
      </w:r>
    </w:p>
    <w:p>
      <w:pPr>
        <w:pStyle w:val="ListBullet"/>
      </w:pPr>
      <w:r>
        <w:t>Transit Priority produces the highest modeled service: 99.9% and only 1,092 unmet trips/day, while reducing trip time by 1.6 minutes.</w:t>
      </w:r>
    </w:p>
    <w:p>
      <w:pPr>
        <w:pStyle w:val="ListBullet"/>
      </w:pPr>
      <w:r>
        <w:t>Balanced reaches 99.7% service with an emissions-index reduction of 4.3% and is the best pilot compromise.</w:t>
      </w:r>
    </w:p>
    <w:p>
      <w:pPr>
        <w:pStyle w:val="ListBullet"/>
      </w:pPr>
      <w:r>
        <w:t>Sustainability reduces the emissions proxy by 24.4% and raises shared trips by 29.4%, but leaves about 31,050 unmet trips/day.</w:t>
      </w:r>
    </w:p>
    <w:p>
      <w:pPr>
        <w:pStyle w:val="ListBullet"/>
      </w:pPr>
      <w:r>
        <w:t>The Disruption scenario shows material fragility: service falls to about 64.9%, providing a basis for fleet and driver contingency thresholds.</w:t>
      </w:r>
    </w:p>
    <w:p>
      <w:pPr>
        <w:pStyle w:val="ListBullet"/>
      </w:pPr>
      <w:r>
        <w:t>Farebox results cover only records with observed fare data; they should not be interpreted as total market revenue.</w:t>
      </w:r>
    </w:p>
    <w:p>
      <w:pPr>
        <w:pStyle w:val="Heading1"/>
      </w:pPr>
      <w:r>
        <w:t>5. Insight implementation</w:t>
      </w:r>
    </w:p>
    <w:tbl>
      <w:tblPr>
        <w:tblStyle w:val="TableGrid"/>
        <w:tblW w:type="dxa" w:w="9360"/>
        <w:tblLayout w:type="fixed"/>
        <w:tblLook w:firstColumn="1" w:firstRow="1" w:lastColumn="0" w:lastRow="0" w:noHBand="0" w:noVBand="1" w:val="04A0"/>
        <w:tblInd w:w="120" w:type="dxa"/>
      </w:tblPr>
      <w:tblGrid>
        <w:gridCol w:w="2200"/>
        <w:gridCol w:w="4700"/>
        <w:gridCol w:w="2460"/>
      </w:tblGrid>
      <w:tr>
        <w:tc>
          <w:tcPr>
            <w:tcW w:type="dxa" w:w="2200"/>
            <w:shd w:fill="17324D"/>
            <w:tcMar>
              <w:top w:w="100" w:type="dxa"/>
              <w:start w:w="120" w:type="dxa"/>
              <w:bottom w:w="100" w:type="dxa"/>
              <w:end w:w="120" w:type="dxa"/>
            </w:tcMar>
            <w:vAlign w:val="center"/>
          </w:tcPr>
          <w:p>
            <w:r>
              <w:rPr>
                <w:rFonts w:ascii="Calibri" w:hAnsi="Calibri"/>
                <w:b/>
                <w:i w:val="0"/>
                <w:color w:val="FFFFFF"/>
                <w:sz w:val="18"/>
              </w:rPr>
              <w:t>Insight</w:t>
            </w:r>
          </w:p>
        </w:tc>
        <w:tc>
          <w:tcPr>
            <w:tcW w:type="dxa" w:w="4700"/>
            <w:shd w:fill="17324D"/>
            <w:tcMar>
              <w:top w:w="100" w:type="dxa"/>
              <w:start w:w="120" w:type="dxa"/>
              <w:bottom w:w="100" w:type="dxa"/>
              <w:end w:w="120" w:type="dxa"/>
            </w:tcMar>
            <w:vAlign w:val="center"/>
          </w:tcPr>
          <w:p>
            <w:r>
              <w:rPr>
                <w:rFonts w:ascii="Calibri" w:hAnsi="Calibri"/>
                <w:b/>
                <w:i w:val="0"/>
                <w:color w:val="FFFFFF"/>
                <w:sz w:val="18"/>
              </w:rPr>
              <w:t>Operational action</w:t>
            </w:r>
          </w:p>
        </w:tc>
        <w:tc>
          <w:tcPr>
            <w:tcW w:type="dxa" w:w="2460"/>
            <w:shd w:fill="17324D"/>
            <w:tcMar>
              <w:top w:w="100" w:type="dxa"/>
              <w:start w:w="120" w:type="dxa"/>
              <w:bottom w:w="100" w:type="dxa"/>
              <w:end w:w="120" w:type="dxa"/>
            </w:tcMar>
            <w:vAlign w:val="center"/>
          </w:tcPr>
          <w:p>
            <w:r>
              <w:rPr>
                <w:rFonts w:ascii="Calibri" w:hAnsi="Calibri"/>
                <w:b/>
                <w:i w:val="0"/>
                <w:color w:val="FFFFFF"/>
                <w:sz w:val="18"/>
              </w:rPr>
              <w:t>Control metric</w:t>
            </w:r>
          </w:p>
        </w:tc>
      </w:tr>
      <w:tr>
        <w:tc>
          <w:tcPr>
            <w:tcW w:type="dxa" w:w="2200"/>
            <w:tcMar>
              <w:top w:w="100" w:type="dxa"/>
              <w:start w:w="120" w:type="dxa"/>
              <w:bottom w:w="100" w:type="dxa"/>
              <w:end w:w="120" w:type="dxa"/>
            </w:tcMar>
            <w:vAlign w:val="center"/>
          </w:tcPr>
          <w:p>
            <w:r>
              <w:rPr>
                <w:rFonts w:ascii="Calibri" w:hAnsi="Calibri"/>
                <w:b w:val="0"/>
                <w:i w:val="0"/>
                <w:color w:val="222222"/>
                <w:sz w:val="18"/>
              </w:rPr>
              <w:t>Capacity pressure</w:t>
            </w:r>
          </w:p>
        </w:tc>
        <w:tc>
          <w:tcPr>
            <w:tcW w:type="dxa" w:w="4700"/>
            <w:tcMar>
              <w:top w:w="100" w:type="dxa"/>
              <w:start w:w="120" w:type="dxa"/>
              <w:bottom w:w="100" w:type="dxa"/>
              <w:end w:w="120" w:type="dxa"/>
            </w:tcMar>
            <w:vAlign w:val="center"/>
          </w:tcPr>
          <w:p>
            <w:r>
              <w:rPr>
                <w:rFonts w:ascii="Calibri" w:hAnsi="Calibri"/>
                <w:b w:val="0"/>
                <w:i w:val="0"/>
                <w:color w:val="222222"/>
                <w:sz w:val="18"/>
              </w:rPr>
              <w:t>Reallocate active vehicles and driver incentives by license class/month</w:t>
            </w:r>
          </w:p>
        </w:tc>
        <w:tc>
          <w:tcPr>
            <w:tcW w:type="dxa" w:w="2460"/>
            <w:tcMar>
              <w:top w:w="100" w:type="dxa"/>
              <w:start w:w="120" w:type="dxa"/>
              <w:bottom w:w="100" w:type="dxa"/>
              <w:end w:w="120" w:type="dxa"/>
            </w:tcMar>
            <w:vAlign w:val="center"/>
          </w:tcPr>
          <w:p>
            <w:r>
              <w:rPr>
                <w:rFonts w:ascii="Calibri" w:hAnsi="Calibri"/>
                <w:b w:val="0"/>
                <w:i w:val="0"/>
                <w:color w:val="222222"/>
                <w:sz w:val="18"/>
              </w:rPr>
              <w:t>Pressure &lt;=1.0 and service &gt;= target</w:t>
            </w:r>
          </w:p>
        </w:tc>
      </w:tr>
      <w:tr>
        <w:tc>
          <w:tcPr>
            <w:tcW w:type="dxa" w:w="2200"/>
            <w:shd w:fill="F2F4F7"/>
            <w:tcMar>
              <w:top w:w="100" w:type="dxa"/>
              <w:start w:w="120" w:type="dxa"/>
              <w:bottom w:w="100" w:type="dxa"/>
              <w:end w:w="120" w:type="dxa"/>
            </w:tcMar>
            <w:vAlign w:val="center"/>
          </w:tcPr>
          <w:p>
            <w:r>
              <w:rPr>
                <w:rFonts w:ascii="Calibri" w:hAnsi="Calibri"/>
                <w:b w:val="0"/>
                <w:i w:val="0"/>
                <w:color w:val="222222"/>
                <w:sz w:val="18"/>
              </w:rPr>
              <w:t>Trip-time leverage</w:t>
            </w:r>
          </w:p>
        </w:tc>
        <w:tc>
          <w:tcPr>
            <w:tcW w:type="dxa" w:w="4700"/>
            <w:shd w:fill="F2F4F7"/>
            <w:tcMar>
              <w:top w:w="100" w:type="dxa"/>
              <w:start w:w="120" w:type="dxa"/>
              <w:bottom w:w="100" w:type="dxa"/>
              <w:end w:w="120" w:type="dxa"/>
            </w:tcMar>
            <w:vAlign w:val="center"/>
          </w:tcPr>
          <w:p>
            <w:r>
              <w:rPr>
                <w:rFonts w:ascii="Calibri" w:hAnsi="Calibri"/>
                <w:b w:val="0"/>
                <w:i w:val="0"/>
                <w:color w:val="222222"/>
                <w:sz w:val="18"/>
              </w:rPr>
              <w:t>Prioritize curb, dispatch, routing, and congestion interventions</w:t>
            </w:r>
          </w:p>
        </w:tc>
        <w:tc>
          <w:tcPr>
            <w:tcW w:type="dxa" w:w="2460"/>
            <w:shd w:fill="F2F4F7"/>
            <w:tcMar>
              <w:top w:w="100" w:type="dxa"/>
              <w:start w:w="120" w:type="dxa"/>
              <w:bottom w:w="100" w:type="dxa"/>
              <w:end w:w="120" w:type="dxa"/>
            </w:tcMar>
            <w:vAlign w:val="center"/>
          </w:tcPr>
          <w:p>
            <w:r>
              <w:rPr>
                <w:rFonts w:ascii="Calibri" w:hAnsi="Calibri"/>
                <w:b w:val="0"/>
                <w:i w:val="0"/>
                <w:color w:val="222222"/>
                <w:sz w:val="18"/>
              </w:rPr>
              <w:t>Weighted minutes/trip</w:t>
            </w:r>
          </w:p>
        </w:tc>
      </w:tr>
      <w:tr>
        <w:tc>
          <w:tcPr>
            <w:tcW w:type="dxa" w:w="2200"/>
            <w:tcMar>
              <w:top w:w="100" w:type="dxa"/>
              <w:start w:w="120" w:type="dxa"/>
              <w:bottom w:w="100" w:type="dxa"/>
              <w:end w:w="120" w:type="dxa"/>
            </w:tcMar>
            <w:vAlign w:val="center"/>
          </w:tcPr>
          <w:p>
            <w:r>
              <w:rPr>
                <w:rFonts w:ascii="Calibri" w:hAnsi="Calibri"/>
                <w:b w:val="0"/>
                <w:i w:val="0"/>
                <w:color w:val="222222"/>
                <w:sz w:val="18"/>
              </w:rPr>
              <w:t>Shared mobility</w:t>
            </w:r>
          </w:p>
        </w:tc>
        <w:tc>
          <w:tcPr>
            <w:tcW w:type="dxa" w:w="4700"/>
            <w:tcMar>
              <w:top w:w="100" w:type="dxa"/>
              <w:start w:w="120" w:type="dxa"/>
              <w:bottom w:w="100" w:type="dxa"/>
              <w:end w:w="120" w:type="dxa"/>
            </w:tcMar>
            <w:vAlign w:val="center"/>
          </w:tcPr>
          <w:p>
            <w:r>
              <w:rPr>
                <w:rFonts w:ascii="Calibri" w:hAnsi="Calibri"/>
                <w:b w:val="0"/>
                <w:i w:val="0"/>
                <w:color w:val="222222"/>
                <w:sz w:val="18"/>
              </w:rPr>
              <w:t>Promote shared service where demand and capacity permit</w:t>
            </w:r>
          </w:p>
        </w:tc>
        <w:tc>
          <w:tcPr>
            <w:tcW w:type="dxa" w:w="2460"/>
            <w:tcMar>
              <w:top w:w="100" w:type="dxa"/>
              <w:start w:w="120" w:type="dxa"/>
              <w:bottom w:w="100" w:type="dxa"/>
              <w:end w:w="120" w:type="dxa"/>
            </w:tcMar>
            <w:vAlign w:val="center"/>
          </w:tcPr>
          <w:p>
            <w:r>
              <w:rPr>
                <w:rFonts w:ascii="Calibri" w:hAnsi="Calibri"/>
                <w:b w:val="0"/>
                <w:i w:val="0"/>
                <w:color w:val="222222"/>
                <w:sz w:val="18"/>
              </w:rPr>
              <w:t>Shared trips and emissions index</w:t>
            </w:r>
          </w:p>
        </w:tc>
      </w:tr>
      <w:tr>
        <w:tc>
          <w:tcPr>
            <w:tcW w:type="dxa" w:w="2200"/>
            <w:shd w:fill="F2F4F7"/>
            <w:tcMar>
              <w:top w:w="100" w:type="dxa"/>
              <w:start w:w="120" w:type="dxa"/>
              <w:bottom w:w="100" w:type="dxa"/>
              <w:end w:w="120" w:type="dxa"/>
            </w:tcMar>
            <w:vAlign w:val="center"/>
          </w:tcPr>
          <w:p>
            <w:r>
              <w:rPr>
                <w:rFonts w:ascii="Calibri" w:hAnsi="Calibri"/>
                <w:b w:val="0"/>
                <w:i w:val="0"/>
                <w:color w:val="222222"/>
                <w:sz w:val="18"/>
              </w:rPr>
              <w:t>Resilience gap</w:t>
            </w:r>
          </w:p>
        </w:tc>
        <w:tc>
          <w:tcPr>
            <w:tcW w:type="dxa" w:w="4700"/>
            <w:shd w:fill="F2F4F7"/>
            <w:tcMar>
              <w:top w:w="100" w:type="dxa"/>
              <w:start w:w="120" w:type="dxa"/>
              <w:bottom w:w="100" w:type="dxa"/>
              <w:end w:w="120" w:type="dxa"/>
            </w:tcMar>
            <w:vAlign w:val="center"/>
          </w:tcPr>
          <w:p>
            <w:r>
              <w:rPr>
                <w:rFonts w:ascii="Calibri" w:hAnsi="Calibri"/>
                <w:b w:val="0"/>
                <w:i w:val="0"/>
                <w:color w:val="222222"/>
                <w:sz w:val="18"/>
              </w:rPr>
              <w:t>Predefine surge fleet, driver, and incident-response thresholds</w:t>
            </w:r>
          </w:p>
        </w:tc>
        <w:tc>
          <w:tcPr>
            <w:tcW w:type="dxa" w:w="2460"/>
            <w:shd w:fill="F2F4F7"/>
            <w:tcMar>
              <w:top w:w="100" w:type="dxa"/>
              <w:start w:w="120" w:type="dxa"/>
              <w:bottom w:w="100" w:type="dxa"/>
              <w:end w:w="120" w:type="dxa"/>
            </w:tcMar>
            <w:vAlign w:val="center"/>
          </w:tcPr>
          <w:p>
            <w:r>
              <w:rPr>
                <w:rFonts w:ascii="Calibri" w:hAnsi="Calibri"/>
                <w:b w:val="0"/>
                <w:i w:val="0"/>
                <w:color w:val="222222"/>
                <w:sz w:val="18"/>
              </w:rPr>
              <w:t>Service under disruption</w:t>
            </w:r>
          </w:p>
        </w:tc>
      </w:tr>
      <w:tr>
        <w:tc>
          <w:tcPr>
            <w:tcW w:type="dxa" w:w="2200"/>
            <w:tcMar>
              <w:top w:w="100" w:type="dxa"/>
              <w:start w:w="120" w:type="dxa"/>
              <w:bottom w:w="100" w:type="dxa"/>
              <w:end w:w="120" w:type="dxa"/>
            </w:tcMar>
            <w:vAlign w:val="center"/>
          </w:tcPr>
          <w:p>
            <w:r>
              <w:rPr>
                <w:rFonts w:ascii="Calibri" w:hAnsi="Calibri"/>
                <w:b w:val="0"/>
                <w:i w:val="0"/>
                <w:color w:val="222222"/>
                <w:sz w:val="18"/>
              </w:rPr>
              <w:t>Data coverage</w:t>
            </w:r>
          </w:p>
        </w:tc>
        <w:tc>
          <w:tcPr>
            <w:tcW w:type="dxa" w:w="4700"/>
            <w:tcMar>
              <w:top w:w="100" w:type="dxa"/>
              <w:start w:w="120" w:type="dxa"/>
              <w:bottom w:w="100" w:type="dxa"/>
              <w:end w:w="120" w:type="dxa"/>
            </w:tcMar>
            <w:vAlign w:val="center"/>
          </w:tcPr>
          <w:p>
            <w:r>
              <w:rPr>
                <w:rFonts w:ascii="Calibri" w:hAnsi="Calibri"/>
                <w:b w:val="0"/>
                <w:i w:val="0"/>
                <w:color w:val="222222"/>
                <w:sz w:val="18"/>
              </w:rPr>
              <w:t>Display financial/payment KPIs only for covered classes</w:t>
            </w:r>
          </w:p>
        </w:tc>
        <w:tc>
          <w:tcPr>
            <w:tcW w:type="dxa" w:w="2460"/>
            <w:tcMar>
              <w:top w:w="100" w:type="dxa"/>
              <w:start w:w="120" w:type="dxa"/>
              <w:bottom w:w="100" w:type="dxa"/>
              <w:end w:w="120" w:type="dxa"/>
            </w:tcMar>
            <w:vAlign w:val="center"/>
          </w:tcPr>
          <w:p>
            <w:r>
              <w:rPr>
                <w:rFonts w:ascii="Calibri" w:hAnsi="Calibri"/>
                <w:b w:val="0"/>
                <w:i w:val="0"/>
                <w:color w:val="222222"/>
                <w:sz w:val="18"/>
              </w:rPr>
              <w:t>Coverage rate and null count</w:t>
            </w:r>
          </w:p>
        </w:tc>
      </w:tr>
    </w:tbl>
    <w:p>
      <w:pPr>
        <w:pStyle w:val="Heading1"/>
      </w:pPr>
      <w:r>
        <w:t>6. Power BI implementation</w:t>
      </w:r>
    </w:p>
    <w:p>
      <w:pPr>
        <w:pStyle w:val="ListBullet"/>
      </w:pPr>
      <w:r>
        <w:t>Load mobility_scenario_summary.csv for scenario cards and confidence intervals.</w:t>
      </w:r>
    </w:p>
    <w:p>
      <w:pPr>
        <w:pStyle w:val="ListBullet"/>
      </w:pPr>
      <w:r>
        <w:t>Load mobility_twin_monthly_state.csv for month, scenario, and license-class trends.</w:t>
      </w:r>
    </w:p>
    <w:p>
      <w:pPr>
        <w:pStyle w:val="ListBullet"/>
      </w:pPr>
      <w:r>
        <w:t>Add Scenario and License Class slicers; show service, unmet trips, capacity pressure, vehicles, drivers, trip time, sharing, fare coverage, and emissions proxy.</w:t>
      </w:r>
    </w:p>
    <w:p>
      <w:pPr>
        <w:pStyle w:val="ListBullet"/>
      </w:pPr>
      <w:r>
        <w:t>Add an Assumptions page showing source period, run count, horizon, random seed, policy parameters, and limitations.</w:t>
      </w:r>
    </w:p>
    <w:p>
      <w:pPr>
        <w:pStyle w:val="ListBullet"/>
      </w:pPr>
      <w:r>
        <w:t>Refresh in sequence: processed data → validation → twin run → output validation → Power BI refresh.</w:t>
      </w:r>
    </w:p>
    <w:p>
      <w:pPr>
        <w:pStyle w:val="Heading1"/>
      </w:pPr>
      <w:r>
        <w:t>7. Limitations and production roadmap</w:t>
      </w:r>
    </w:p>
    <w:p>
      <w:pPr>
        <w:pStyle w:val="ListBullet"/>
      </w:pPr>
      <w:r>
        <w:t>This is a calibrated scenario model, not a traffic microsimulation or guaranteed forecast.</w:t>
      </w:r>
    </w:p>
    <w:p>
      <w:pPr>
        <w:pStyle w:val="ListBullet"/>
      </w:pPr>
      <w:r>
        <w:t>Monthly aggregates cannot represent zones, roads, queues, origin-destination flows, weather, events, or intraday peaks.</w:t>
      </w:r>
    </w:p>
    <w:p>
      <w:pPr>
        <w:pStyle w:val="ListBullet"/>
      </w:pPr>
      <w:r>
        <w:t>The emissions index is an operational proxy; replace it with vehicle-class, fuel, distance, occupancy, and speed-based emissions factors.</w:t>
      </w:r>
    </w:p>
    <w:p>
      <w:pPr>
        <w:pStyle w:val="ListBullet"/>
      </w:pPr>
      <w:r>
        <w:t>Production requires dated trip/dispatch events, geographic supply-demand, incident and weather feeds, fleet availability, costs, and service-level definitions.</w:t>
      </w:r>
    </w:p>
    <w:p>
      <w:pPr>
        <w:pStyle w:val="ListBullet"/>
      </w:pPr>
      <w:r>
        <w:t>Back-test at least 12 months, approve policy constraints, retain human decision authority, and monitor drift by license class.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636E"/>
        <w:sz w:val="18"/>
      </w:rPr>
      <w:t>Controlled project document  |  Version 1.0  |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9636E"/>
        <w:sz w:val="18"/>
      </w:rPr>
      <w:t>SUPPLY CHAIN INTELLIGENCE HUB  |  DIGITAL TWIN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keepNext/>
      <w:spacing w:before="160" w:after="40"/>
    </w:pPr>
    <w:rPr>
      <w:rFonts w:ascii="Calibri" w:hAnsi="Calibri"/>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