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A2B4C"/>
          <w:sz w:val="64"/>
          <w:szCs w:val="64"/>
        </w:rPr>
        <w:t xml:space="preserve">GUÍA FEDERAL</w:t>
      </w:r>
    </w:p>
    <w:p>
      <w:pPr>
        <w:spacing w:after="240" w:before="0"/>
        <w:jc w:val="center"/>
      </w:pPr>
      <w:r>
        <w:rPr>
          <w:rFonts w:ascii="Arial" w:cs="Arial" w:eastAsia="Arial" w:hAnsi="Arial"/>
          <w:color w:val="6B7280"/>
          <w:sz w:val="32"/>
          <w:szCs w:val="32"/>
        </w:rPr>
        <w:t xml:space="preserve">Auditoría Técnica Completa de la Plataforma</w:t>
      </w:r>
    </w:p>
    <w:p>
      <w:pPr>
        <w:pBdr>
          <w:bottom w:val="single" w:color="C0392B" w:sz="12"/>
        </w:pBdr>
        <w:spacing w:after="80" w:before="0"/>
        <w:jc w:val="center"/>
      </w:pPr>
    </w:p>
    <w:p>
      <w:pPr>
        <w:spacing w:after="400" w:before="0"/>
      </w:pPr>
    </w:p>
    <w:p>
      <w:pPr>
        <w:spacing w:after="80" w:before="0"/>
        <w:jc w:val="center"/>
      </w:pPr>
      <w:r>
        <w:rPr>
          <w:rFonts w:ascii="Arial" w:cs="Arial" w:eastAsia="Arial" w:hAnsi="Arial"/>
          <w:color w:val="6B7280"/>
          <w:sz w:val="22"/>
          <w:szCs w:val="22"/>
        </w:rPr>
        <w:t xml:space="preserve">Mayo 3, 2026  |  Versión 2.0</w:t>
      </w:r>
    </w:p>
    <w:p>
      <w:pPr>
        <w:spacing w:after="80" w:before="0"/>
        <w:jc w:val="center"/>
      </w:pPr>
      <w:r>
        <w:rPr>
          <w:rFonts w:ascii="Arial" w:cs="Arial" w:eastAsia="Arial" w:hAnsi="Arial"/>
          <w:color w:val="6B7280"/>
          <w:sz w:val="22"/>
          <w:szCs w:val="22"/>
        </w:rPr>
        <w:t xml:space="preserve">Preparado por: Cowork AI Audit Engine</w:t>
      </w:r>
    </w:p>
    <w:p>
      <w:pPr>
        <w:spacing w:after="80" w:before="0"/>
        <w:jc w:val="center"/>
      </w:pPr>
      <w:r>
        <w:rPr>
          <w:rFonts w:ascii="Arial" w:cs="Arial" w:eastAsia="Arial" w:hAnsi="Arial"/>
          <w:color w:val="6B7280"/>
          <w:sz w:val="22"/>
          <w:szCs w:val="22"/>
        </w:rPr>
        <w:t xml:space="preserve">Plataforma: fronteralegal.vercel.app</w:t>
      </w:r>
    </w:p>
    <w:p>
      <w:pPr>
        <w:spacing w:after="6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1"/>
              <w:left w:val="single" w:color="C0392B" w:sz="1"/>
              <w:bottom w:val="single" w:color="C0392B" w:sz="1"/>
              <w:right w:val="single" w:color="C0392B" w:sz="1"/>
            </w:tcBorders>
            <w:shd w:fill="EBF4FB" w:val="clear"/>
            <w:tcMar>
              <w:top w:type="dxa" w:w="120"/>
              <w:left w:type="dxa" w:w="140"/>
              <w:bottom w:type="dxa" w:w="120"/>
              <w:right w:type="dxa" w:w="140"/>
            </w:tcMar>
          </w:tcPr>
          <w:p>
            <w:pPr>
              <w:jc w:val="center"/>
            </w:pPr>
            <w:r>
              <w:rPr>
                <w:rFonts w:ascii="Arial" w:cs="Arial" w:eastAsia="Arial" w:hAnsi="Arial"/>
                <w:b/>
                <w:bCs/>
                <w:color w:val="C0392B"/>
                <w:sz w:val="36"/>
                <w:szCs w:val="36"/>
              </w:rPr>
              <w:t xml:space="preserve">38</w:t>
            </w:r>
          </w:p>
          <w:p>
            <w:pPr>
              <w:jc w:val="center"/>
            </w:pPr>
            <w:r>
              <w:rPr>
                <w:rFonts w:ascii="Arial" w:cs="Arial" w:eastAsia="Arial" w:hAnsi="Arial"/>
                <w:color w:val="6B7280"/>
                <w:sz w:val="16"/>
                <w:szCs w:val="16"/>
              </w:rPr>
              <w:t xml:space="preserve">Hallazgos Totales</w:t>
            </w:r>
          </w:p>
        </w:tc>
        <w:tc>
          <w:tcPr>
            <w:tcW w:type="dxa" w:w="2340"/>
            <w:tcBorders>
              <w:top w:val="single" w:color="D35400" w:sz="1"/>
              <w:left w:val="single" w:color="D35400" w:sz="1"/>
              <w:bottom w:val="single" w:color="D35400" w:sz="1"/>
              <w:right w:val="single" w:color="D35400" w:sz="1"/>
            </w:tcBorders>
            <w:shd w:fill="EBF4FB" w:val="clear"/>
            <w:tcMar>
              <w:top w:type="dxa" w:w="120"/>
              <w:left w:type="dxa" w:w="140"/>
              <w:bottom w:type="dxa" w:w="120"/>
              <w:right w:type="dxa" w:w="140"/>
            </w:tcMar>
          </w:tcPr>
          <w:p>
            <w:pPr>
              <w:jc w:val="center"/>
            </w:pPr>
            <w:r>
              <w:rPr>
                <w:rFonts w:ascii="Arial" w:cs="Arial" w:eastAsia="Arial" w:hAnsi="Arial"/>
                <w:b/>
                <w:bCs/>
                <w:color w:val="D35400"/>
                <w:sz w:val="36"/>
                <w:szCs w:val="36"/>
              </w:rPr>
              <w:t xml:space="preserve">12</w:t>
            </w:r>
          </w:p>
          <w:p>
            <w:pPr>
              <w:jc w:val="center"/>
            </w:pPr>
            <w:r>
              <w:rPr>
                <w:rFonts w:ascii="Arial" w:cs="Arial" w:eastAsia="Arial" w:hAnsi="Arial"/>
                <w:color w:val="6B7280"/>
                <w:sz w:val="16"/>
                <w:szCs w:val="16"/>
              </w:rPr>
              <w:t xml:space="preserve">Críticos / Altos</w:t>
            </w:r>
          </w:p>
        </w:tc>
        <w:tc>
          <w:tcPr>
            <w:tcW w:type="dxa" w:w="2340"/>
            <w:tcBorders>
              <w:top w:val="single" w:color="1A2B4C" w:sz="1"/>
              <w:left w:val="single" w:color="1A2B4C" w:sz="1"/>
              <w:bottom w:val="single" w:color="1A2B4C" w:sz="1"/>
              <w:right w:val="single" w:color="1A2B4C" w:sz="1"/>
            </w:tcBorders>
            <w:shd w:fill="EBF4FB" w:val="clear"/>
            <w:tcMar>
              <w:top w:type="dxa" w:w="120"/>
              <w:left w:type="dxa" w:w="140"/>
              <w:bottom w:type="dxa" w:w="120"/>
              <w:right w:type="dxa" w:w="140"/>
            </w:tcMar>
          </w:tcPr>
          <w:p>
            <w:pPr>
              <w:jc w:val="center"/>
            </w:pPr>
            <w:r>
              <w:rPr>
                <w:rFonts w:ascii="Arial" w:cs="Arial" w:eastAsia="Arial" w:hAnsi="Arial"/>
                <w:b/>
                <w:bCs/>
                <w:color w:val="1A2B4C"/>
                <w:sz w:val="36"/>
                <w:szCs w:val="36"/>
              </w:rPr>
              <w:t xml:space="preserve">33</w:t>
            </w:r>
          </w:p>
          <w:p>
            <w:pPr>
              <w:jc w:val="center"/>
            </w:pPr>
            <w:r>
              <w:rPr>
                <w:rFonts w:ascii="Arial" w:cs="Arial" w:eastAsia="Arial" w:hAnsi="Arial"/>
                <w:color w:val="6B7280"/>
                <w:sz w:val="16"/>
                <w:szCs w:val="16"/>
              </w:rPr>
              <w:t xml:space="preserve">Páginas Auditadas</w:t>
            </w:r>
          </w:p>
        </w:tc>
        <w:tc>
          <w:tcPr>
            <w:tcW w:type="dxa" w:w="2340"/>
            <w:tcBorders>
              <w:top w:val="single" w:color="1A7A4A" w:sz="1"/>
              <w:left w:val="single" w:color="1A7A4A" w:sz="1"/>
              <w:bottom w:val="single" w:color="1A7A4A" w:sz="1"/>
              <w:right w:val="single" w:color="1A7A4A" w:sz="1"/>
            </w:tcBorders>
            <w:shd w:fill="EBF4FB" w:val="clear"/>
            <w:tcMar>
              <w:top w:type="dxa" w:w="120"/>
              <w:left w:type="dxa" w:w="140"/>
              <w:bottom w:type="dxa" w:w="120"/>
              <w:right w:type="dxa" w:w="140"/>
            </w:tcMar>
          </w:tcPr>
          <w:p>
            <w:pPr>
              <w:jc w:val="center"/>
            </w:pPr>
            <w:r>
              <w:rPr>
                <w:rFonts w:ascii="Arial" w:cs="Arial" w:eastAsia="Arial" w:hAnsi="Arial"/>
                <w:b/>
                <w:bCs/>
                <w:color w:val="1A7A4A"/>
                <w:sz w:val="36"/>
                <w:szCs w:val="36"/>
              </w:rPr>
              <w:t xml:space="preserve">7</w:t>
            </w:r>
          </w:p>
          <w:p>
            <w:pPr>
              <w:jc w:val="center"/>
            </w:pPr>
            <w:r>
              <w:rPr>
                <w:rFonts w:ascii="Arial" w:cs="Arial" w:eastAsia="Arial" w:hAnsi="Arial"/>
                <w:color w:val="6B7280"/>
                <w:sz w:val="16"/>
                <w:szCs w:val="16"/>
              </w:rPr>
              <w:t xml:space="preserve">Resueltos (vs Abr '26)</w:t>
            </w:r>
          </w:p>
        </w:tc>
      </w:tr>
    </w:tbl>
    <w:p>
      <w:pPr>
        <w:spacing w:after="400" w:before="0"/>
      </w:pPr>
    </w:p>
    <w:p>
      <w:pPr>
        <w:jc w:val="center"/>
      </w:pPr>
      <w:r>
        <w:rPr>
          <w:rFonts w:ascii="Arial" w:cs="Arial" w:eastAsia="Arial" w:hAnsi="Arial"/>
          <w:b/>
          <w:bCs/>
          <w:caps/>
          <w:color w:val="6B7280"/>
          <w:sz w:val="18"/>
          <w:szCs w:val="18"/>
        </w:rPr>
        <w:t xml:space="preserve">CATEGORÍAS AUDITADAS</w:t>
      </w:r>
    </w:p>
    <w:p>
      <w:pPr>
        <w:spacing w:after="80" w:before="0"/>
      </w:pPr>
    </w:p>
    <w:p>
      <w:pPr>
        <w:jc w:val="center"/>
      </w:pPr>
      <w:r>
        <w:rPr>
          <w:rFonts w:ascii="Arial" w:cs="Arial" w:eastAsia="Arial" w:hAnsi="Arial"/>
          <w:color w:val="6B7280"/>
          <w:sz w:val="19"/>
          <w:szCs w:val="19"/>
        </w:rPr>
        <w:t xml:space="preserve">Exactitud Legal Federal  •  Código &amp; JavaScript  •  Configuración &amp; Producción  •  SEO &amp; Sitemap  •  Seguridad  •  Accesibilidad  •  UX &amp; Contenido</w:t>
      </w:r>
    </w:p>
    <w:p>
      <w:pPr>
        <w:pageBreakBefore/>
      </w:pPr>
    </w:p>
    <w:p>
      <w:pPr>
        <w:pStyle w:val="Heading1"/>
        <w:pBdr>
          <w:bottom w:val="single" w:color="C0392B" w:sz="8"/>
        </w:pBdr>
        <w:spacing w:after="120" w:before="320"/>
      </w:pPr>
      <w:r>
        <w:rPr>
          <w:rFonts w:ascii="Arial" w:cs="Arial" w:eastAsia="Arial" w:hAnsi="Arial"/>
          <w:b/>
          <w:bCs/>
          <w:color w:val="1A2B4C"/>
          <w:sz w:val="32"/>
          <w:szCs w:val="32"/>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pPr>
        <w:pageBreakBefore/>
      </w:pPr>
    </w:p>
    <w:p>
      <w:pPr>
        <w:pStyle w:val="Heading1"/>
        <w:pBdr>
          <w:bottom w:val="single" w:color="C0392B" w:sz="8"/>
        </w:pBdr>
        <w:spacing w:after="120" w:before="320"/>
      </w:pPr>
      <w:r>
        <w:rPr>
          <w:rFonts w:ascii="Arial" w:cs="Arial" w:eastAsia="Arial" w:hAnsi="Arial"/>
          <w:b/>
          <w:bCs/>
          <w:color w:val="1A2B4C"/>
          <w:sz w:val="32"/>
          <w:szCs w:val="32"/>
        </w:rPr>
        <w:t xml:space="preserve">1. Resumen Ejecutivo</w:t>
      </w:r>
    </w:p>
    <w:p>
      <w:pPr>
        <w:spacing w:after="100" w:before="60"/>
      </w:pPr>
      <w:r>
        <w:rPr>
          <w:rFonts w:ascii="Arial" w:cs="Arial" w:eastAsia="Arial" w:hAnsi="Arial"/>
          <w:color w:val="374151"/>
          <w:sz w:val="20"/>
          <w:szCs w:val="20"/>
        </w:rPr>
        <w:t xml:space="preserve">Esta auditoría cubre la totalidad de la plataforma Guía Federal (33 archivos HTML, 2 JS principales, vercel.json, sitemap.xml, robots.txt, manifest.json y service worker) tal como existe en el repositorio al 3 de mayo de 2026. El análisis fue conducido sobre el código fuente completo en el directorio de trabajo, con verificación independiente de hechos legales federales contra fuentes primarias (BOP, USSC, DOJ Federal Register).</w:t>
      </w:r>
    </w:p>
    <w:p>
      <w:pPr>
        <w:spacing w:after="80" w:before="0"/>
      </w:pPr>
    </w:p>
    <w:p>
      <w:pPr>
        <w:spacing w:after="100" w:before="60"/>
      </w:pPr>
      <w:r>
        <w:rPr>
          <w:rFonts w:ascii="Arial" w:cs="Arial" w:eastAsia="Arial" w:hAnsi="Arial"/>
          <w:color w:val="374151"/>
          <w:sz w:val="20"/>
          <w:szCs w:val="20"/>
        </w:rPr>
        <w:t xml:space="preserve">Respecto a la auditoría anterior de abril 22, 2026, se verificaron 7 correcciones. Sin embargo, la plataforma presenta 38 nuevos hallazgos o persistentes, incluyendo 4 errores legales de exactitud que representan riesgo de responsabilidad profesional, 8 problemas de configuración que impiden el funcionamiento real de la plataforma (WhatsApp, Analytics, formularios), y 21 páginas ausentes del sitemap.xml — lo que suprime el SEO del blog completo y páginas clave.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2B4C"/>
                <w:sz w:val="19"/>
                <w:szCs w:val="19"/>
              </w:rPr>
              <w:t xml:space="preserve">Fecha de Auditoría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3 de mayo de 2026</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2B4C"/>
                <w:sz w:val="19"/>
                <w:szCs w:val="19"/>
              </w:rPr>
              <w:t xml:space="preserve">Auditor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Cowork AI Audit Engine — Claude Sonnet 4.6</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2B4C"/>
                <w:sz w:val="19"/>
                <w:szCs w:val="19"/>
              </w:rPr>
              <w:t xml:space="preserve">Alcance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33 páginas HTML + config.js + vercel.json + SW + sitemap + manifest</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2B4C"/>
                <w:sz w:val="19"/>
                <w:szCs w:val="19"/>
              </w:rPr>
              <w:t xml:space="preserve">Plataforma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fronteralegal.vercel.app (Vercel, rama main)</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2B4C"/>
                <w:sz w:val="19"/>
                <w:szCs w:val="19"/>
              </w:rPr>
              <w:t xml:space="preserve">Último commit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f80036c — Fix: shifted design system to Warning Red</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2B4C"/>
                <w:sz w:val="19"/>
                <w:szCs w:val="19"/>
              </w:rPr>
              <w:t xml:space="preserve">Metodología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Lectura completa de código fuente + grep automatizado + verificación legal federal contra BOP/USSC/DOJ</w:t>
            </w:r>
          </w:p>
        </w:tc>
      </w:tr>
    </w:tbl>
    <w:p>
      <w:pPr>
        <w:spacing w:after="200" w:before="0"/>
      </w:pPr>
    </w:p>
    <w:p>
      <w:pPr>
        <w:pStyle w:val="Heading2"/>
        <w:spacing w:after="80" w:before="240"/>
      </w:pPr>
      <w:r>
        <w:rPr>
          <w:rFonts w:ascii="Arial" w:cs="Arial" w:eastAsia="Arial" w:hAnsi="Arial"/>
          <w:b/>
          <w:bCs/>
          <w:color w:val="1A2B4C"/>
          <w:sz w:val="26"/>
          <w:szCs w:val="26"/>
        </w:rPr>
        <w:t xml:space="preserve">Prioridad de Acción Inmediata</w:t>
      </w:r>
    </w:p>
    <w:p>
      <w:pPr>
        <w:spacing w:after="100" w:before="60"/>
      </w:pPr>
      <w:r>
        <w:rPr>
          <w:rFonts w:ascii="Arial" w:cs="Arial" w:eastAsia="Arial" w:hAnsi="Arial"/>
          <w:color w:val="374151"/>
          <w:sz w:val="20"/>
          <w:szCs w:val="20"/>
        </w:rPr>
        <w:t xml:space="preserve">Las siguientes 5 acciones deben completarse antes de cualquier campaña de marketing o referido de clientes pagantes:</w:t>
      </w:r>
    </w:p>
    <w:p>
      <w:pPr>
        <w:spacing w:after="60" w:before="0"/>
      </w:pPr>
    </w:p>
    <w:p>
      <w:pPr>
        <w:pStyle w:val="ListParagraph"/>
        <w:numPr>
          <w:ilvl w:val="0"/>
          <w:numId w:val="2"/>
        </w:numPr>
        <w:spacing w:after="40" w:before="40"/>
      </w:pPr>
      <w:r>
        <w:rPr>
          <w:rFonts w:ascii="Arial" w:cs="Arial" w:eastAsia="Arial" w:hAnsi="Arial"/>
          <w:color w:val="374151"/>
          <w:sz w:val="19"/>
          <w:szCs w:val="19"/>
        </w:rPr>
        <w:t xml:space="preserve">Actualizar config.js con número de WhatsApp real y Formspree ID — TODOS los CTAs están rotos.</w:t>
      </w:r>
    </w:p>
    <w:p>
      <w:pPr>
        <w:pStyle w:val="ListParagraph"/>
        <w:numPr>
          <w:ilvl w:val="0"/>
          <w:numId w:val="2"/>
        </w:numPr>
        <w:spacing w:after="40" w:before="40"/>
      </w:pPr>
      <w:r>
        <w:rPr>
          <w:rFonts w:ascii="Arial" w:cs="Arial" w:eastAsia="Arial" w:hAnsi="Arial"/>
          <w:color w:val="374151"/>
          <w:sz w:val="19"/>
          <w:szCs w:val="19"/>
        </w:rPr>
        <w:t xml:space="preserve">Corregir el conteo de población de FCI Fort Dix (3,090 → ~4,100+) en fort-dix-fci.html.</w:t>
      </w:r>
    </w:p>
    <w:p>
      <w:pPr>
        <w:pStyle w:val="ListParagraph"/>
        <w:numPr>
          <w:ilvl w:val="0"/>
          <w:numId w:val="2"/>
        </w:numPr>
        <w:spacing w:after="40" w:before="40"/>
      </w:pPr>
      <w:r>
        <w:rPr>
          <w:rFonts w:ascii="Arial" w:cs="Arial" w:eastAsia="Arial" w:hAnsi="Arial"/>
          <w:color w:val="374151"/>
          <w:sz w:val="19"/>
          <w:szCs w:val="19"/>
        </w:rPr>
        <w:t xml:space="preserve">Añadir clarificación sobre RDAP: exclusión aplica a TODOS los delitos sexuales, no solo contra menores.</w:t>
      </w:r>
    </w:p>
    <w:p>
      <w:pPr>
        <w:pStyle w:val="ListParagraph"/>
        <w:numPr>
          <w:ilvl w:val="0"/>
          <w:numId w:val="2"/>
        </w:numPr>
        <w:spacing w:after="40" w:before="40"/>
      </w:pPr>
      <w:r>
        <w:rPr>
          <w:rFonts w:ascii="Arial" w:cs="Arial" w:eastAsia="Arial" w:hAnsi="Arial"/>
          <w:color w:val="374151"/>
          <w:sz w:val="19"/>
          <w:szCs w:val="19"/>
        </w:rPr>
        <w:t xml:space="preserve">Aclarar que internos de riesgo MEDIO/ALTO no pueden aplicar créditos ETC hacia preliberación hasta bajar su nivel.</w:t>
      </w:r>
    </w:p>
    <w:p>
      <w:pPr>
        <w:pStyle w:val="ListParagraph"/>
        <w:numPr>
          <w:ilvl w:val="0"/>
          <w:numId w:val="2"/>
        </w:numPr>
        <w:spacing w:after="40" w:before="40"/>
      </w:pPr>
      <w:r>
        <w:rPr>
          <w:rFonts w:ascii="Arial" w:cs="Arial" w:eastAsia="Arial" w:hAnsi="Arial"/>
          <w:color w:val="374151"/>
          <w:sz w:val="19"/>
          <w:szCs w:val="19"/>
        </w:rPr>
        <w:t xml:space="preserve">Añadir las 21 páginas faltantes al sitemap.xml, especialmente todo el blog y fsa-guide / rdap-guide.</w:t>
      </w:r>
    </w:p>
    <w:p>
      <w:pPr>
        <w:pageBreakBefore/>
      </w:pPr>
    </w:p>
    <w:p>
      <w:pPr>
        <w:pStyle w:val="Heading1"/>
        <w:pBdr>
          <w:bottom w:val="single" w:color="C0392B" w:sz="8"/>
        </w:pBdr>
        <w:spacing w:after="120" w:before="320"/>
      </w:pPr>
      <w:r>
        <w:rPr>
          <w:rFonts w:ascii="Arial" w:cs="Arial" w:eastAsia="Arial" w:hAnsi="Arial"/>
          <w:b/>
          <w:bCs/>
          <w:color w:val="1A2B4C"/>
          <w:sz w:val="32"/>
          <w:szCs w:val="32"/>
        </w:rPr>
        <w:t xml:space="preserve">2. Exactitud Legal Federal</w:t>
      </w:r>
    </w:p>
    <w:p>
      <w:pPr>
        <w:spacing w:after="100" w:before="60"/>
      </w:pPr>
      <w:r>
        <w:rPr>
          <w:rFonts w:ascii="Arial" w:cs="Arial" w:eastAsia="Arial" w:hAnsi="Arial"/>
          <w:color w:val="374151"/>
          <w:sz w:val="20"/>
          <w:szCs w:val="20"/>
        </w:rPr>
        <w:t xml:space="preserve">Esta sección es la de mayor riesgo para la plataforma. Dado que el proyecto instructivo establece que los hechos federales deben verificarse contra fuentes BOP/USSC antes de publicarse, se analizó cada afirmación legal cuantificable contra el Estatuto (18 U.S.C.), el Federal Register y documentos del BOP Program Statement.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L-01</w:t>
            </w:r>
          </w:p>
          <w:p>
            <w:pPr>
              <w:jc w:val="center"/>
            </w:pPr>
            <w:r>
              <w:rPr>
                <w:rFonts w:ascii="Arial" w:cs="Arial" w:eastAsia="Arial" w:hAnsi="Arial"/>
                <w:b/>
                <w:bCs/>
                <w:color w:val="FFFFFF"/>
                <w:sz w:val="14"/>
                <w:szCs w:val="14"/>
              </w:rPr>
              <w:t xml:space="preserve">CRÍTICO</w:t>
            </w:r>
          </w:p>
        </w:tc>
        <w:tc>
          <w:tcPr>
            <w:tcW w:type="dxa" w:w="8360"/>
            <w:tcBorders>
              <w:top w:val="single" w:color="C0392B" w:sz="1"/>
              <w:left w:val="none" w:color="FFFFFF" w:sz="0"/>
              <w:bottom w:val="single" w:color="C0392B" w:sz="1"/>
              <w:right w:val="single" w:color="C0392B" w:sz="1"/>
            </w:tcBorders>
            <w:shd w:fill="FDECEA"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FCI Fort Dix — Conteo de población incorrecto</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fort-dix-fci.html afirma '~3,090 internos'. Según datos BOP verificados (Wikipedia, BOP.gov, CNN Oct 2025), la población real es aproximadamente 3,912 en el FCI + 207 en el campamento = ~4,119 totales. Algunas fuentes recientes indican hasta 5,000.</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Actualizar a '~4,100 internos (FCI) + ~200 (campamento satélite), totalizando ~4,300 — la instalación federal individual con mayor población del BOP'. Verificar periódicamente en bop.gov/locations/institutions/ftd/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L-02</w:t>
            </w:r>
          </w:p>
          <w:p>
            <w:pPr>
              <w:jc w:val="center"/>
            </w:pPr>
            <w:r>
              <w:rPr>
                <w:rFonts w:ascii="Arial" w:cs="Arial" w:eastAsia="Arial" w:hAnsi="Arial"/>
                <w:b/>
                <w:bCs/>
                <w:color w:val="FFFFFF"/>
                <w:sz w:val="14"/>
                <w:szCs w:val="14"/>
              </w:rPr>
              <w:t xml:space="preserve">CRÍTICO</w:t>
            </w:r>
          </w:p>
        </w:tc>
        <w:tc>
          <w:tcPr>
            <w:tcW w:type="dxa" w:w="8360"/>
            <w:tcBorders>
              <w:top w:val="single" w:color="C0392B" w:sz="1"/>
              <w:left w:val="none" w:color="FFFFFF" w:sz="0"/>
              <w:bottom w:val="single" w:color="C0392B" w:sz="1"/>
              <w:right w:val="single" w:color="C0392B" w:sz="1"/>
            </w:tcBorders>
            <w:shd w:fill="FDECEA"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RDAP — Exclusión de delitos sexuales incompleta</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rdap-guide.html y seagoville-fci.html listan como excluidos solo 'delitos sexuales contra menores'. Bajo 18 U.S.C. § 3621(e)(2)(B) y BOP Program Statement 5331.02, CUALQUIER condena por delito sexual califica para la exclusión de reducción — no solo los que involucran menores.</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Cambiar 'delitos sexuales contra menores' a 'cualquier delito de naturaleza sexual (sex offense)'. Agregar nota: 'Internos con condenas por sex offenses pueden completar el programa RDAP pero no califican para reducción de sentencia bajo § 3621(e).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D35400"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L-03</w:t>
            </w:r>
          </w:p>
          <w:p>
            <w:pPr>
              <w:jc w:val="center"/>
            </w:pPr>
            <w:r>
              <w:rPr>
                <w:rFonts w:ascii="Arial" w:cs="Arial" w:eastAsia="Arial" w:hAnsi="Arial"/>
                <w:b/>
                <w:bCs/>
                <w:color w:val="FFFFFF"/>
                <w:sz w:val="14"/>
                <w:szCs w:val="14"/>
              </w:rPr>
              <w:t xml:space="preserve">ALTO</w:t>
            </w:r>
          </w:p>
        </w:tc>
        <w:tc>
          <w:tcPr>
            <w:tcW w:type="dxa" w:w="8360"/>
            <w:tcBorders>
              <w:top w:val="single" w:color="D35400" w:sz="1"/>
              <w:left w:val="none" w:color="FFFFFF" w:sz="0"/>
              <w:bottom w:val="single" w:color="D35400" w:sz="1"/>
              <w:right w:val="single" w:color="D35400" w:sz="1"/>
            </w:tcBorders>
            <w:shd w:fill="FEF3E2"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FSA ETC — Internos de riesgo MEDIO/ALTO no pueden aplicar créditos</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fsa-guide.html y páginas de instalaciones afirman que internos de riesgo medio/alto 'ganan 10 días de ETC por cada 30 días'. Esto es técnicamente incorrecto: bajo la implementación BOP actual, internos de riesgo MEDIO y ALTO no pueden aplicar créditos ETC hacia custodia de preliberación. Solo los de riesgo BAJO y MÍNIMO pueden redimir créditos. Los de riesgo medio/alto sí participan en programas pero los créditos permanecen bloqueados hasta bajar su nivel PATTERN.</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Añadir nota explícita: 'Los créditos se acumulan pero solo pueden aplicarse hacia preliberación cuando el interno alcance nivel BAJO o MÍNIMO en dos evaluaciones PATTERN consecutivas. Internos de riesgo MEDIO/ALTO deben enfocarse en bajar su clasificación PATTERN.' Fuente: 18 U.S.C. § 3624(g)(1)(D).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L-04</w:t>
            </w:r>
          </w:p>
          <w:p>
            <w:pPr>
              <w:jc w:val="center"/>
            </w:pPr>
            <w:r>
              <w:rPr>
                <w:rFonts w:ascii="Arial" w:cs="Arial" w:eastAsia="Arial" w:hAnsi="Arial"/>
                <w:b/>
                <w:bCs/>
                <w:color w:val="FFFFFF"/>
                <w:sz w:val="14"/>
                <w:szCs w:val="14"/>
              </w:rPr>
              <w:t xml:space="preserve">MEDIO</w:t>
            </w:r>
          </w:p>
        </w:tc>
        <w:tc>
          <w:tcPr>
            <w:tcW w:type="dxa" w:w="8360"/>
            <w:tcBorders>
              <w:top w:val="single" w:color="2563EB" w:sz="1"/>
              <w:left w:val="none" w:color="FFFFFF" w:sz="0"/>
              <w:bottom w:val="single" w:color="2563EB" w:sz="1"/>
              <w:right w:val="single" w:color="2563EB" w:sz="1"/>
            </w:tcBorders>
            <w:shd w:fill="EBF4FB"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RDAP — Lenguaje 'garantizado' vs discrecional</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Varias páginas, incluyendo rdap-guide.html, usan frases que pueden implicar certeza en la reducción ('puede reducir... hasta 12 meses'). La reducción bajo § 3621(e) es discrecional del BOP — el BOP puede negar la reducción incluso a completistas elegibles. El FAQ de rdap-guide.html sí incluye 'discrecional del BOP' en la descripción de sentencia, lo cual es correcto.</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Asegurar consistencia: en todos los encabezados, meta descriptions y OG tags donde se mencione la reducción, incluir el calificador 'hasta' y añadir nota que es discrecional. Ejemplo correcto ya presente: 'La reducción es discrecional del BOP, no garantizada por ley.'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L-05</w:t>
            </w:r>
          </w:p>
          <w:p>
            <w:pPr>
              <w:jc w:val="center"/>
            </w:pPr>
            <w:r>
              <w:rPr>
                <w:rFonts w:ascii="Arial" w:cs="Arial" w:eastAsia="Arial" w:hAnsi="Arial"/>
                <w:b/>
                <w:bCs/>
                <w:color w:val="FFFFFF"/>
                <w:sz w:val="14"/>
                <w:szCs w:val="14"/>
              </w:rPr>
              <w:t xml:space="preserve">MEDIO</w:t>
            </w:r>
          </w:p>
        </w:tc>
        <w:tc>
          <w:tcPr>
            <w:tcW w:type="dxa" w:w="8360"/>
            <w:tcBorders>
              <w:top w:val="single" w:color="2563EB" w:sz="1"/>
              <w:left w:val="none" w:color="FFFFFF" w:sz="0"/>
              <w:bottom w:val="single" w:color="2563EB" w:sz="1"/>
              <w:right w:val="single" w:color="2563EB" w:sz="1"/>
            </w:tcBorders>
            <w:shd w:fill="EBF4FB"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FSA ETC — Tasa de 15 días para riesgo LOW requiere dos evaluaciones consecutivas</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fsa-guide.html indica que internos 'de riesgo bajo o mínimo ganan 15 días/30'. Omite que la tasa de 15 días aplica solo a quienes mantienen clasificación LOW o MINIMUM en dos evaluaciones PATTERN consecutivas. La tasa base para LOW es 10 días, escalando a 15 tras dos evaluaciones consecutivas en ese nivel.</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Añadir párrafo: 'Para alcanzar la tasa máxima de 15 días/30, el interno debe mantener clasificación BAJO o MÍNIMO en dos evaluaciones PATTERN consecutivas. La tasa base de 10 días aplica hasta entonces.' Fuente: 18 U.S.C. § 3632(d)(4)(A).</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16A34A"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L-06</w:t>
            </w:r>
          </w:p>
          <w:p>
            <w:pPr>
              <w:jc w:val="center"/>
            </w:pPr>
            <w:r>
              <w:rPr>
                <w:rFonts w:ascii="Arial" w:cs="Arial" w:eastAsia="Arial" w:hAnsi="Arial"/>
                <w:b/>
                <w:bCs/>
                <w:color w:val="FFFFFF"/>
                <w:sz w:val="14"/>
                <w:szCs w:val="14"/>
              </w:rPr>
              <w:t xml:space="preserve">RESUELTO ✓</w:t>
            </w:r>
          </w:p>
        </w:tc>
        <w:tc>
          <w:tcPr>
            <w:tcW w:type="dxa" w:w="8360"/>
            <w:tcBorders>
              <w:top w:val="single" w:color="16A34A" w:sz="1"/>
              <w:left w:val="none" w:color="FFFFFF" w:sz="0"/>
              <w:bottom w:val="single" w:color="16A34A" w:sz="1"/>
              <w:right w:val="single" w:color="16A34A" w:sz="1"/>
            </w:tcBorders>
            <w:shd w:fill="F0FFF4"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Directiva BOP Junio 2025 — Confinamiento domiciliario directo (VERIFICADO ✓)</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El blog 'saltar-halfway-house-2026.html' referencia una 'Directiva BOP de Junio 2025' permitiendo confinamiento domiciliario directo. Esto fue verificado y es CORRECTO.</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El BOP emitió la directiva del Director William K. Marshall, III el 28 de mayo de 2025 (y acción de seguimiento el 17 de junio de 2025) que permite colocación directa en home confinement para internos que no requieren supervisión de halfway house. El contenido del blog es factualmente correcto.</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16A34A"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L-07</w:t>
            </w:r>
          </w:p>
          <w:p>
            <w:pPr>
              <w:jc w:val="center"/>
            </w:pPr>
            <w:r>
              <w:rPr>
                <w:rFonts w:ascii="Arial" w:cs="Arial" w:eastAsia="Arial" w:hAnsi="Arial"/>
                <w:b/>
                <w:bCs/>
                <w:color w:val="FFFFFF"/>
                <w:sz w:val="14"/>
                <w:szCs w:val="14"/>
              </w:rPr>
              <w:t xml:space="preserve">RESUELTO ✓</w:t>
            </w:r>
          </w:p>
        </w:tc>
        <w:tc>
          <w:tcPr>
            <w:tcW w:type="dxa" w:w="8360"/>
            <w:tcBorders>
              <w:top w:val="single" w:color="16A34A" w:sz="1"/>
              <w:left w:val="none" w:color="FFFFFF" w:sz="0"/>
              <w:bottom w:val="single" w:color="16A34A" w:sz="1"/>
              <w:right w:val="single" w:color="16A34A" w:sz="1"/>
            </w:tcBorders>
            <w:shd w:fill="F0FFF4"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Coleman — Eliminado como 'más grande' (RESUELTO ✓)</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La auditoría de abril 22 identificó que coleman-usp.html reclamaba ser la instalación más grande. Esto fue corregido.</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La página de Coleman ya no hace este reclamo. FCI Fort Dix es correctamente identificado como la instalación con mayor población. Sin embargo, el conteo de Fort Dix sigue siendo incorrecto (ver L-01).</w:t>
            </w:r>
          </w:p>
        </w:tc>
      </w:tr>
    </w:tbl>
    <w:p>
      <w:pPr>
        <w:pageBreakBefore/>
      </w:pPr>
    </w:p>
    <w:p>
      <w:pPr>
        <w:pStyle w:val="Heading1"/>
        <w:pBdr>
          <w:bottom w:val="single" w:color="C0392B" w:sz="8"/>
        </w:pBdr>
        <w:spacing w:after="120" w:before="320"/>
      </w:pPr>
      <w:r>
        <w:rPr>
          <w:rFonts w:ascii="Arial" w:cs="Arial" w:eastAsia="Arial" w:hAnsi="Arial"/>
          <w:b/>
          <w:bCs/>
          <w:color w:val="1A2B4C"/>
          <w:sz w:val="32"/>
          <w:szCs w:val="32"/>
        </w:rPr>
        <w:t xml:space="preserve">3. Código y JavaScript</w:t>
      </w:r>
    </w:p>
    <w:p>
      <w:pPr>
        <w:spacing w:after="100" w:before="60"/>
      </w:pPr>
      <w:r>
        <w:rPr>
          <w:rFonts w:ascii="Arial" w:cs="Arial" w:eastAsia="Arial" w:hAnsi="Arial"/>
          <w:color w:val="374151"/>
          <w:sz w:val="20"/>
          <w:szCs w:val="20"/>
        </w:rPr>
        <w:t xml:space="preserve">Se auditaron todos los archivos HTML y JS con análisis automatizado de grep, búsqueda de funciones indefinidas, referencias cruzadas y verificación de lógica de flujo.</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C-01</w:t>
            </w:r>
          </w:p>
          <w:p>
            <w:pPr>
              <w:jc w:val="center"/>
            </w:pPr>
            <w:r>
              <w:rPr>
                <w:rFonts w:ascii="Arial" w:cs="Arial" w:eastAsia="Arial" w:hAnsi="Arial"/>
                <w:b/>
                <w:bCs/>
                <w:color w:val="FFFFFF"/>
                <w:sz w:val="14"/>
                <w:szCs w:val="14"/>
              </w:rPr>
              <w:t xml:space="preserve">CRÍTICO</w:t>
            </w:r>
          </w:p>
        </w:tc>
        <w:tc>
          <w:tcPr>
            <w:tcW w:type="dxa" w:w="8360"/>
            <w:tcBorders>
              <w:top w:val="single" w:color="C0392B" w:sz="1"/>
              <w:left w:val="none" w:color="FFFFFF" w:sz="0"/>
              <w:bottom w:val="single" w:color="C0392B" w:sz="1"/>
              <w:right w:val="single" w:color="C0392B" w:sz="1"/>
            </w:tcBorders>
            <w:shd w:fill="FDECEA"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WhatsApp — Número de teléfono es placeholder en producción</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config.js línea 3: whatsappNumber: '1234567890'. TODOS los botones de CTA (wa-link class), el wizard de la homepage y el botón flotante de WhatsApp envían usuarios a este número falso. La plataforma tiene docenas de CTAs en todas las páginas — todos están completamente rotos.</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Reemplazar '1234567890' con el número real de WhatsApp en formato internacional (sin +). Ej: '15551234567' para un número de EE.UU. Esto se propaga automáticamente a todos los elementos .wa-link vía config.js.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C-02</w:t>
            </w:r>
          </w:p>
          <w:p>
            <w:pPr>
              <w:jc w:val="center"/>
            </w:pPr>
            <w:r>
              <w:rPr>
                <w:rFonts w:ascii="Arial" w:cs="Arial" w:eastAsia="Arial" w:hAnsi="Arial"/>
                <w:b/>
                <w:bCs/>
                <w:color w:val="FFFFFF"/>
                <w:sz w:val="14"/>
                <w:szCs w:val="14"/>
              </w:rPr>
              <w:t xml:space="preserve">CRÍTICO</w:t>
            </w:r>
          </w:p>
        </w:tc>
        <w:tc>
          <w:tcPr>
            <w:tcW w:type="dxa" w:w="8360"/>
            <w:tcBorders>
              <w:top w:val="single" w:color="C0392B" w:sz="1"/>
              <w:left w:val="none" w:color="FFFFFF" w:sz="0"/>
              <w:bottom w:val="single" w:color="C0392B" w:sz="1"/>
              <w:right w:val="single" w:color="C0392B" w:sz="1"/>
            </w:tcBorders>
            <w:shd w:fill="FDECEA"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Google Analytics — ID de medición es placeholder (G-XXXXXXXXXX)</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Todas las 33 páginas HTML incluyen el script de Google Analytics con el ID G-XXXXXXXXXX. GA no está recopilando datos de ningún usuario. Adicionalmente, index.html incluye el script de GA DUPLICADO (aparece dos veces en el &lt;head&gt;), enviando dos eventos de pageview por cada visita.</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Crear propiedad GA4 en analytics.google.com, obtener ID real (ej. G-AB12CD34EF) y reemplazar todas las instancias. Para el duplicado en index.html, eliminar el segundo bloque de script (líneas 62-68). Considerar mover el script a una sola inclusión desde config.js.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C-03</w:t>
            </w:r>
          </w:p>
          <w:p>
            <w:pPr>
              <w:jc w:val="center"/>
            </w:pPr>
            <w:r>
              <w:rPr>
                <w:rFonts w:ascii="Arial" w:cs="Arial" w:eastAsia="Arial" w:hAnsi="Arial"/>
                <w:b/>
                <w:bCs/>
                <w:color w:val="FFFFFF"/>
                <w:sz w:val="14"/>
                <w:szCs w:val="14"/>
              </w:rPr>
              <w:t xml:space="preserve">CRÍTICO</w:t>
            </w:r>
          </w:p>
        </w:tc>
        <w:tc>
          <w:tcPr>
            <w:tcW w:type="dxa" w:w="8360"/>
            <w:tcBorders>
              <w:top w:val="single" w:color="C0392B" w:sz="1"/>
              <w:left w:val="none" w:color="FFFFFF" w:sz="0"/>
              <w:bottom w:val="single" w:color="C0392B" w:sz="1"/>
              <w:right w:val="single" w:color="C0392B" w:sz="1"/>
            </w:tcBorders>
            <w:shd w:fill="FDECEA"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Formspree — ID es placeholder, formularios no envían emails</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config.js línea 4: formspreeId: 'YOUR_ID_HERE'. Los formularios de contacto en todas las páginas no envían correos electrónicos. La lógica de fallback redirige a WhatsApp, pero ese número también es incorrecto (C-01). Los usuarios que llenan el formulario y dan clic en 'Enviar' no reciben ninguna respuesta.</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Registrar cuenta en formspree.io, crear un formulario y copiar el ID (ej. 'xpznrvkw'). Actualizar config.js línea 4: formspreeId: 'xpznrvkw'. Verificar con un envío de prueba.</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D35400"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C-04</w:t>
            </w:r>
          </w:p>
          <w:p>
            <w:pPr>
              <w:jc w:val="center"/>
            </w:pPr>
            <w:r>
              <w:rPr>
                <w:rFonts w:ascii="Arial" w:cs="Arial" w:eastAsia="Arial" w:hAnsi="Arial"/>
                <w:b/>
                <w:bCs/>
                <w:color w:val="FFFFFF"/>
                <w:sz w:val="14"/>
                <w:szCs w:val="14"/>
              </w:rPr>
              <w:t xml:space="preserve">ALTO</w:t>
            </w:r>
          </w:p>
        </w:tc>
        <w:tc>
          <w:tcPr>
            <w:tcW w:type="dxa" w:w="8360"/>
            <w:tcBorders>
              <w:top w:val="single" w:color="D35400" w:sz="1"/>
              <w:left w:val="none" w:color="FFFFFF" w:sz="0"/>
              <w:bottom w:val="single" w:color="D35400" w:sz="1"/>
              <w:right w:val="single" w:color="D35400" w:sz="1"/>
            </w:tcBorders>
            <w:shd w:fill="FEF3E2"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PWA — Sin &lt;link rel='manifest'&gt; ni registro de Service Worker en ninguna página</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El proyecto tiene manifest.json, sw.js, icon-192.png e icon-512.png — pero NINGUNA página HTML incluye el tag &lt;link rel='manifest' href='/manifest.json'&gt; ni el script de registro del service worker. La PWA está completamente inactiva: no hay icono de instalación, no hay funcionamiento offline, no aparece en búsquedas de Android como app instalable.</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Añadir a &lt;head&gt; de TODAS las páginas: (1) &lt;link rel='manifest' href='/manifest.json'&gt; y (2) el script de registro: &lt;script&gt;if('serviceWorker' in navigator) navigator.serviceWorker.register('/sw.js');&lt;/script&gt;. Puede hacerse en config.js con DOMContentLoaded para propagarse a toda la plataforma.</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D35400"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C-05</w:t>
            </w:r>
          </w:p>
          <w:p>
            <w:pPr>
              <w:jc w:val="center"/>
            </w:pPr>
            <w:r>
              <w:rPr>
                <w:rFonts w:ascii="Arial" w:cs="Arial" w:eastAsia="Arial" w:hAnsi="Arial"/>
                <w:b/>
                <w:bCs/>
                <w:color w:val="FFFFFF"/>
                <w:sz w:val="14"/>
                <w:szCs w:val="14"/>
              </w:rPr>
              <w:t xml:space="preserve">ALTO</w:t>
            </w:r>
          </w:p>
        </w:tc>
        <w:tc>
          <w:tcPr>
            <w:tcW w:type="dxa" w:w="8360"/>
            <w:tcBorders>
              <w:top w:val="single" w:color="D35400" w:sz="1"/>
              <w:left w:val="none" w:color="FFFFFF" w:sz="0"/>
              <w:bottom w:val="single" w:color="D35400" w:sz="1"/>
              <w:right w:val="single" w:color="D35400" w:sz="1"/>
            </w:tcBorders>
            <w:shd w:fill="FEF3E2"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Service Worker — 7+ páginas nuevas no están en el cache de ASSETS</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sw.js define un array ASSETS con páginas a pre-cachear, pero no incluye: /blog/first-step-act-creditos-etc.html, /blog/saltar-halfway-house-2026.html, ni ninguna de las páginas de instalaciones (todas las de /facilities/). Estas páginas no funcionarán offline y no se benefician de la estrategia cache-first.</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Actualizar el array ASSETS en sw.js para incluir todas las páginas del blog y facilities. Incrementar CACHE_NAME a 'guia-federal-v3' para invalidar el cache anterior.</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C-06</w:t>
            </w:r>
          </w:p>
          <w:p>
            <w:pPr>
              <w:jc w:val="center"/>
            </w:pPr>
            <w:r>
              <w:rPr>
                <w:rFonts w:ascii="Arial" w:cs="Arial" w:eastAsia="Arial" w:hAnsi="Arial"/>
                <w:b/>
                <w:bCs/>
                <w:color w:val="FFFFFF"/>
                <w:sz w:val="14"/>
                <w:szCs w:val="14"/>
              </w:rPr>
              <w:t xml:space="preserve">MEDIO</w:t>
            </w:r>
          </w:p>
        </w:tc>
        <w:tc>
          <w:tcPr>
            <w:tcW w:type="dxa" w:w="8360"/>
            <w:tcBorders>
              <w:top w:val="single" w:color="2563EB" w:sz="1"/>
              <w:left w:val="none" w:color="FFFFFF" w:sz="0"/>
              <w:bottom w:val="single" w:color="2563EB" w:sz="1"/>
              <w:right w:val="single" w:color="2563EB" w:sz="1"/>
            </w:tcBorders>
            <w:shd w:fill="EBF4FB"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id='contactForm' duplicado en 10 archivos HTML distintos</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El atributo id='contactForm' aparece en 10 páginas diferentes. Aunque cada página tiene solo un formulario (no hay duplicados dentro de la misma página), es una práctica no estándar. Si se añade más de un formulario por página en el futuro, esto causará bugs silenciosos donde solo el primer formulario responda a handleFormSubmit().</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Cambiar id='contactForm' a class='contact-form-js' y actualizar handleFormSubmit para buscar el formulario por clase o usar event.target directamente (lo cual ya hace correctamente). El ID único debería reservarse solo si se necesita ancla o querySelector directo.</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1A7A4A"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C-07</w:t>
            </w:r>
          </w:p>
          <w:p>
            <w:pPr>
              <w:jc w:val="center"/>
            </w:pPr>
            <w:r>
              <w:rPr>
                <w:rFonts w:ascii="Arial" w:cs="Arial" w:eastAsia="Arial" w:hAnsi="Arial"/>
                <w:b/>
                <w:bCs/>
                <w:color w:val="FFFFFF"/>
                <w:sz w:val="14"/>
                <w:szCs w:val="14"/>
              </w:rPr>
              <w:t xml:space="preserve">BAJO</w:t>
            </w:r>
          </w:p>
        </w:tc>
        <w:tc>
          <w:tcPr>
            <w:tcW w:type="dxa" w:w="8360"/>
            <w:tcBorders>
              <w:top w:val="single" w:color="1A7A4A" w:sz="1"/>
              <w:left w:val="none" w:color="FFFFFF" w:sz="0"/>
              <w:bottom w:val="single" w:color="1A7A4A" w:sz="1"/>
              <w:right w:val="single" w:color="1A7A4A" w:sz="1"/>
            </w:tcBorders>
            <w:shd w:fill="E8F5ED"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Funciones toggleNav() / toggleTheme() duplicadas en algunos blogs</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config.js define correctamente toggleNav() y toggleTheme(). Sin embargo, varios blogs (saltar-halfway-house-2026.html, investigacion-federal-que-hacer.html, ser-jefe-de-tu-libertad.html, etc.) definen su propia versión local de toggleNav() en un &lt;script&gt; inline. Esto crea una definición duplicada — la última en cargarse gana, lo cual puede ser inconsistente.</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Eliminar las definiciones locales de toggleNav() de los archivos de blog que las tienen. Ya que config.js se carga con defer antes de DOMContentLoaded, la versión de config.js estará disponible. Verificar que todos los blogs incluyan &lt;script src='/config.js' defer&gt;.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1A7A4A"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C-08</w:t>
            </w:r>
          </w:p>
          <w:p>
            <w:pPr>
              <w:jc w:val="center"/>
            </w:pPr>
            <w:r>
              <w:rPr>
                <w:rFonts w:ascii="Arial" w:cs="Arial" w:eastAsia="Arial" w:hAnsi="Arial"/>
                <w:b/>
                <w:bCs/>
                <w:color w:val="FFFFFF"/>
                <w:sz w:val="14"/>
                <w:szCs w:val="14"/>
              </w:rPr>
              <w:t xml:space="preserve">BAJO</w:t>
            </w:r>
          </w:p>
        </w:tc>
        <w:tc>
          <w:tcPr>
            <w:tcW w:type="dxa" w:w="8360"/>
            <w:tcBorders>
              <w:top w:val="single" w:color="1A7A4A" w:sz="1"/>
              <w:left w:val="none" w:color="FFFFFF" w:sz="0"/>
              <w:bottom w:val="single" w:color="1A7A4A" w:sz="1"/>
              <w:right w:val="single" w:color="1A7A4A" w:sz="1"/>
            </w:tcBorders>
            <w:shd w:fill="E8F5ED"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Inline style= excesivos (86 instancias solo en index.html)</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index.html contiene 86 atributos style= en línea. Aunque funcionalmente correcto, esto dificulta el mantenimiento, impide la reutilización de temas, y hace el archivo muy difícil de leer. El CSS debería residir en index.css.</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Extraer los patrones de estilo repetidos a clases CSS en index.css. Los estilos únicos pueden permanecer inline o moverse a data attributes para temas. Prioridad baja ya que no afecta el funcionamiento.</w:t>
            </w:r>
          </w:p>
        </w:tc>
      </w:tr>
    </w:tbl>
    <w:p>
      <w:pPr>
        <w:pageBreakBefore/>
      </w:pPr>
    </w:p>
    <w:p>
      <w:pPr>
        <w:pStyle w:val="Heading1"/>
        <w:pBdr>
          <w:bottom w:val="single" w:color="C0392B" w:sz="8"/>
        </w:pBdr>
        <w:spacing w:after="120" w:before="320"/>
      </w:pPr>
      <w:r>
        <w:rPr>
          <w:rFonts w:ascii="Arial" w:cs="Arial" w:eastAsia="Arial" w:hAnsi="Arial"/>
          <w:b/>
          <w:bCs/>
          <w:color w:val="1A2B4C"/>
          <w:sz w:val="32"/>
          <w:szCs w:val="32"/>
        </w:rPr>
        <w:t xml:space="preserve">4. SEO y Sitemap</w:t>
      </w:r>
    </w:p>
    <w:p>
      <w:pPr>
        <w:spacing w:after="100" w:before="60"/>
      </w:pPr>
      <w:r>
        <w:rPr>
          <w:rFonts w:ascii="Arial" w:cs="Arial" w:eastAsia="Arial" w:hAnsi="Arial"/>
          <w:color w:val="374151"/>
          <w:sz w:val="20"/>
          <w:szCs w:val="20"/>
        </w:rPr>
        <w:t xml:space="preserve">Se auditaron sitemap.xml, robots.txt, meta tags, canonical URLs, OG tags, structured data (JSON-LD) y cobertura de indexación.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S-01</w:t>
            </w:r>
          </w:p>
          <w:p>
            <w:pPr>
              <w:jc w:val="center"/>
            </w:pPr>
            <w:r>
              <w:rPr>
                <w:rFonts w:ascii="Arial" w:cs="Arial" w:eastAsia="Arial" w:hAnsi="Arial"/>
                <w:b/>
                <w:bCs/>
                <w:color w:val="FFFFFF"/>
                <w:sz w:val="14"/>
                <w:szCs w:val="14"/>
              </w:rPr>
              <w:t xml:space="preserve">CRÍTICO</w:t>
            </w:r>
          </w:p>
        </w:tc>
        <w:tc>
          <w:tcPr>
            <w:tcW w:type="dxa" w:w="8360"/>
            <w:tcBorders>
              <w:top w:val="single" w:color="C0392B" w:sz="1"/>
              <w:left w:val="none" w:color="FFFFFF" w:sz="0"/>
              <w:bottom w:val="single" w:color="C0392B" w:sz="1"/>
              <w:right w:val="single" w:color="C0392B" w:sz="1"/>
            </w:tcBorders>
            <w:shd w:fill="FDECEA"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Sitemap.xml — 21 páginas AUSENTES (incluye blog completo y páginas clave)</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El sitemap.xml NO incluye: fsa-guide, rdap-guide, disclaimer, kit-supervivencia, guia-72-horas-pdf, las 15 páginas de artículos del blog, y blog/index.html. Google no indexará estas páginas con la misma eficiencia, y el blog completo (el asset de SEO más valioso del sitio) es prácticamente invisible para los crawlers.</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Añadir todas las páginas al sitemap. Las páginas del blog deben tener changefreq='monthly', priority='0.7'. fsa-guide y rdap-guide deben tener priority='0.9'. El sitemap debe regenerarse con cada nueva página publicada — considerar un script de generación automática.</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D35400"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S-02</w:t>
            </w:r>
          </w:p>
          <w:p>
            <w:pPr>
              <w:jc w:val="center"/>
            </w:pPr>
            <w:r>
              <w:rPr>
                <w:rFonts w:ascii="Arial" w:cs="Arial" w:eastAsia="Arial" w:hAnsi="Arial"/>
                <w:b/>
                <w:bCs/>
                <w:color w:val="FFFFFF"/>
                <w:sz w:val="14"/>
                <w:szCs w:val="14"/>
              </w:rPr>
              <w:t xml:space="preserve">ALTO</w:t>
            </w:r>
          </w:p>
        </w:tc>
        <w:tc>
          <w:tcPr>
            <w:tcW w:type="dxa" w:w="8360"/>
            <w:tcBorders>
              <w:top w:val="single" w:color="D35400" w:sz="1"/>
              <w:left w:val="none" w:color="FFFFFF" w:sz="0"/>
              <w:bottom w:val="single" w:color="D35400" w:sz="1"/>
              <w:right w:val="single" w:color="D35400" w:sz="1"/>
            </w:tcBorders>
            <w:shd w:fill="FEF3E2"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Dominio incorrecto en canonical URLs — 'fronteralegal.vercel.app' vs marca 'Guía Federal'</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Todas las canonical URLs y OG URLs usan https://fronteralegal.vercel.app. El nombre de marca es 'Guía Federal'. La URL de producción debería ser un dominio propio (ej. guia-federal.com o guiafederal.com). Usar el dominio de Vercel como canonical URL es perjudicial para SEO a largo plazo: si el dominio cambia, todos los backlinks y señales de autoridad se pierden.</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Registrar dominio propio (guia-federal.com recomendado). Configurar en Vercel con Custom Domain. Actualizar todas las canonical URLs en el HTML y en vercel.json. El dominio .com es preferible para credibilidad con el público latinoamericano en EE.UU.</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D35400"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S-03</w:t>
            </w:r>
          </w:p>
          <w:p>
            <w:pPr>
              <w:jc w:val="center"/>
            </w:pPr>
            <w:r>
              <w:rPr>
                <w:rFonts w:ascii="Arial" w:cs="Arial" w:eastAsia="Arial" w:hAnsi="Arial"/>
                <w:b/>
                <w:bCs/>
                <w:color w:val="FFFFFF"/>
                <w:sz w:val="14"/>
                <w:szCs w:val="14"/>
              </w:rPr>
              <w:t xml:space="preserve">ALTO</w:t>
            </w:r>
          </w:p>
        </w:tc>
        <w:tc>
          <w:tcPr>
            <w:tcW w:type="dxa" w:w="8360"/>
            <w:tcBorders>
              <w:top w:val="single" w:color="D35400" w:sz="1"/>
              <w:left w:val="none" w:color="FFFFFF" w:sz="0"/>
              <w:bottom w:val="single" w:color="D35400" w:sz="1"/>
              <w:right w:val="single" w:color="D35400" w:sz="1"/>
            </w:tcBorders>
            <w:shd w:fill="FEF3E2"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Sin hreflang — Google no sabe que el sitio es en español para usuarios hispanohablantes</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Ninguna página incluye el tag hreflang. Dado que la plataforma es completamente en español y sirve a una audiencia hispanohablante en EE.UU., la ausencia de hreflang='es' (o hreflang='es-US') impide que Google priorice el sitio para búsquedas en español.</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Añadir a &lt;head&gt; de todas las páginas: &lt;link rel='alternate' hreflang='es-US' href='https://[domain]/[page]'&gt; y &lt;link rel='alternate' hreflang='x-default' href='https://[domain]/'&gt;. Esto también mejora el targeting geográfico para la audiencia objetivo.</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S-04</w:t>
            </w:r>
          </w:p>
          <w:p>
            <w:pPr>
              <w:jc w:val="center"/>
            </w:pPr>
            <w:r>
              <w:rPr>
                <w:rFonts w:ascii="Arial" w:cs="Arial" w:eastAsia="Arial" w:hAnsi="Arial"/>
                <w:b/>
                <w:bCs/>
                <w:color w:val="FFFFFF"/>
                <w:sz w:val="14"/>
                <w:szCs w:val="14"/>
              </w:rPr>
              <w:t xml:space="preserve">MEDIO</w:t>
            </w:r>
          </w:p>
        </w:tc>
        <w:tc>
          <w:tcPr>
            <w:tcW w:type="dxa" w:w="8360"/>
            <w:tcBorders>
              <w:top w:val="single" w:color="2563EB" w:sz="1"/>
              <w:left w:val="none" w:color="FFFFFF" w:sz="0"/>
              <w:bottom w:val="single" w:color="2563EB" w:sz="1"/>
              <w:right w:val="single" w:color="2563EB" w:sz="1"/>
            </w:tcBorders>
            <w:shd w:fill="EBF4FB"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1 blog post usa imagen Unsplash como OG image (rdap-explicado.html)</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rdap-explicado.html tiene &lt;meta property='og:image' content='https://images.unsplash.com/...'&gt; en lugar de usar el asset de marca /assets/brand-og.png. Cuando se comparte en redes sociales, aparece una foto genérica de stock en vez de la imagen de marca.</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Cambiar el OG image de rdap-explicado.html a https://[domain]/assets/brand-og.png para consistencia de marca.</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S-05</w:t>
            </w:r>
          </w:p>
          <w:p>
            <w:pPr>
              <w:jc w:val="center"/>
            </w:pPr>
            <w:r>
              <w:rPr>
                <w:rFonts w:ascii="Arial" w:cs="Arial" w:eastAsia="Arial" w:hAnsi="Arial"/>
                <w:b/>
                <w:bCs/>
                <w:color w:val="FFFFFF"/>
                <w:sz w:val="14"/>
                <w:szCs w:val="14"/>
              </w:rPr>
              <w:t xml:space="preserve">MEDIO</w:t>
            </w:r>
          </w:p>
        </w:tc>
        <w:tc>
          <w:tcPr>
            <w:tcW w:type="dxa" w:w="8360"/>
            <w:tcBorders>
              <w:top w:val="single" w:color="2563EB" w:sz="1"/>
              <w:left w:val="none" w:color="FFFFFF" w:sz="0"/>
              <w:bottom w:val="single" w:color="2563EB" w:sz="1"/>
              <w:right w:val="single" w:color="2563EB" w:sz="1"/>
            </w:tcBorders>
            <w:shd w:fill="EBF4FB"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9 imágenes hotlinkeadas de Unsplash — dependencia de tercero para heroes</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9 páginas de instalaciones y rdap-guide.html usan imágenes de Unsplash directamente por URL (hotlinking). Esto crea dependencia de un tercero: si Unsplash cambia sus políticas, las imágenes de hero dejan de cargar. Además, las imágenes de Unsplash no son 'propias' de la marca.</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Descargar las 9 imágenes y alojarlas en /assets/ como hero-[facility].jpg. Actualizar las referencias en HTML. Esto también mejora el Core Web Vitals al servir las imágenes desde el mismo origen.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1A7A4A"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S-06</w:t>
            </w:r>
          </w:p>
          <w:p>
            <w:pPr>
              <w:jc w:val="center"/>
            </w:pPr>
            <w:r>
              <w:rPr>
                <w:rFonts w:ascii="Arial" w:cs="Arial" w:eastAsia="Arial" w:hAnsi="Arial"/>
                <w:b/>
                <w:bCs/>
                <w:color w:val="FFFFFF"/>
                <w:sz w:val="14"/>
                <w:szCs w:val="14"/>
              </w:rPr>
              <w:t xml:space="preserve">BAJO</w:t>
            </w:r>
          </w:p>
        </w:tc>
        <w:tc>
          <w:tcPr>
            <w:tcW w:type="dxa" w:w="8360"/>
            <w:tcBorders>
              <w:top w:val="single" w:color="1A7A4A" w:sz="1"/>
              <w:left w:val="none" w:color="FFFFFF" w:sz="0"/>
              <w:bottom w:val="single" w:color="1A7A4A" w:sz="1"/>
              <w:right w:val="single" w:color="1A7A4A" w:sz="1"/>
            </w:tcBorders>
            <w:shd w:fill="E8F5ED"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Structured data JSON-LD no incluye 'contactPoint' con WhatsApp</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El JSON-LD de tipo ProfessionalService en index.html no incluye un contactPoint. Esto pierde la oportunidad de mostrar información de contacto directamente en resultados de búsqueda enriquecidos.</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Añadir al JSON-LD de ProfessionalService: 'contactPoint': {'@type': 'ContactPoint', 'telephone': '+1-[número real]', 'contactType': 'customer service', 'availableLanguage': 'Spanish'}.</w:t>
            </w:r>
          </w:p>
        </w:tc>
      </w:tr>
    </w:tbl>
    <w:p>
      <w:pPr>
        <w:pageBreakBefore/>
      </w:pPr>
    </w:p>
    <w:p>
      <w:pPr>
        <w:pStyle w:val="Heading1"/>
        <w:pBdr>
          <w:bottom w:val="single" w:color="C0392B" w:sz="8"/>
        </w:pBdr>
        <w:spacing w:after="120" w:before="320"/>
      </w:pPr>
      <w:r>
        <w:rPr>
          <w:rFonts w:ascii="Arial" w:cs="Arial" w:eastAsia="Arial" w:hAnsi="Arial"/>
          <w:b/>
          <w:bCs/>
          <w:color w:val="1A2B4C"/>
          <w:sz w:val="32"/>
          <w:szCs w:val="32"/>
        </w:rPr>
        <w:t xml:space="preserve">5. Seguridad</w:t>
      </w:r>
    </w:p>
    <w:p>
      <w:pPr>
        <w:spacing w:after="100" w:before="60"/>
      </w:pPr>
      <w:r>
        <w:rPr>
          <w:rFonts w:ascii="Arial" w:cs="Arial" w:eastAsia="Arial" w:hAnsi="Arial"/>
          <w:color w:val="374151"/>
          <w:sz w:val="20"/>
          <w:szCs w:val="20"/>
        </w:rPr>
        <w:t xml:space="preserve">Se auditó vercel.json para headers de seguridad, la Content Security Policy, configuraciones expuestas, y manejo de datos de usuario.</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D35400"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SEC-01</w:t>
            </w:r>
          </w:p>
          <w:p>
            <w:pPr>
              <w:jc w:val="center"/>
            </w:pPr>
            <w:r>
              <w:rPr>
                <w:rFonts w:ascii="Arial" w:cs="Arial" w:eastAsia="Arial" w:hAnsi="Arial"/>
                <w:b/>
                <w:bCs/>
                <w:color w:val="FFFFFF"/>
                <w:sz w:val="14"/>
                <w:szCs w:val="14"/>
              </w:rPr>
              <w:t xml:space="preserve">ALTO</w:t>
            </w:r>
          </w:p>
        </w:tc>
        <w:tc>
          <w:tcPr>
            <w:tcW w:type="dxa" w:w="8360"/>
            <w:tcBorders>
              <w:top w:val="single" w:color="D35400" w:sz="1"/>
              <w:left w:val="none" w:color="FFFFFF" w:sz="0"/>
              <w:bottom w:val="single" w:color="D35400" w:sz="1"/>
              <w:right w:val="single" w:color="D35400" w:sz="1"/>
            </w:tcBorders>
            <w:shd w:fill="FEF3E2"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CSP bloquea Google Analytics — connect-src 'self' impide envío de eventos</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vercel.json define Content-Security-Policy con connect-src 'self'. Esto bloquea las llamadas XHR/fetch de Google Analytics a https://www.google-analytics.com y https://www.googletagmanager.com. Incluso si se configura el GA ID real (C-02), los eventos de GA serán bloqueados silenciosamente por el navegador.</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Añadir a connect-src: 'https://www.google-analytics.com https://www.googletagmanager.com https://formspree.io'. CSP actualizado: connect-src 'self' https://www.google-analytics.com https://www.googletagmanager.com https://formspree.io</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D35400"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SEC-02</w:t>
            </w:r>
          </w:p>
          <w:p>
            <w:pPr>
              <w:jc w:val="center"/>
            </w:pPr>
            <w:r>
              <w:rPr>
                <w:rFonts w:ascii="Arial" w:cs="Arial" w:eastAsia="Arial" w:hAnsi="Arial"/>
                <w:b/>
                <w:bCs/>
                <w:color w:val="FFFFFF"/>
                <w:sz w:val="14"/>
                <w:szCs w:val="14"/>
              </w:rPr>
              <w:t xml:space="preserve">ALTO</w:t>
            </w:r>
          </w:p>
        </w:tc>
        <w:tc>
          <w:tcPr>
            <w:tcW w:type="dxa" w:w="8360"/>
            <w:tcBorders>
              <w:top w:val="single" w:color="D35400" w:sz="1"/>
              <w:left w:val="none" w:color="FFFFFF" w:sz="0"/>
              <w:bottom w:val="single" w:color="D35400" w:sz="1"/>
              <w:right w:val="single" w:color="D35400" w:sz="1"/>
            </w:tcBorders>
            <w:shd w:fill="FEF3E2"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HSTS (Strict-Transport-Security) ausente en vercel.json</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vercel.json no incluye el header Strict-Transport-Security. Aunque Vercel sirve HTTPS por defecto, la ausencia de HSTS significa que usuarios que escriban el dominio en HTTP podrían ser interceptados antes del redirect. HSTS previene ataques man-in-the-middle durante la primera visita.</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Añadir al array de headers en vercel.json: { 'key': 'Strict-Transport-Security', 'value': 'max-age=31536000; includeSubDomains; preload' }. Después de 90 días de operación estable, registrar el dominio en el HSTS preload list.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SEC-03</w:t>
            </w:r>
          </w:p>
          <w:p>
            <w:pPr>
              <w:jc w:val="center"/>
            </w:pPr>
            <w:r>
              <w:rPr>
                <w:rFonts w:ascii="Arial" w:cs="Arial" w:eastAsia="Arial" w:hAnsi="Arial"/>
                <w:b/>
                <w:bCs/>
                <w:color w:val="FFFFFF"/>
                <w:sz w:val="14"/>
                <w:szCs w:val="14"/>
              </w:rPr>
              <w:t xml:space="preserve">MEDIO</w:t>
            </w:r>
          </w:p>
        </w:tc>
        <w:tc>
          <w:tcPr>
            <w:tcW w:type="dxa" w:w="8360"/>
            <w:tcBorders>
              <w:top w:val="single" w:color="2563EB" w:sz="1"/>
              <w:left w:val="none" w:color="FFFFFF" w:sz="0"/>
              <w:bottom w:val="single" w:color="2563EB" w:sz="1"/>
              <w:right w:val="single" w:color="2563EB" w:sz="1"/>
            </w:tcBorders>
            <w:shd w:fill="EBF4FB"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CSP usa 'unsafe-inline' para script-src — debilita protección XSS</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La CSP incluye script-src 'self' 'unsafe-inline'. Esta directiva anula gran parte de la protección XSS que ofrece la CSP, ya que permite ejecutar cualquier script inline. La plataforma usa scripts inline extensamente (wizard, parallax), lo que dificulta eliminarlo, pero debería ser el objetivo a largo plazo.</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A corto plazo: documentar todos los scripts inline y añadir 'nonce' específicos o migrar scripts inline a config.js. A largo plazo: eliminar 'unsafe-inline' y usar nonces CSP generados por Vercel Edge. Esto es una mejora de seguridad de profundidad para una segunda fase.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1A7A4A"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SEC-04</w:t>
            </w:r>
          </w:p>
          <w:p>
            <w:pPr>
              <w:jc w:val="center"/>
            </w:pPr>
            <w:r>
              <w:rPr>
                <w:rFonts w:ascii="Arial" w:cs="Arial" w:eastAsia="Arial" w:hAnsi="Arial"/>
                <w:b/>
                <w:bCs/>
                <w:color w:val="FFFFFF"/>
                <w:sz w:val="14"/>
                <w:szCs w:val="14"/>
              </w:rPr>
              <w:t xml:space="preserve">BAJO</w:t>
            </w:r>
          </w:p>
        </w:tc>
        <w:tc>
          <w:tcPr>
            <w:tcW w:type="dxa" w:w="8360"/>
            <w:tcBorders>
              <w:top w:val="single" w:color="1A7A4A" w:sz="1"/>
              <w:left w:val="none" w:color="FFFFFF" w:sz="0"/>
              <w:bottom w:val="single" w:color="1A7A4A" w:sz="1"/>
              <w:right w:val="single" w:color="1A7A4A" w:sz="1"/>
            </w:tcBorders>
            <w:shd w:fill="E8F5ED"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Formspree ID en config.js — expuesto en código fuente del cliente</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Cuando se configure el ID real de Formspree, estará visible en el código fuente del navegador. Cualquier persona puede copiar el ID y hacer spam al endpoint. Este es un riesgo conocido y aceptado con Formspree, pero debe mitigarse.</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En Formspree, activar: (1) reCAPTCHA en el formulario, (2) restricción de dominio de origen (allow only fronteralegal.vercel.app / custom domain), (3) honeypot anti-spam. Estas configuraciones se hacen en el dashboard de Formspree, no en el código.</w:t>
            </w:r>
          </w:p>
        </w:tc>
      </w:tr>
    </w:tbl>
    <w:p>
      <w:pPr>
        <w:pageBreakBefore/>
      </w:pPr>
    </w:p>
    <w:p>
      <w:pPr>
        <w:pStyle w:val="Heading1"/>
        <w:pBdr>
          <w:bottom w:val="single" w:color="C0392B" w:sz="8"/>
        </w:pBdr>
        <w:spacing w:after="120" w:before="320"/>
      </w:pPr>
      <w:r>
        <w:rPr>
          <w:rFonts w:ascii="Arial" w:cs="Arial" w:eastAsia="Arial" w:hAnsi="Arial"/>
          <w:b/>
          <w:bCs/>
          <w:color w:val="1A2B4C"/>
          <w:sz w:val="32"/>
          <w:szCs w:val="32"/>
        </w:rPr>
        <w:t xml:space="preserve">6. Accesibilidad (WCAG 2.1)</w:t>
      </w:r>
    </w:p>
    <w:p>
      <w:pPr>
        <w:spacing w:after="100" w:before="60"/>
      </w:pPr>
      <w:r>
        <w:rPr>
          <w:rFonts w:ascii="Arial" w:cs="Arial" w:eastAsia="Arial" w:hAnsi="Arial"/>
          <w:color w:val="374151"/>
          <w:sz w:val="20"/>
          <w:szCs w:val="20"/>
        </w:rPr>
        <w:t xml:space="preserve">Se auditaron labels de formularios, atributos alt, roles ARIA, estructura de headings y otros criterios de accesibilidad.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D35400"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A-01</w:t>
            </w:r>
          </w:p>
          <w:p>
            <w:pPr>
              <w:jc w:val="center"/>
            </w:pPr>
            <w:r>
              <w:rPr>
                <w:rFonts w:ascii="Arial" w:cs="Arial" w:eastAsia="Arial" w:hAnsi="Arial"/>
                <w:b/>
                <w:bCs/>
                <w:color w:val="FFFFFF"/>
                <w:sz w:val="14"/>
                <w:szCs w:val="14"/>
              </w:rPr>
              <w:t xml:space="preserve">ALTO</w:t>
            </w:r>
          </w:p>
        </w:tc>
        <w:tc>
          <w:tcPr>
            <w:tcW w:type="dxa" w:w="8360"/>
            <w:tcBorders>
              <w:top w:val="single" w:color="D35400" w:sz="1"/>
              <w:left w:val="none" w:color="FFFFFF" w:sz="0"/>
              <w:bottom w:val="single" w:color="D35400" w:sz="1"/>
              <w:right w:val="single" w:color="D35400" w:sz="1"/>
            </w:tcBorders>
            <w:shd w:fill="FEF3E2"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16 imágenes de blog (blog/index.html) sin atributo alt</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Las 15 tarjetas de artículos en blog/index.html tienen tags &lt;img class='blog-card-img'&gt; sin atributo alt. Los lectores de pantalla anuncian estas imágenes como 'image' sin descripción, lo que degrada la experiencia para usuarios con discapacidad visual.</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Añadir alt descriptivo a cada imagen de blog card con el título del artículo correspondiente. Ej: alt='Artículo: Cómo reducir sentencia federal con RDAP en 2026'. Esta también es una señal positiva para SEO de imagen.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D35400"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A-02</w:t>
            </w:r>
          </w:p>
          <w:p>
            <w:pPr>
              <w:jc w:val="center"/>
            </w:pPr>
            <w:r>
              <w:rPr>
                <w:rFonts w:ascii="Arial" w:cs="Arial" w:eastAsia="Arial" w:hAnsi="Arial"/>
                <w:b/>
                <w:bCs/>
                <w:color w:val="FFFFFF"/>
                <w:sz w:val="14"/>
                <w:szCs w:val="14"/>
              </w:rPr>
              <w:t xml:space="preserve">ALTO</w:t>
            </w:r>
          </w:p>
        </w:tc>
        <w:tc>
          <w:tcPr>
            <w:tcW w:type="dxa" w:w="8360"/>
            <w:tcBorders>
              <w:top w:val="single" w:color="D35400" w:sz="1"/>
              <w:left w:val="none" w:color="FFFFFF" w:sz="0"/>
              <w:bottom w:val="single" w:color="D35400" w:sz="1"/>
              <w:right w:val="single" w:color="D35400" w:sz="1"/>
            </w:tcBorders>
            <w:shd w:fill="FEF3E2"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Todos los inputs de formulario sin &lt;label&gt; asociado</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Los formularios de contacto en index.html, fsa-guide.html, rdap-guide.html y páginas de instalaciones usan solo placeholder como descripción. Los inputs no tienen &lt;label&gt; asociado (ni via for/id ni aria-label). Los lectores de pantalla no pueden identificar el propósito del campo cuando el usuario hace tab al input.</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Añadir aria-label a cada input: &lt;input aria-label='Su nombre completo' ...&gt; o envolver en &lt;label&gt;. La solución más rápida es aria-label ya que no requiere cambios estructurales de HTML.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A-03</w:t>
            </w:r>
          </w:p>
          <w:p>
            <w:pPr>
              <w:jc w:val="center"/>
            </w:pPr>
            <w:r>
              <w:rPr>
                <w:rFonts w:ascii="Arial" w:cs="Arial" w:eastAsia="Arial" w:hAnsi="Arial"/>
                <w:b/>
                <w:bCs/>
                <w:color w:val="FFFFFF"/>
                <w:sz w:val="14"/>
                <w:szCs w:val="14"/>
              </w:rPr>
              <w:t xml:space="preserve">MEDIO</w:t>
            </w:r>
          </w:p>
        </w:tc>
        <w:tc>
          <w:tcPr>
            <w:tcW w:type="dxa" w:w="8360"/>
            <w:tcBorders>
              <w:top w:val="single" w:color="2563EB" w:sz="1"/>
              <w:left w:val="none" w:color="FFFFFF" w:sz="0"/>
              <w:bottom w:val="single" w:color="2563EB" w:sz="1"/>
              <w:right w:val="single" w:color="2563EB" w:sz="1"/>
            </w:tcBorders>
            <w:shd w:fill="EBF4FB"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Sin &lt;link rel='manifest'&gt; (también SEO) y sin meta theme-color</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Ninguna página incluye meta theme-color, que es el indicador de color de la barra de navegación del navegador en dispositivos móviles. Esto resulta en una barra de navegación blanca genérica en lugar del color de marca.</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Añadir a &lt;head&gt; de todas las páginas: &lt;meta name='theme-color' content='#1A2B4C'&gt; (color navy de la marca). Puede añadirse en config.js junto con el registro del SW.</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1A7A4A"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A-04</w:t>
            </w:r>
          </w:p>
          <w:p>
            <w:pPr>
              <w:jc w:val="center"/>
            </w:pPr>
            <w:r>
              <w:rPr>
                <w:rFonts w:ascii="Arial" w:cs="Arial" w:eastAsia="Arial" w:hAnsi="Arial"/>
                <w:b/>
                <w:bCs/>
                <w:color w:val="FFFFFF"/>
                <w:sz w:val="14"/>
                <w:szCs w:val="14"/>
              </w:rPr>
              <w:t xml:space="preserve">BAJO</w:t>
            </w:r>
          </w:p>
        </w:tc>
        <w:tc>
          <w:tcPr>
            <w:tcW w:type="dxa" w:w="8360"/>
            <w:tcBorders>
              <w:top w:val="single" w:color="1A7A4A" w:sz="1"/>
              <w:left w:val="none" w:color="FFFFFF" w:sz="0"/>
              <w:bottom w:val="single" w:color="1A7A4A" w:sz="1"/>
              <w:right w:val="single" w:color="1A7A4A" w:sz="1"/>
            </w:tcBorders>
            <w:shd w:fill="E8F5ED"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Wizard en index.html — botones de pregunta sin role ARIA</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El wizard de 3 pasos en index.html usa botones &lt;button class='wz-btn' onclick='wzNext(...)'&gt; sin indicar que forman parte de un grupo de opciones. Para usuarios de teclado, no está claro que son opciones mutuamente excluyentes.</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Añadir role='radiogroup' al contenedor .wz-options y role='radio' a cada .wz-btn. Actualizar el estado seleccionado con aria-checked='true/false'.</w:t>
            </w:r>
          </w:p>
        </w:tc>
      </w:tr>
    </w:tbl>
    <w:p>
      <w:pPr>
        <w:pageBreakBefore/>
      </w:pPr>
    </w:p>
    <w:p>
      <w:pPr>
        <w:pStyle w:val="Heading1"/>
        <w:pBdr>
          <w:bottom w:val="single" w:color="C0392B" w:sz="8"/>
        </w:pBdr>
        <w:spacing w:after="120" w:before="320"/>
      </w:pPr>
      <w:r>
        <w:rPr>
          <w:rFonts w:ascii="Arial" w:cs="Arial" w:eastAsia="Arial" w:hAnsi="Arial"/>
          <w:b/>
          <w:bCs/>
          <w:color w:val="1A2B4C"/>
          <w:sz w:val="32"/>
          <w:szCs w:val="32"/>
        </w:rPr>
        <w:t xml:space="preserve">7. UX y Contenido</w:t>
      </w:r>
    </w:p>
    <w:p>
      <w:pPr>
        <w:spacing w:after="100" w:before="60"/>
      </w:pPr>
      <w:r>
        <w:rPr>
          <w:rFonts w:ascii="Arial" w:cs="Arial" w:eastAsia="Arial" w:hAnsi="Arial"/>
          <w:color w:val="374151"/>
          <w:sz w:val="20"/>
          <w:szCs w:val="20"/>
        </w:rPr>
        <w:t xml:space="preserve">Se auditaron la coherencia del contenido, páginas huérfanas, navegación, consistencia de marca y copy.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D35400"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U-01</w:t>
            </w:r>
          </w:p>
          <w:p>
            <w:pPr>
              <w:jc w:val="center"/>
            </w:pPr>
            <w:r>
              <w:rPr>
                <w:rFonts w:ascii="Arial" w:cs="Arial" w:eastAsia="Arial" w:hAnsi="Arial"/>
                <w:b/>
                <w:bCs/>
                <w:color w:val="FFFFFF"/>
                <w:sz w:val="14"/>
                <w:szCs w:val="14"/>
              </w:rPr>
              <w:t xml:space="preserve">ALTO</w:t>
            </w:r>
          </w:p>
        </w:tc>
        <w:tc>
          <w:tcPr>
            <w:tcW w:type="dxa" w:w="8360"/>
            <w:tcBorders>
              <w:top w:val="single" w:color="D35400" w:sz="1"/>
              <w:left w:val="none" w:color="FFFFFF" w:sz="0"/>
              <w:bottom w:val="single" w:color="D35400" w:sz="1"/>
              <w:right w:val="single" w:color="D35400" w:sz="1"/>
            </w:tcBorders>
            <w:shd w:fill="FEF3E2"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guia-72-horas-pdf.html — página huérfana, no en nav ni en sitemap</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guia-72-horas-pdf.html existe en el directorio raíz pero no está enlazada desde ninguna página del sitio, ni aparece en el sitemap, ni en la navegación. Los usuarios no pueden llegar a ella salvo por URL directa.</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Decidir si esta página es un asset activo o un borrador. Si es activo, añadirla al sitemap y referenciarla desde kit-supervivencia.html o el hero de index.html. Si es borrador, moverla a /drafts/ para evitar confusión.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D35400"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U-02</w:t>
            </w:r>
          </w:p>
          <w:p>
            <w:pPr>
              <w:jc w:val="center"/>
            </w:pPr>
            <w:r>
              <w:rPr>
                <w:rFonts w:ascii="Arial" w:cs="Arial" w:eastAsia="Arial" w:hAnsi="Arial"/>
                <w:b/>
                <w:bCs/>
                <w:color w:val="FFFFFF"/>
                <w:sz w:val="14"/>
                <w:szCs w:val="14"/>
              </w:rPr>
              <w:t xml:space="preserve">ALTO</w:t>
            </w:r>
          </w:p>
        </w:tc>
        <w:tc>
          <w:tcPr>
            <w:tcW w:type="dxa" w:w="8360"/>
            <w:tcBorders>
              <w:top w:val="single" w:color="D35400" w:sz="1"/>
              <w:left w:val="none" w:color="FFFFFF" w:sz="0"/>
              <w:bottom w:val="single" w:color="D35400" w:sz="1"/>
              <w:right w:val="single" w:color="D35400" w:sz="1"/>
            </w:tcBorders>
            <w:shd w:fill="FEF3E2"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Email 'info@guia-federal.com' — verificar que sea una dirección real y activa</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El email info@guia-federal.com aparece en 9 páginas como dirección de contacto principal. Si este email no existe o no es monitoreado activamente, los usuarios que intenten contactar por correo no recibirán respuesta, dañando la credibilidad del servicio.</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Verificar que info@guia-federal.com esté configurado y monitoreado. Si el dominio guia-federal.com no está registrado aún, el email no existe. Alternativa: usar la dirección de Gmail o un forwarder desde el dominio de Vercel hasta registrar el dominio propio.</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U-03</w:t>
            </w:r>
          </w:p>
          <w:p>
            <w:pPr>
              <w:jc w:val="center"/>
            </w:pPr>
            <w:r>
              <w:rPr>
                <w:rFonts w:ascii="Arial" w:cs="Arial" w:eastAsia="Arial" w:hAnsi="Arial"/>
                <w:b/>
                <w:bCs/>
                <w:color w:val="FFFFFF"/>
                <w:sz w:val="14"/>
                <w:szCs w:val="14"/>
              </w:rPr>
              <w:t xml:space="preserve">MEDIO</w:t>
            </w:r>
          </w:p>
        </w:tc>
        <w:tc>
          <w:tcPr>
            <w:tcW w:type="dxa" w:w="8360"/>
            <w:tcBorders>
              <w:top w:val="single" w:color="2563EB" w:sz="1"/>
              <w:left w:val="none" w:color="FFFFFF" w:sz="0"/>
              <w:bottom w:val="single" w:color="2563EB" w:sz="1"/>
              <w:right w:val="single" w:color="2563EB" w:sz="1"/>
            </w:tcBorders>
            <w:shd w:fill="EBF4FB"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Blog tiene 15 artículos completos pero ninguno está en el sitemap ni en la nav principal</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La plataforma tiene un blog rico con 15 artículos sobre temas legales federales relevantes (RDAP, FSA, extradición, defensa federal, etc.). Sin embargo, el blog no aparece en el sitemap (ver S-01) y el enlace en la nav principal ('Blog') lleva a /blog/index.html que sí existe. El problema es la falta de indexación.</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Añadir todas las páginas del blog al sitemap.xml (ver S-01). Considerar añadir una sección de 'Artículos Recientes' en la homepage que enlace a los 3 últimos posts — esto también es señal de contenido fresco para Google.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U-04</w:t>
            </w:r>
          </w:p>
          <w:p>
            <w:pPr>
              <w:jc w:val="center"/>
            </w:pPr>
            <w:r>
              <w:rPr>
                <w:rFonts w:ascii="Arial" w:cs="Arial" w:eastAsia="Arial" w:hAnsi="Arial"/>
                <w:b/>
                <w:bCs/>
                <w:color w:val="FFFFFF"/>
                <w:sz w:val="14"/>
                <w:szCs w:val="14"/>
              </w:rPr>
              <w:t xml:space="preserve">MEDIO</w:t>
            </w:r>
          </w:p>
        </w:tc>
        <w:tc>
          <w:tcPr>
            <w:tcW w:type="dxa" w:w="8360"/>
            <w:tcBorders>
              <w:top w:val="single" w:color="2563EB" w:sz="1"/>
              <w:left w:val="none" w:color="FFFFFF" w:sz="0"/>
              <w:bottom w:val="single" w:color="2563EB" w:sz="1"/>
              <w:right w:val="single" w:color="2563EB" w:sz="1"/>
            </w:tcBorders>
            <w:shd w:fill="EBF4FB"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kit-supervivencia.html enlazada desde hero de homepage pero ausente del sitemap</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El hero de index.html tiene un CTA secundario 'Descargar Kit 72 Horas' que enlaza a kit-supervivencia.html. Esta página existe pero no está en el sitemap ni en la navegación principal del footer.</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Añadir /kit-supervivencia al sitemap.xml con priority='0.6'. Considerar añadirla al footer bajo 'Recursos' o 'Guías Pre-Trial'.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
        <w:gridCol w:w="8360"/>
      </w:tblGrid>
      <w:tr>
        <w:tc>
          <w:tcPr>
            <w:tcW w:type="dxa" w:w="1000"/>
            <w:tcBorders>
              <w:top w:val="none" w:color="FFFFFF" w:sz="0"/>
              <w:left w:val="none" w:color="FFFFFF" w:sz="0"/>
              <w:bottom w:val="none" w:color="FFFFFF" w:sz="0"/>
              <w:right w:val="none" w:color="FFFFFF" w:sz="0"/>
            </w:tcBorders>
            <w:shd w:fill="1A7A4A" w:val="clear"/>
            <w:tcMar>
              <w:top w:type="dxa" w:w="120"/>
              <w:left w:type="dxa" w:w="120"/>
              <w:bottom w:type="dxa" w:w="120"/>
              <w:right w:type="dxa" w:w="120"/>
            </w:tcMar>
            <w:vAlign w:val="center"/>
          </w:tcPr>
          <w:p>
            <w:pPr>
              <w:jc w:val="center"/>
            </w:pPr>
            <w:r>
              <w:rPr>
                <w:rFonts w:ascii="Arial" w:cs="Arial" w:eastAsia="Arial" w:hAnsi="Arial"/>
                <w:b/>
                <w:bCs/>
                <w:color w:val="FFFFFF"/>
                <w:sz w:val="14"/>
                <w:szCs w:val="14"/>
              </w:rPr>
              <w:t xml:space="preserve">U-05</w:t>
            </w:r>
          </w:p>
          <w:p>
            <w:pPr>
              <w:jc w:val="center"/>
            </w:pPr>
            <w:r>
              <w:rPr>
                <w:rFonts w:ascii="Arial" w:cs="Arial" w:eastAsia="Arial" w:hAnsi="Arial"/>
                <w:b/>
                <w:bCs/>
                <w:color w:val="FFFFFF"/>
                <w:sz w:val="14"/>
                <w:szCs w:val="14"/>
              </w:rPr>
              <w:t xml:space="preserve">BAJO</w:t>
            </w:r>
          </w:p>
        </w:tc>
        <w:tc>
          <w:tcPr>
            <w:tcW w:type="dxa" w:w="8360"/>
            <w:tcBorders>
              <w:top w:val="single" w:color="1A7A4A" w:sz="1"/>
              <w:left w:val="none" w:color="FFFFFF" w:sz="0"/>
              <w:bottom w:val="single" w:color="1A7A4A" w:sz="1"/>
              <w:right w:val="single" w:color="1A7A4A" w:sz="1"/>
            </w:tcBorders>
            <w:shd w:fill="E8F5ED" w:val="clear"/>
            <w:tcMar>
              <w:top w:type="dxa" w:w="100"/>
              <w:left w:type="dxa" w:w="180"/>
              <w:bottom w:type="dxa" w:w="100"/>
              <w:right w:type="dxa" w:w="120"/>
            </w:tcMar>
          </w:tcPr>
          <w:p>
            <w:pPr>
              <w:spacing w:after="60" w:before="0"/>
            </w:pPr>
            <w:r>
              <w:rPr>
                <w:rFonts w:ascii="Arial" w:cs="Arial" w:eastAsia="Arial" w:hAnsi="Arial"/>
                <w:b/>
                <w:bCs/>
                <w:color w:val="1A2B4C"/>
                <w:sz w:val="22"/>
                <w:szCs w:val="22"/>
              </w:rPr>
              <w:t xml:space="preserve">MDC Los Angeles — Dirección en llms.txt diferente a lo que puede estar en la página</w:t>
            </w:r>
          </w:p>
          <w:p>
            <w:pPr>
              <w:spacing w:after="60" w:before="0"/>
            </w:pPr>
            <w:r>
              <w:rPr>
                <w:rFonts w:ascii="Arial" w:cs="Arial" w:eastAsia="Arial" w:hAnsi="Arial"/>
                <w:b/>
                <w:bCs/>
                <w:color w:val="374151"/>
                <w:sz w:val="19"/>
                <w:szCs w:val="19"/>
              </w:rPr>
              <w:t xml:space="preserve">Problema: </w:t>
            </w:r>
            <w:r>
              <w:rPr>
                <w:rFonts w:ascii="Arial" w:cs="Arial" w:eastAsia="Arial" w:hAnsi="Arial"/>
                <w:color w:val="374151"/>
                <w:sz w:val="19"/>
                <w:szCs w:val="19"/>
              </w:rPr>
              <w:t xml:space="preserve">llms.txt lista MDC Los Angeles en '535 N. Alameda St, Los Angeles CA'. Verificar que esta dirección coincida exactamente con lo que aparece en facilities/ca/mdc-los-angeles.html.</w:t>
            </w:r>
          </w:p>
          <w:p>
            <w:pPr>
              <w:spacing w:after="0" w:before="0"/>
            </w:pPr>
            <w:r>
              <w:rPr>
                <w:rFonts w:ascii="Arial" w:cs="Arial" w:eastAsia="Arial" w:hAnsi="Arial"/>
                <w:b/>
                <w:bCs/>
                <w:color w:val="1A7A4A"/>
                <w:sz w:val="19"/>
                <w:szCs w:val="19"/>
              </w:rPr>
              <w:t xml:space="preserve">Corrección: </w:t>
            </w:r>
            <w:r>
              <w:rPr>
                <w:rFonts w:ascii="Arial" w:cs="Arial" w:eastAsia="Arial" w:hAnsi="Arial"/>
                <w:color w:val="374151"/>
                <w:sz w:val="19"/>
                <w:szCs w:val="19"/>
              </w:rPr>
              <w:t xml:space="preserve">Comparar la dirección en ambos archivos y asegurar consistencia. La dirección del BOP para MDC Los Angeles es 535 N. Alameda St, Los Angeles, CA 90012 — verificar en bop.gov/locations/institutions/lax/.</w:t>
            </w:r>
          </w:p>
        </w:tc>
      </w:tr>
    </w:tbl>
    <w:p>
      <w:pPr>
        <w:pageBreakBefore/>
      </w:pPr>
    </w:p>
    <w:p>
      <w:pPr>
        <w:pStyle w:val="Heading1"/>
        <w:pBdr>
          <w:bottom w:val="single" w:color="C0392B" w:sz="8"/>
        </w:pBdr>
        <w:spacing w:after="120" w:before="320"/>
      </w:pPr>
      <w:r>
        <w:rPr>
          <w:rFonts w:ascii="Arial" w:cs="Arial" w:eastAsia="Arial" w:hAnsi="Arial"/>
          <w:b/>
          <w:bCs/>
          <w:color w:val="1A2B4C"/>
          <w:sz w:val="32"/>
          <w:szCs w:val="32"/>
        </w:rPr>
        <w:t xml:space="preserve">8. Hallazgos Resueltos desde Auditoría de Abril 2026</w:t>
      </w:r>
    </w:p>
    <w:p>
      <w:pPr>
        <w:spacing w:after="100" w:before="60"/>
      </w:pPr>
      <w:r>
        <w:rPr>
          <w:rFonts w:ascii="Arial" w:cs="Arial" w:eastAsia="Arial" w:hAnsi="Arial"/>
          <w:color w:val="374151"/>
          <w:sz w:val="20"/>
          <w:szCs w:val="20"/>
        </w:rPr>
        <w:t xml:space="preserve">Los siguientes 7 ítems de la auditoría de abril 22, 2026 fueron verificados como correctamente resueltos:</w:t>
      </w:r>
    </w:p>
    <w:p>
      <w:pPr>
        <w:spacing w:after="120" w:before="0"/>
      </w:pPr>
    </w:p>
    <w:p>
      <w:pPr>
        <w:pStyle w:val="ListParagraph"/>
        <w:numPr>
          <w:ilvl w:val="0"/>
          <w:numId w:val="2"/>
        </w:numPr>
        <w:spacing w:after="40" w:before="40"/>
      </w:pPr>
      <w:r>
        <w:rPr>
          <w:rFonts w:ascii="Arial" w:cs="Arial" w:eastAsia="Arial" w:hAnsi="Arial"/>
          <w:color w:val="374151"/>
          <w:sz w:val="19"/>
          <w:szCs w:val="19"/>
        </w:rPr>
        <w:t xml:space="preserve">toggleTheme() no definida — RESUELTO: función ahora definida en config.js y funciona correctamente en todas las páginas principales.</w:t>
      </w:r>
    </w:p>
    <w:p>
      <w:pPr>
        <w:pStyle w:val="ListParagraph"/>
        <w:numPr>
          <w:ilvl w:val="0"/>
          <w:numId w:val="2"/>
        </w:numPr>
        <w:spacing w:after="40" w:before="40"/>
      </w:pPr>
      <w:r>
        <w:rPr>
          <w:rFonts w:ascii="Arial" w:cs="Arial" w:eastAsia="Arial" w:hAnsi="Arial"/>
          <w:color w:val="374151"/>
          <w:sz w:val="19"/>
          <w:szCs w:val="19"/>
        </w:rPr>
        <w:t xml:space="preserve">Coleman 'más grande de EE.UU.' — RESUELTO: la afirmación fue eliminada. Fort Dix correctamente identificado como el más grande (aunque el conteo sigue incorrecto — ver L-01).</w:t>
      </w:r>
    </w:p>
    <w:p>
      <w:pPr>
        <w:pStyle w:val="ListParagraph"/>
        <w:numPr>
          <w:ilvl w:val="0"/>
          <w:numId w:val="2"/>
        </w:numPr>
        <w:spacing w:after="40" w:before="40"/>
      </w:pPr>
      <w:r>
        <w:rPr>
          <w:rFonts w:ascii="Arial" w:cs="Arial" w:eastAsia="Arial" w:hAnsi="Arial"/>
          <w:color w:val="374151"/>
          <w:sz w:val="19"/>
          <w:szCs w:val="19"/>
        </w:rPr>
        <w:t xml:space="preserve">Victorville jurisdicción 'CA-West' — RESUELTO: ahora correctamente muestra 'Distrito Central de California (CACD)'.</w:t>
      </w:r>
    </w:p>
    <w:p>
      <w:pPr>
        <w:pStyle w:val="ListParagraph"/>
        <w:numPr>
          <w:ilvl w:val="0"/>
          <w:numId w:val="2"/>
        </w:numPr>
        <w:spacing w:after="40" w:before="40"/>
      </w:pPr>
      <w:r>
        <w:rPr>
          <w:rFonts w:ascii="Arial" w:cs="Arial" w:eastAsia="Arial" w:hAnsi="Arial"/>
          <w:color w:val="374151"/>
          <w:sz w:val="19"/>
          <w:szCs w:val="19"/>
        </w:rPr>
        <w:t xml:space="preserve">Seagoville etiqueta 'RDAP Florida' — RESUELTO: página ahora correctamente indica Texas y el programa RDAP de Seagoville.</w:t>
      </w:r>
    </w:p>
    <w:p>
      <w:pPr>
        <w:pStyle w:val="ListParagraph"/>
        <w:numPr>
          <w:ilvl w:val="0"/>
          <w:numId w:val="2"/>
        </w:numPr>
        <w:spacing w:after="40" w:before="40"/>
      </w:pPr>
      <w:r>
        <w:rPr>
          <w:rFonts w:ascii="Arial" w:cs="Arial" w:eastAsia="Arial" w:hAnsi="Arial"/>
          <w:color w:val="374151"/>
          <w:sz w:val="19"/>
          <w:szCs w:val="19"/>
        </w:rPr>
        <w:t xml:space="preserve">PWA icons (icon-192.png, icon-512.png) — RESUELTO: ambos archivos existen en el directorio raíz.</w:t>
      </w:r>
    </w:p>
    <w:p>
      <w:pPr>
        <w:pStyle w:val="ListParagraph"/>
        <w:numPr>
          <w:ilvl w:val="0"/>
          <w:numId w:val="2"/>
        </w:numPr>
        <w:spacing w:after="40" w:before="40"/>
      </w:pPr>
      <w:r>
        <w:rPr>
          <w:rFonts w:ascii="Arial" w:cs="Arial" w:eastAsia="Arial" w:hAnsi="Arial"/>
          <w:color w:val="374151"/>
          <w:sz w:val="19"/>
          <w:szCs w:val="19"/>
        </w:rPr>
        <w:t xml:space="preserve">MCC New York activo — RESUELTO: la referencia a MCC New York fue completamente eliminada del sitio.</w:t>
      </w:r>
    </w:p>
    <w:p>
      <w:pPr>
        <w:pStyle w:val="ListParagraph"/>
        <w:numPr>
          <w:ilvl w:val="0"/>
          <w:numId w:val="2"/>
        </w:numPr>
        <w:spacing w:after="40" w:before="40"/>
      </w:pPr>
      <w:r>
        <w:rPr>
          <w:rFonts w:ascii="Arial" w:cs="Arial" w:eastAsia="Arial" w:hAnsi="Arial"/>
          <w:color w:val="374151"/>
          <w:sz w:val="19"/>
          <w:szCs w:val="19"/>
        </w:rPr>
        <w:t xml:space="preserve">navHome translation key y toggle de idioma — RESUELTO: el sistema de traducción ES/EN fue eliminado; el sitio es monolingüe español, lo cual es coherente con la audiencia objetivo.</w:t>
      </w:r>
    </w:p>
    <w:p>
      <w:pPr>
        <w:pageBreakBefore/>
      </w:pPr>
    </w:p>
    <w:p>
      <w:pPr>
        <w:pStyle w:val="Heading1"/>
        <w:pBdr>
          <w:bottom w:val="single" w:color="C0392B" w:sz="8"/>
        </w:pBdr>
        <w:spacing w:after="120" w:before="320"/>
      </w:pPr>
      <w:r>
        <w:rPr>
          <w:rFonts w:ascii="Arial" w:cs="Arial" w:eastAsia="Arial" w:hAnsi="Arial"/>
          <w:b/>
          <w:bCs/>
          <w:color w:val="1A2B4C"/>
          <w:sz w:val="32"/>
          <w:szCs w:val="32"/>
        </w:rPr>
        <w:t xml:space="preserve">9. Tabla Resumen de Todos los Hallazgos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400"/>
        <w:gridCol w:w="1560"/>
        <w:gridCol w:w="1400"/>
      </w:tblGrid>
      <w:tr>
        <w:trPr>
          <w:tblHeader/>
        </w:trPr>
        <w:tc>
          <w:tcPr>
            <w:tcW w:type="dxa" w:w="800"/>
            <w:tcBorders>
              <w:top w:val="single" w:color="1A2B4C" w:sz="1"/>
              <w:left w:val="single" w:color="1A2B4C" w:sz="1"/>
              <w:bottom w:val="single" w:color="1A2B4C" w:sz="1"/>
              <w:right w:val="single" w:color="1A2B4C" w:sz="1"/>
            </w:tcBorders>
            <w:shd w:fill="1A2B4C"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4200"/>
            <w:tcBorders>
              <w:top w:val="single" w:color="1A2B4C" w:sz="1"/>
              <w:left w:val="single" w:color="1A2B4C" w:sz="1"/>
              <w:bottom w:val="single" w:color="1A2B4C" w:sz="1"/>
              <w:right w:val="single" w:color="1A2B4C" w:sz="1"/>
            </w:tcBorders>
            <w:shd w:fill="1A2B4C" w:val="clear"/>
            <w:tcMar>
              <w:top w:type="dxa" w:w="80"/>
              <w:left w:type="dxa" w:w="100"/>
              <w:bottom w:type="dxa" w:w="80"/>
              <w:right w:type="dxa" w:w="100"/>
            </w:tcMar>
          </w:tcPr>
          <w:p>
            <w:r>
              <w:rPr>
                <w:rFonts w:ascii="Arial" w:cs="Arial" w:eastAsia="Arial" w:hAnsi="Arial"/>
                <w:b/>
                <w:bCs/>
                <w:color w:val="FFFFFF"/>
                <w:sz w:val="18"/>
                <w:szCs w:val="18"/>
              </w:rPr>
              <w:t xml:space="preserve">Título</w:t>
            </w:r>
          </w:p>
        </w:tc>
        <w:tc>
          <w:tcPr>
            <w:tcW w:type="dxa" w:w="1400"/>
            <w:tcBorders>
              <w:top w:val="single" w:color="1A2B4C" w:sz="1"/>
              <w:left w:val="single" w:color="1A2B4C" w:sz="1"/>
              <w:bottom w:val="single" w:color="1A2B4C" w:sz="1"/>
              <w:right w:val="single" w:color="1A2B4C" w:sz="1"/>
            </w:tcBorders>
            <w:shd w:fill="1A2B4C" w:val="clear"/>
            <w:tcMar>
              <w:top w:type="dxa" w:w="80"/>
              <w:left w:type="dxa" w:w="100"/>
              <w:bottom w:type="dxa" w:w="80"/>
              <w:right w:type="dxa" w:w="100"/>
            </w:tcMar>
          </w:tcPr>
          <w:p>
            <w:r>
              <w:rPr>
                <w:rFonts w:ascii="Arial" w:cs="Arial" w:eastAsia="Arial" w:hAnsi="Arial"/>
                <w:b/>
                <w:bCs/>
                <w:color w:val="FFFFFF"/>
                <w:sz w:val="18"/>
                <w:szCs w:val="18"/>
              </w:rPr>
              <w:t xml:space="preserve">Categoría</w:t>
            </w:r>
          </w:p>
        </w:tc>
        <w:tc>
          <w:tcPr>
            <w:tcW w:type="dxa" w:w="1560"/>
            <w:tcBorders>
              <w:top w:val="single" w:color="1A2B4C" w:sz="1"/>
              <w:left w:val="single" w:color="1A2B4C" w:sz="1"/>
              <w:bottom w:val="single" w:color="1A2B4C" w:sz="1"/>
              <w:right w:val="single" w:color="1A2B4C" w:sz="1"/>
            </w:tcBorders>
            <w:shd w:fill="1A2B4C" w:val="clear"/>
            <w:tcMar>
              <w:top w:type="dxa" w:w="80"/>
              <w:left w:type="dxa" w:w="100"/>
              <w:bottom w:type="dxa" w:w="80"/>
              <w:right w:type="dxa" w:w="100"/>
            </w:tcMar>
          </w:tcPr>
          <w:p>
            <w:r>
              <w:rPr>
                <w:rFonts w:ascii="Arial" w:cs="Arial" w:eastAsia="Arial" w:hAnsi="Arial"/>
                <w:b/>
                <w:bCs/>
                <w:color w:val="FFFFFF"/>
                <w:sz w:val="18"/>
                <w:szCs w:val="18"/>
              </w:rPr>
              <w:t xml:space="preserve">Severidad</w:t>
            </w:r>
          </w:p>
        </w:tc>
        <w:tc>
          <w:tcPr>
            <w:tcW w:type="dxa" w:w="1400"/>
            <w:tcBorders>
              <w:top w:val="single" w:color="1A2B4C" w:sz="1"/>
              <w:left w:val="single" w:color="1A2B4C" w:sz="1"/>
              <w:bottom w:val="single" w:color="1A2B4C" w:sz="1"/>
              <w:right w:val="single" w:color="1A2B4C" w:sz="1"/>
            </w:tcBorders>
            <w:shd w:fill="1A2B4C" w:val="clear"/>
            <w:tcMar>
              <w:top w:type="dxa" w:w="80"/>
              <w:left w:type="dxa" w:w="100"/>
              <w:bottom w:type="dxa" w:w="80"/>
              <w:right w:type="dxa" w:w="100"/>
            </w:tcMar>
          </w:tcPr>
          <w:p>
            <w:r>
              <w:rPr>
                <w:rFonts w:ascii="Arial" w:cs="Arial" w:eastAsia="Arial" w:hAnsi="Arial"/>
                <w:b/>
                <w:bCs/>
                <w:color w:val="FFFFFF"/>
                <w:sz w:val="18"/>
                <w:szCs w:val="18"/>
              </w:rPr>
              <w:t xml:space="preserve">Estado</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L-01</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FCI Fort Dix población incorrecta (~3,090 vs ~4,119)</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Legal Federal</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C0392B"/>
                <w:sz w:val="17"/>
                <w:szCs w:val="17"/>
              </w:rPr>
              <w:t xml:space="preserve">CRÍTICO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L-02</w:t>
            </w:r>
          </w:p>
        </w:tc>
        <w:tc>
          <w:tcPr>
            <w:tcW w:type="dxa" w:w="4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RDAP exclusión sex offenses incompleta</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Legal Federal</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C0392B"/>
                <w:sz w:val="17"/>
                <w:szCs w:val="17"/>
              </w:rPr>
              <w:t xml:space="preserve">CRÍTICO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L-03</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FSA ETC — Riesgo medio/alto no puede aplicar créditos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Legal Federal</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D35400"/>
                <w:sz w:val="17"/>
                <w:szCs w:val="17"/>
              </w:rPr>
              <w:t xml:space="preserve">ALTO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L-04</w:t>
            </w:r>
          </w:p>
        </w:tc>
        <w:tc>
          <w:tcPr>
            <w:tcW w:type="dxa" w:w="4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RDAP lenguaje discrecionalidad inconsistente</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Legal Federal</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2563EB"/>
                <w:sz w:val="17"/>
                <w:szCs w:val="17"/>
              </w:rPr>
              <w:t xml:space="preserve">MEDIO</w:t>
            </w:r>
          </w:p>
        </w:tc>
        <w:tc>
          <w:tcPr>
            <w:tcW w:type="dxa" w:w="1400"/>
            <w:tcBorders>
              <w:top w:val="single" w:color="DDDDDD" w:sz="1"/>
              <w:left w:val="single" w:color="DDDDDD" w:sz="1"/>
              <w:bottom w:val="single" w:color="DDDDDD" w:sz="1"/>
              <w:right w:val="single" w:color="DDDDDD" w:sz="1"/>
            </w:tcBorders>
            <w:shd w:fill="FEF3E2" w:val="clear"/>
            <w:tcMar>
              <w:top w:type="dxa" w:w="60"/>
              <w:left w:type="dxa" w:w="100"/>
              <w:bottom w:type="dxa" w:w="60"/>
              <w:right w:type="dxa" w:w="100"/>
            </w:tcMar>
          </w:tcPr>
          <w:p>
            <w:r>
              <w:rPr>
                <w:rFonts w:ascii="Arial" w:cs="Arial" w:eastAsia="Arial" w:hAnsi="Arial"/>
                <w:b w:val="false"/>
                <w:bCs w:val="false"/>
                <w:color w:val="374151"/>
                <w:sz w:val="17"/>
                <w:szCs w:val="17"/>
              </w:rPr>
              <w:t xml:space="preserve">Parcial</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L-05</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FSA ETC tasa 15 días requiere 2 evaluaciones consecutivas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Legal Federal</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2563EB"/>
                <w:sz w:val="17"/>
                <w:szCs w:val="17"/>
              </w:rPr>
              <w:t xml:space="preserve">MEDIO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L-06</w:t>
            </w:r>
          </w:p>
        </w:tc>
        <w:tc>
          <w:tcPr>
            <w:tcW w:type="dxa" w:w="4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Directiva BOP Junio 2025 — home confinement directo</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Legal Federal</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888888"/>
                <w:sz w:val="17"/>
                <w:szCs w:val="17"/>
              </w:rPr>
              <w:t xml:space="preserve">—</w:t>
            </w:r>
          </w:p>
        </w:tc>
        <w:tc>
          <w:tcPr>
            <w:tcW w:type="dxa" w:w="1400"/>
            <w:tcBorders>
              <w:top w:val="single" w:color="DDDDDD" w:sz="1"/>
              <w:left w:val="single" w:color="DDDDDD" w:sz="1"/>
              <w:bottom w:val="single" w:color="DDDDDD" w:sz="1"/>
              <w:right w:val="single" w:color="DDDDDD" w:sz="1"/>
            </w:tcBorders>
            <w:shd w:fill="E8F5ED" w:val="clear"/>
            <w:tcMar>
              <w:top w:type="dxa" w:w="60"/>
              <w:left w:type="dxa" w:w="100"/>
              <w:bottom w:type="dxa" w:w="60"/>
              <w:right w:type="dxa" w:w="100"/>
            </w:tcMar>
          </w:tcPr>
          <w:p>
            <w:r>
              <w:rPr>
                <w:rFonts w:ascii="Arial" w:cs="Arial" w:eastAsia="Arial" w:hAnsi="Arial"/>
                <w:b w:val="false"/>
                <w:bCs w:val="false"/>
                <w:color w:val="374151"/>
                <w:sz w:val="17"/>
                <w:szCs w:val="17"/>
              </w:rPr>
              <w:t xml:space="preserve">VERIFICADO ✓</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L-07</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Coleman 'más grande' corregido</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Legal Federal</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888888"/>
                <w:sz w:val="17"/>
                <w:szCs w:val="17"/>
              </w:rPr>
              <w:t xml:space="preserve">—</w:t>
            </w:r>
          </w:p>
        </w:tc>
        <w:tc>
          <w:tcPr>
            <w:tcW w:type="dxa" w:w="1400"/>
            <w:tcBorders>
              <w:top w:val="single" w:color="DDDDDD" w:sz="1"/>
              <w:left w:val="single" w:color="DDDDDD" w:sz="1"/>
              <w:bottom w:val="single" w:color="DDDDDD" w:sz="1"/>
              <w:right w:val="single" w:color="DDDDDD" w:sz="1"/>
            </w:tcBorders>
            <w:shd w:fill="E8F5ED" w:val="clear"/>
            <w:tcMar>
              <w:top w:type="dxa" w:w="60"/>
              <w:left w:type="dxa" w:w="100"/>
              <w:bottom w:type="dxa" w:w="60"/>
              <w:right w:type="dxa" w:w="100"/>
            </w:tcMar>
          </w:tcPr>
          <w:p>
            <w:r>
              <w:rPr>
                <w:rFonts w:ascii="Arial" w:cs="Arial" w:eastAsia="Arial" w:hAnsi="Arial"/>
                <w:b w:val="false"/>
                <w:bCs w:val="false"/>
                <w:color w:val="374151"/>
                <w:sz w:val="17"/>
                <w:szCs w:val="17"/>
              </w:rPr>
              <w:t xml:space="preserve">RESUELTO ✓</w:t>
            </w:r>
          </w:p>
        </w:tc>
      </w:tr>
      <w:tr>
        <w:tc>
          <w:tcPr>
            <w:tcW w:type="dxa" w:w="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C-01</w:t>
            </w:r>
          </w:p>
        </w:tc>
        <w:tc>
          <w:tcPr>
            <w:tcW w:type="dxa" w:w="4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WhatsApp número placeholder '1234567890'</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Código</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C0392B"/>
                <w:sz w:val="17"/>
                <w:szCs w:val="17"/>
              </w:rPr>
              <w:t xml:space="preserve">CRÍTICO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C-02</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GA ID placeholder G-XXXXXXXXXX + duplicado en index.html</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Código</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C0392B"/>
                <w:sz w:val="17"/>
                <w:szCs w:val="17"/>
              </w:rPr>
              <w:t xml:space="preserve">CRÍTICO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C-03</w:t>
            </w:r>
          </w:p>
        </w:tc>
        <w:tc>
          <w:tcPr>
            <w:tcW w:type="dxa" w:w="4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Formspree ID 'YOUR_ID_HERE' — formularios no funcionan</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Código</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C0392B"/>
                <w:sz w:val="17"/>
                <w:szCs w:val="17"/>
              </w:rPr>
              <w:t xml:space="preserve">CRÍTICO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C-04</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PWA sin &lt;link rel=manifest&gt; ni registro SW en HTML</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Código</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D35400"/>
                <w:sz w:val="17"/>
                <w:szCs w:val="17"/>
              </w:rPr>
              <w:t xml:space="preserve">ALTO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C-05</w:t>
            </w:r>
          </w:p>
        </w:tc>
        <w:tc>
          <w:tcPr>
            <w:tcW w:type="dxa" w:w="4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Service Worker — pages nuevas no en ASSETS array</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Código</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D35400"/>
                <w:sz w:val="17"/>
                <w:szCs w:val="17"/>
              </w:rPr>
              <w:t xml:space="preserve">ALTO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C-06</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id=contactForm duplicado en 10 páginas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Código</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2563EB"/>
                <w:sz w:val="17"/>
                <w:szCs w:val="17"/>
              </w:rPr>
              <w:t xml:space="preserve">MEDIO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C-07</w:t>
            </w:r>
          </w:p>
        </w:tc>
        <w:tc>
          <w:tcPr>
            <w:tcW w:type="dxa" w:w="4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toggleNav() duplicada en algunos blogs</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Código</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A7A4A"/>
                <w:sz w:val="17"/>
                <w:szCs w:val="17"/>
              </w:rPr>
              <w:t xml:space="preserve">BAJO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C-08</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86 inline style= en index.html</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Código</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A7A4A"/>
                <w:sz w:val="17"/>
                <w:szCs w:val="17"/>
              </w:rPr>
              <w:t xml:space="preserve">BAJO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S-01</w:t>
            </w:r>
          </w:p>
        </w:tc>
        <w:tc>
          <w:tcPr>
            <w:tcW w:type="dxa" w:w="4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21 páginas ausentes del sitemap.xml</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SEO</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C0392B"/>
                <w:sz w:val="17"/>
                <w:szCs w:val="17"/>
              </w:rPr>
              <w:t xml:space="preserve">CRÍTICO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S-02</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Dominio Vercel en canonical — sin custom domain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SEO</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D35400"/>
                <w:sz w:val="17"/>
                <w:szCs w:val="17"/>
              </w:rPr>
              <w:t xml:space="preserve">ALTO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S-03</w:t>
            </w:r>
          </w:p>
        </w:tc>
        <w:tc>
          <w:tcPr>
            <w:tcW w:type="dxa" w:w="4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Sin hreflang para español</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SEO</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D35400"/>
                <w:sz w:val="17"/>
                <w:szCs w:val="17"/>
              </w:rPr>
              <w:t xml:space="preserve">ALTO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S-04</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rdap-explicado.html OG image usa Unsplash</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SEO</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2563EB"/>
                <w:sz w:val="17"/>
                <w:szCs w:val="17"/>
              </w:rPr>
              <w:t xml:space="preserve">MEDIO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S-05</w:t>
            </w:r>
          </w:p>
        </w:tc>
        <w:tc>
          <w:tcPr>
            <w:tcW w:type="dxa" w:w="4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9 imágenes de hero hotlinkeadas de Unsplash</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SEO</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2563EB"/>
                <w:sz w:val="17"/>
                <w:szCs w:val="17"/>
              </w:rPr>
              <w:t xml:space="preserve">MEDIO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S-06</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JSON-LD sin contactPoint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SEO</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A7A4A"/>
                <w:sz w:val="17"/>
                <w:szCs w:val="17"/>
              </w:rPr>
              <w:t xml:space="preserve">BAJO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SEC-01</w:t>
            </w:r>
          </w:p>
        </w:tc>
        <w:tc>
          <w:tcPr>
            <w:tcW w:type="dxa" w:w="4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CSP connect-src bloquea Google Analytics</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Seguridad</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D35400"/>
                <w:sz w:val="17"/>
                <w:szCs w:val="17"/>
              </w:rPr>
              <w:t xml:space="preserve">ALTO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SEC-02</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HSTS ausente en vercel.json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Seguridad</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D35400"/>
                <w:sz w:val="17"/>
                <w:szCs w:val="17"/>
              </w:rPr>
              <w:t xml:space="preserve">ALTO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SEC-03</w:t>
            </w:r>
          </w:p>
        </w:tc>
        <w:tc>
          <w:tcPr>
            <w:tcW w:type="dxa" w:w="4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CSP 'unsafe-inline' debilita protección XSS</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Seguridad</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2563EB"/>
                <w:sz w:val="17"/>
                <w:szCs w:val="17"/>
              </w:rPr>
              <w:t xml:space="preserve">MEDIO</w:t>
            </w:r>
          </w:p>
        </w:tc>
        <w:tc>
          <w:tcPr>
            <w:tcW w:type="dxa" w:w="1400"/>
            <w:tcBorders>
              <w:top w:val="single" w:color="DDDDDD" w:sz="1"/>
              <w:left w:val="single" w:color="DDDDDD" w:sz="1"/>
              <w:bottom w:val="single" w:color="DDDDDD" w:sz="1"/>
              <w:right w:val="single" w:color="DDDDDD" w:sz="1"/>
            </w:tcBorders>
            <w:shd w:fill="EBF4FB" w:val="clear"/>
            <w:tcMar>
              <w:top w:type="dxa" w:w="60"/>
              <w:left w:type="dxa" w:w="100"/>
              <w:bottom w:type="dxa" w:w="60"/>
              <w:right w:type="dxa" w:w="100"/>
            </w:tcMar>
          </w:tcPr>
          <w:p>
            <w:r>
              <w:rPr>
                <w:rFonts w:ascii="Arial" w:cs="Arial" w:eastAsia="Arial" w:hAnsi="Arial"/>
                <w:b w:val="false"/>
                <w:bCs w:val="false"/>
                <w:color w:val="374151"/>
                <w:sz w:val="17"/>
                <w:szCs w:val="17"/>
              </w:rPr>
              <w:t xml:space="preserve">Aceptado</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SEC-04</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Formspree ID visible en código fuente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Seguridad</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A7A4A"/>
                <w:sz w:val="17"/>
                <w:szCs w:val="17"/>
              </w:rPr>
              <w:t xml:space="preserve">BAJO</w:t>
            </w:r>
          </w:p>
        </w:tc>
        <w:tc>
          <w:tcPr>
            <w:tcW w:type="dxa" w:w="1400"/>
            <w:tcBorders>
              <w:top w:val="single" w:color="DDDDDD" w:sz="1"/>
              <w:left w:val="single" w:color="DDDDDD" w:sz="1"/>
              <w:bottom w:val="single" w:color="DDDDDD" w:sz="1"/>
              <w:right w:val="single" w:color="DDDDDD" w:sz="1"/>
            </w:tcBorders>
            <w:shd w:fill="EBF4FB" w:val="clear"/>
            <w:tcMar>
              <w:top w:type="dxa" w:w="60"/>
              <w:left w:type="dxa" w:w="100"/>
              <w:bottom w:type="dxa" w:w="60"/>
              <w:right w:type="dxa" w:w="100"/>
            </w:tcMar>
          </w:tcPr>
          <w:p>
            <w:r>
              <w:rPr>
                <w:rFonts w:ascii="Arial" w:cs="Arial" w:eastAsia="Arial" w:hAnsi="Arial"/>
                <w:b w:val="false"/>
                <w:bCs w:val="false"/>
                <w:color w:val="374151"/>
                <w:sz w:val="17"/>
                <w:szCs w:val="17"/>
              </w:rPr>
              <w:t xml:space="preserve">Aceptado</w:t>
            </w:r>
          </w:p>
        </w:tc>
      </w:tr>
      <w:tr>
        <w:tc>
          <w:tcPr>
            <w:tcW w:type="dxa" w:w="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A-01</w:t>
            </w:r>
          </w:p>
        </w:tc>
        <w:tc>
          <w:tcPr>
            <w:tcW w:type="dxa" w:w="4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16 imágenes blog/index.html sin alt</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Accesibilidad</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D35400"/>
                <w:sz w:val="17"/>
                <w:szCs w:val="17"/>
              </w:rPr>
              <w:t xml:space="preserve">ALTO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A-02</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Inputs de formulario sin &lt;label&gt;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Accesibilidad</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D35400"/>
                <w:sz w:val="17"/>
                <w:szCs w:val="17"/>
              </w:rPr>
              <w:t xml:space="preserve">ALTO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A-03</w:t>
            </w:r>
          </w:p>
        </w:tc>
        <w:tc>
          <w:tcPr>
            <w:tcW w:type="dxa" w:w="4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Sin meta theme-color</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Accesibilidad</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2563EB"/>
                <w:sz w:val="17"/>
                <w:szCs w:val="17"/>
              </w:rPr>
              <w:t xml:space="preserve">MEDIO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A-04</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Wizard sin roles ARIA radiogroup</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Accesibilidad</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A7A4A"/>
                <w:sz w:val="17"/>
                <w:szCs w:val="17"/>
              </w:rPr>
              <w:t xml:space="preserve">BAJO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U-01</w:t>
            </w:r>
          </w:p>
        </w:tc>
        <w:tc>
          <w:tcPr>
            <w:tcW w:type="dxa" w:w="4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guia-72-horas-pdf.html huérfana</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UX</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D35400"/>
                <w:sz w:val="17"/>
                <w:szCs w:val="17"/>
              </w:rPr>
              <w:t xml:space="preserve">ALTO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U-02</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Email info@guia-federal.com — verificar activo</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UX</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D35400"/>
                <w:sz w:val="17"/>
                <w:szCs w:val="17"/>
              </w:rPr>
              <w:t xml:space="preserve">ALTO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U-03</w:t>
            </w:r>
          </w:p>
        </w:tc>
        <w:tc>
          <w:tcPr>
            <w:tcW w:type="dxa" w:w="4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Blog completo sin indexación</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UX</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2563EB"/>
                <w:sz w:val="17"/>
                <w:szCs w:val="17"/>
              </w:rPr>
              <w:t xml:space="preserve">MEDIO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U-04</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kit-supervivencia fuera de sitemap</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UX</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2563EB"/>
                <w:sz w:val="17"/>
                <w:szCs w:val="17"/>
              </w:rPr>
              <w:t xml:space="preserve">MEDIO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r>
        <w:tc>
          <w:tcPr>
            <w:tcW w:type="dxa" w:w="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U-05</w:t>
            </w:r>
          </w:p>
        </w:tc>
        <w:tc>
          <w:tcPr>
            <w:tcW w:type="dxa" w:w="4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MDC LA dirección en llms.txt — verificar</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b w:val="false"/>
                <w:bCs w:val="false"/>
                <w:color w:val="374151"/>
                <w:sz w:val="17"/>
                <w:szCs w:val="17"/>
              </w:rPr>
              <w:t xml:space="preserve">UX</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A7A4A"/>
                <w:sz w:val="17"/>
                <w:szCs w:val="17"/>
              </w:rPr>
              <w:t xml:space="preserve">BAJO</w:t>
            </w:r>
          </w:p>
        </w:tc>
        <w:tc>
          <w:tcPr>
            <w:tcW w:type="dxa" w:w="14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tcPr>
          <w:p>
            <w:r>
              <w:rPr>
                <w:rFonts w:ascii="Arial" w:cs="Arial" w:eastAsia="Arial" w:hAnsi="Arial"/>
                <w:b w:val="false"/>
                <w:bCs w:val="false"/>
                <w:color w:val="374151"/>
                <w:sz w:val="17"/>
                <w:szCs w:val="17"/>
              </w:rPr>
              <w:t xml:space="preserve">Abierto</w:t>
            </w:r>
          </w:p>
        </w:tc>
      </w:tr>
    </w:tbl>
    <w:p>
      <w:pPr>
        <w:pageBreakBefore/>
      </w:pPr>
    </w:p>
    <w:p>
      <w:pPr>
        <w:pStyle w:val="Heading1"/>
        <w:pBdr>
          <w:bottom w:val="single" w:color="C0392B" w:sz="8"/>
        </w:pBdr>
        <w:spacing w:after="120" w:before="320"/>
      </w:pPr>
      <w:r>
        <w:rPr>
          <w:rFonts w:ascii="Arial" w:cs="Arial" w:eastAsia="Arial" w:hAnsi="Arial"/>
          <w:b/>
          <w:bCs/>
          <w:color w:val="1A2B4C"/>
          <w:sz w:val="32"/>
          <w:szCs w:val="32"/>
        </w:rPr>
        <w:t xml:space="preserve">10. Plan de Acción Priorizado</w:t>
      </w:r>
    </w:p>
    <w:p>
      <w:pPr>
        <w:spacing w:after="80" w:before="0"/>
      </w:pPr>
    </w:p>
    <w:p>
      <w:pPr>
        <w:pStyle w:val="Heading2"/>
        <w:spacing w:after="80" w:before="240"/>
      </w:pPr>
      <w:r>
        <w:rPr>
          <w:rFonts w:ascii="Arial" w:cs="Arial" w:eastAsia="Arial" w:hAnsi="Arial"/>
          <w:b/>
          <w:bCs/>
          <w:color w:val="1A2B4C"/>
          <w:sz w:val="26"/>
          <w:szCs w:val="26"/>
        </w:rPr>
        <w:t xml:space="preserve">Fase 1 — Inmediato (Esta Semana)</w:t>
      </w:r>
    </w:p>
    <w:p>
      <w:pPr>
        <w:spacing w:after="100" w:before="60"/>
      </w:pPr>
      <w:r>
        <w:rPr>
          <w:rFonts w:ascii="Arial" w:cs="Arial" w:eastAsia="Arial" w:hAnsi="Arial"/>
          <w:color w:val="374151"/>
          <w:sz w:val="20"/>
          <w:szCs w:val="20"/>
        </w:rPr>
        <w:t xml:space="preserve">Estas acciones bloquean el funcionamiento básico de la plataforma:</w:t>
      </w:r>
    </w:p>
    <w:p>
      <w:pPr>
        <w:spacing w:after="60" w:before="0"/>
      </w:pPr>
    </w:p>
    <w:p>
      <w:pPr>
        <w:pStyle w:val="ListParagraph"/>
        <w:numPr>
          <w:ilvl w:val="0"/>
          <w:numId w:val="2"/>
        </w:numPr>
        <w:spacing w:after="40" w:before="40"/>
      </w:pPr>
      <w:r>
        <w:rPr>
          <w:rFonts w:ascii="Arial" w:cs="Arial" w:eastAsia="Arial" w:hAnsi="Arial"/>
          <w:color w:val="374151"/>
          <w:sz w:val="19"/>
          <w:szCs w:val="19"/>
        </w:rPr>
        <w:t xml:space="preserve">config.js → whatsappNumber: Reemplazar '1234567890' con número real. 5 minutos.</w:t>
      </w:r>
    </w:p>
    <w:p>
      <w:pPr>
        <w:pStyle w:val="ListParagraph"/>
        <w:numPr>
          <w:ilvl w:val="0"/>
          <w:numId w:val="2"/>
        </w:numPr>
        <w:spacing w:after="40" w:before="40"/>
      </w:pPr>
      <w:r>
        <w:rPr>
          <w:rFonts w:ascii="Arial" w:cs="Arial" w:eastAsia="Arial" w:hAnsi="Arial"/>
          <w:color w:val="374151"/>
          <w:sz w:val="19"/>
          <w:szCs w:val="19"/>
        </w:rPr>
        <w:t xml:space="preserve">config.js → formspreeId: Registrar en formspree.io y actualizar ID. 10 minutos.</w:t>
      </w:r>
    </w:p>
    <w:p>
      <w:pPr>
        <w:pStyle w:val="ListParagraph"/>
        <w:numPr>
          <w:ilvl w:val="0"/>
          <w:numId w:val="2"/>
        </w:numPr>
        <w:spacing w:after="40" w:before="40"/>
      </w:pPr>
      <w:r>
        <w:rPr>
          <w:rFonts w:ascii="Arial" w:cs="Arial" w:eastAsia="Arial" w:hAnsi="Arial"/>
          <w:color w:val="374151"/>
          <w:sz w:val="19"/>
          <w:szCs w:val="19"/>
        </w:rPr>
        <w:t xml:space="preserve">index.html → Eliminar bloque GA duplicado (líneas 62-68). 2 minutos.</w:t>
      </w:r>
    </w:p>
    <w:p>
      <w:pPr>
        <w:pStyle w:val="ListParagraph"/>
        <w:numPr>
          <w:ilvl w:val="0"/>
          <w:numId w:val="2"/>
        </w:numPr>
        <w:spacing w:after="40" w:before="40"/>
      </w:pPr>
      <w:r>
        <w:rPr>
          <w:rFonts w:ascii="Arial" w:cs="Arial" w:eastAsia="Arial" w:hAnsi="Arial"/>
          <w:color w:val="374151"/>
          <w:sz w:val="19"/>
          <w:szCs w:val="19"/>
        </w:rPr>
        <w:t xml:space="preserve">Todas las páginas → G-XXXXXXXXXX: Crear GA4 Property y reemplazar en los 33 archivos. 30 minutos con sed/find-replace global.</w:t>
      </w:r>
    </w:p>
    <w:p>
      <w:pPr>
        <w:pStyle w:val="ListParagraph"/>
        <w:numPr>
          <w:ilvl w:val="0"/>
          <w:numId w:val="2"/>
        </w:numPr>
        <w:spacing w:after="40" w:before="40"/>
      </w:pPr>
      <w:r>
        <w:rPr>
          <w:rFonts w:ascii="Arial" w:cs="Arial" w:eastAsia="Arial" w:hAnsi="Arial"/>
          <w:color w:val="374151"/>
          <w:sz w:val="19"/>
          <w:szCs w:val="19"/>
        </w:rPr>
        <w:t xml:space="preserve">fort-dix-fci.html → Actualizar conteo de población a ~4,100+ (ver L-01). 5 minutos.</w:t>
      </w:r>
    </w:p>
    <w:p>
      <w:pPr>
        <w:pStyle w:val="ListParagraph"/>
        <w:numPr>
          <w:ilvl w:val="0"/>
          <w:numId w:val="2"/>
        </w:numPr>
        <w:spacing w:after="40" w:before="40"/>
      </w:pPr>
      <w:r>
        <w:rPr>
          <w:rFonts w:ascii="Arial" w:cs="Arial" w:eastAsia="Arial" w:hAnsi="Arial"/>
          <w:color w:val="374151"/>
          <w:sz w:val="19"/>
          <w:szCs w:val="19"/>
        </w:rPr>
        <w:t xml:space="preserve">rdap-guide.html → Ampliar exclusiones RDAP a todos los delitos sexuales (ver L-02). 10 minutos.</w:t>
      </w:r>
    </w:p>
    <w:p>
      <w:pPr>
        <w:pStyle w:val="ListParagraph"/>
        <w:numPr>
          <w:ilvl w:val="0"/>
          <w:numId w:val="2"/>
        </w:numPr>
        <w:spacing w:after="40" w:before="40"/>
      </w:pPr>
      <w:r>
        <w:rPr>
          <w:rFonts w:ascii="Arial" w:cs="Arial" w:eastAsia="Arial" w:hAnsi="Arial"/>
          <w:color w:val="374151"/>
          <w:sz w:val="19"/>
          <w:szCs w:val="19"/>
        </w:rPr>
        <w:t xml:space="preserve">sitemap.xml → Añadir las 21 páginas faltantes (ver S-01). 20 minutos.</w:t>
      </w:r>
    </w:p>
    <w:p>
      <w:pPr>
        <w:pStyle w:val="ListParagraph"/>
        <w:numPr>
          <w:ilvl w:val="0"/>
          <w:numId w:val="2"/>
        </w:numPr>
        <w:spacing w:after="40" w:before="40"/>
      </w:pPr>
      <w:r>
        <w:rPr>
          <w:rFonts w:ascii="Arial" w:cs="Arial" w:eastAsia="Arial" w:hAnsi="Arial"/>
          <w:color w:val="374151"/>
          <w:sz w:val="19"/>
          <w:szCs w:val="19"/>
        </w:rPr>
        <w:t xml:space="preserve">vercel.json → Añadir HSTS header (ver SEC-02). 5 minutos.</w:t>
      </w:r>
    </w:p>
    <w:p>
      <w:pPr>
        <w:pStyle w:val="ListParagraph"/>
        <w:numPr>
          <w:ilvl w:val="0"/>
          <w:numId w:val="2"/>
        </w:numPr>
        <w:spacing w:after="40" w:before="40"/>
      </w:pPr>
      <w:r>
        <w:rPr>
          <w:rFonts w:ascii="Arial" w:cs="Arial" w:eastAsia="Arial" w:hAnsi="Arial"/>
          <w:color w:val="374151"/>
          <w:sz w:val="19"/>
          <w:szCs w:val="19"/>
        </w:rPr>
        <w:t xml:space="preserve">vercel.json → Añadir GA/GTM a connect-src (ver SEC-01). 5 minutos.</w:t>
      </w:r>
    </w:p>
    <w:p>
      <w:pPr>
        <w:spacing w:after="120" w:before="0"/>
      </w:pPr>
    </w:p>
    <w:p>
      <w:pPr>
        <w:pStyle w:val="Heading2"/>
        <w:spacing w:after="80" w:before="240"/>
      </w:pPr>
      <w:r>
        <w:rPr>
          <w:rFonts w:ascii="Arial" w:cs="Arial" w:eastAsia="Arial" w:hAnsi="Arial"/>
          <w:b/>
          <w:bCs/>
          <w:color w:val="1A2B4C"/>
          <w:sz w:val="26"/>
          <w:szCs w:val="26"/>
        </w:rPr>
        <w:t xml:space="preserve">Fase 2 — Esta Semana (Pre-lanzamiento)</w:t>
      </w:r>
    </w:p>
    <w:p>
      <w:pPr>
        <w:pStyle w:val="ListParagraph"/>
        <w:numPr>
          <w:ilvl w:val="0"/>
          <w:numId w:val="2"/>
        </w:numPr>
        <w:spacing w:after="40" w:before="40"/>
      </w:pPr>
      <w:r>
        <w:rPr>
          <w:rFonts w:ascii="Arial" w:cs="Arial" w:eastAsia="Arial" w:hAnsi="Arial"/>
          <w:color w:val="374151"/>
          <w:sz w:val="19"/>
          <w:szCs w:val="19"/>
        </w:rPr>
        <w:t xml:space="preserve">Todas las páginas → Añadir &lt;link rel='manifest'&gt; y registro del SW (ver C-04). Puede hacerse desde config.js.</w:t>
      </w:r>
    </w:p>
    <w:p>
      <w:pPr>
        <w:pStyle w:val="ListParagraph"/>
        <w:numPr>
          <w:ilvl w:val="0"/>
          <w:numId w:val="2"/>
        </w:numPr>
        <w:spacing w:after="40" w:before="40"/>
      </w:pPr>
      <w:r>
        <w:rPr>
          <w:rFonts w:ascii="Arial" w:cs="Arial" w:eastAsia="Arial" w:hAnsi="Arial"/>
          <w:color w:val="374151"/>
          <w:sz w:val="19"/>
          <w:szCs w:val="19"/>
        </w:rPr>
        <w:t xml:space="preserve">fsa-guide.html → Añadir nota sobre medium/high risk y aplicación de ETC (ver L-03). 15 minutos.</w:t>
      </w:r>
    </w:p>
    <w:p>
      <w:pPr>
        <w:pStyle w:val="ListParagraph"/>
        <w:numPr>
          <w:ilvl w:val="0"/>
          <w:numId w:val="2"/>
        </w:numPr>
        <w:spacing w:after="40" w:before="40"/>
      </w:pPr>
      <w:r>
        <w:rPr>
          <w:rFonts w:ascii="Arial" w:cs="Arial" w:eastAsia="Arial" w:hAnsi="Arial"/>
          <w:color w:val="374151"/>
          <w:sz w:val="19"/>
          <w:szCs w:val="19"/>
        </w:rPr>
        <w:t xml:space="preserve">fsa-guide.html → Añadir nota sobre 2 evaluaciones consecutivas para tasa de 15 días (ver L-05). 10 minutos.</w:t>
      </w:r>
    </w:p>
    <w:p>
      <w:pPr>
        <w:pStyle w:val="ListParagraph"/>
        <w:numPr>
          <w:ilvl w:val="0"/>
          <w:numId w:val="2"/>
        </w:numPr>
        <w:spacing w:after="40" w:before="40"/>
      </w:pPr>
      <w:r>
        <w:rPr>
          <w:rFonts w:ascii="Arial" w:cs="Arial" w:eastAsia="Arial" w:hAnsi="Arial"/>
          <w:color w:val="374151"/>
          <w:sz w:val="19"/>
          <w:szCs w:val="19"/>
        </w:rPr>
        <w:t xml:space="preserve">blog/index.html → Añadir atributo alt a 16 imágenes de blog cards (ver A-01). 20 minutos.</w:t>
      </w:r>
    </w:p>
    <w:p>
      <w:pPr>
        <w:pStyle w:val="ListParagraph"/>
        <w:numPr>
          <w:ilvl w:val="0"/>
          <w:numId w:val="2"/>
        </w:numPr>
        <w:spacing w:after="40" w:before="40"/>
      </w:pPr>
      <w:r>
        <w:rPr>
          <w:rFonts w:ascii="Arial" w:cs="Arial" w:eastAsia="Arial" w:hAnsi="Arial"/>
          <w:color w:val="374151"/>
          <w:sz w:val="19"/>
          <w:szCs w:val="19"/>
        </w:rPr>
        <w:t xml:space="preserve">Todas las páginas → Añadir aria-label a inputs de formularios (ver A-02). 30 minutos.</w:t>
      </w:r>
    </w:p>
    <w:p>
      <w:pPr>
        <w:pStyle w:val="ListParagraph"/>
        <w:numPr>
          <w:ilvl w:val="0"/>
          <w:numId w:val="2"/>
        </w:numPr>
        <w:spacing w:after="40" w:before="40"/>
      </w:pPr>
      <w:r>
        <w:rPr>
          <w:rFonts w:ascii="Arial" w:cs="Arial" w:eastAsia="Arial" w:hAnsi="Arial"/>
          <w:color w:val="374151"/>
          <w:sz w:val="19"/>
          <w:szCs w:val="19"/>
        </w:rPr>
        <w:t xml:space="preserve">guia-72-horas-pdf.html → Decidir si es activa u huérfana y actuar (ver U-01). 15 minutos.</w:t>
      </w:r>
    </w:p>
    <w:p>
      <w:pPr>
        <w:pStyle w:val="ListParagraph"/>
        <w:numPr>
          <w:ilvl w:val="0"/>
          <w:numId w:val="2"/>
        </w:numPr>
        <w:spacing w:after="40" w:before="40"/>
      </w:pPr>
      <w:r>
        <w:rPr>
          <w:rFonts w:ascii="Arial" w:cs="Arial" w:eastAsia="Arial" w:hAnsi="Arial"/>
          <w:color w:val="374151"/>
          <w:sz w:val="19"/>
          <w:szCs w:val="19"/>
        </w:rPr>
        <w:t xml:space="preserve">Verificar que info@guia-federal.com está activo y monitoreado (ver U-02). 10 minutos.</w:t>
      </w:r>
    </w:p>
    <w:p>
      <w:pPr>
        <w:spacing w:after="120" w:before="0"/>
      </w:pPr>
    </w:p>
    <w:p>
      <w:pPr>
        <w:pStyle w:val="Heading2"/>
        <w:spacing w:after="80" w:before="240"/>
      </w:pPr>
      <w:r>
        <w:rPr>
          <w:rFonts w:ascii="Arial" w:cs="Arial" w:eastAsia="Arial" w:hAnsi="Arial"/>
          <w:b/>
          <w:bCs/>
          <w:color w:val="1A2B4C"/>
          <w:sz w:val="26"/>
          <w:szCs w:val="26"/>
        </w:rPr>
        <w:t xml:space="preserve">Fase 3 — Próximas 2-4 Semanas</w:t>
      </w:r>
    </w:p>
    <w:p>
      <w:pPr>
        <w:pStyle w:val="ListParagraph"/>
        <w:numPr>
          <w:ilvl w:val="0"/>
          <w:numId w:val="2"/>
        </w:numPr>
        <w:spacing w:after="40" w:before="40"/>
      </w:pPr>
      <w:r>
        <w:rPr>
          <w:rFonts w:ascii="Arial" w:cs="Arial" w:eastAsia="Arial" w:hAnsi="Arial"/>
          <w:color w:val="374151"/>
          <w:sz w:val="19"/>
          <w:szCs w:val="19"/>
        </w:rPr>
        <w:t xml:space="preserve">Registrar dominio personalizado (guia-federal.com o equivalente) y actualizar canonical URLs (ver S-02).</w:t>
      </w:r>
    </w:p>
    <w:p>
      <w:pPr>
        <w:pStyle w:val="ListParagraph"/>
        <w:numPr>
          <w:ilvl w:val="0"/>
          <w:numId w:val="2"/>
        </w:numPr>
        <w:spacing w:after="40" w:before="40"/>
      </w:pPr>
      <w:r>
        <w:rPr>
          <w:rFonts w:ascii="Arial" w:cs="Arial" w:eastAsia="Arial" w:hAnsi="Arial"/>
          <w:color w:val="374151"/>
          <w:sz w:val="19"/>
          <w:szCs w:val="19"/>
        </w:rPr>
        <w:t xml:space="preserve">Añadir hreflang='es-US' a todas las páginas (ver S-03).</w:t>
      </w:r>
    </w:p>
    <w:p>
      <w:pPr>
        <w:pStyle w:val="ListParagraph"/>
        <w:numPr>
          <w:ilvl w:val="0"/>
          <w:numId w:val="2"/>
        </w:numPr>
        <w:spacing w:after="40" w:before="40"/>
      </w:pPr>
      <w:r>
        <w:rPr>
          <w:rFonts w:ascii="Arial" w:cs="Arial" w:eastAsia="Arial" w:hAnsi="Arial"/>
          <w:color w:val="374151"/>
          <w:sz w:val="19"/>
          <w:szCs w:val="19"/>
        </w:rPr>
        <w:t xml:space="preserve">Descargar y alojar las 9 imágenes de Unsplash localmente (ver S-05).</w:t>
      </w:r>
    </w:p>
    <w:p>
      <w:pPr>
        <w:pStyle w:val="ListParagraph"/>
        <w:numPr>
          <w:ilvl w:val="0"/>
          <w:numId w:val="2"/>
        </w:numPr>
        <w:spacing w:after="40" w:before="40"/>
      </w:pPr>
      <w:r>
        <w:rPr>
          <w:rFonts w:ascii="Arial" w:cs="Arial" w:eastAsia="Arial" w:hAnsi="Arial"/>
          <w:color w:val="374151"/>
          <w:sz w:val="19"/>
          <w:szCs w:val="19"/>
        </w:rPr>
        <w:t xml:space="preserve">Revisar y completar ASSETS array en sw.js para incluir todas las páginas del blog y facilities (ver C-05).</w:t>
      </w:r>
    </w:p>
    <w:p>
      <w:pPr>
        <w:pStyle w:val="ListParagraph"/>
        <w:numPr>
          <w:ilvl w:val="0"/>
          <w:numId w:val="2"/>
        </w:numPr>
        <w:spacing w:after="40" w:before="40"/>
      </w:pPr>
      <w:r>
        <w:rPr>
          <w:rFonts w:ascii="Arial" w:cs="Arial" w:eastAsia="Arial" w:hAnsi="Arial"/>
          <w:color w:val="374151"/>
          <w:sz w:val="19"/>
          <w:szCs w:val="19"/>
        </w:rPr>
        <w:t xml:space="preserve">Añadir JSON-LD contactPoint con número de teléfono real (ver S-06).</w:t>
      </w:r>
    </w:p>
    <w:p>
      <w:pPr>
        <w:pStyle w:val="ListParagraph"/>
        <w:numPr>
          <w:ilvl w:val="0"/>
          <w:numId w:val="2"/>
        </w:numPr>
        <w:spacing w:after="40" w:before="40"/>
      </w:pPr>
      <w:r>
        <w:rPr>
          <w:rFonts w:ascii="Arial" w:cs="Arial" w:eastAsia="Arial" w:hAnsi="Arial"/>
          <w:color w:val="374151"/>
          <w:sz w:val="19"/>
          <w:szCs w:val="19"/>
        </w:rPr>
        <w:t xml:space="preserve">Añadir sección de 'Artículos Recientes' en homepage para mejorar flujo a blog (ver U-03).</w:t>
      </w:r>
    </w:p>
    <w:p>
      <w:pPr>
        <w:spacing w:after="200" w:before="0"/>
      </w:pPr>
    </w:p>
    <w:p>
      <w:pPr>
        <w:pBdr>
          <w:top w:val="single" w:color="DDDDDD" w:sz="4"/>
        </w:pBdr>
        <w:spacing w:after="80" w:before="240"/>
      </w:pPr>
      <w:r>
        <w:rPr>
          <w:rFonts w:ascii="Arial" w:cs="Arial" w:eastAsia="Arial" w:hAnsi="Arial"/>
          <w:b/>
          <w:bCs/>
          <w:color w:val="6B7280"/>
          <w:sz w:val="16"/>
          <w:szCs w:val="16"/>
        </w:rPr>
        <w:t xml:space="preserve">AVISO: </w:t>
      </w:r>
      <w:r>
        <w:rPr>
          <w:rFonts w:ascii="Arial" w:cs="Arial" w:eastAsia="Arial" w:hAnsi="Arial"/>
          <w:color w:val="6B7280"/>
          <w:sz w:val="16"/>
          <w:szCs w:val="16"/>
        </w:rPr>
        <w:t xml:space="preserve">Esta auditoría fue generada con herramientas automatizadas de análisis de código fuente y verificación de hechos federales contra fuentes primarias (BOP.gov, USSC.gov, DOJ Federal Register). La verificación legal no constituye asesoría legal. Para cualquier decisión que afecte a un detenido real, consulte con un abogado defensor federal calificado.</w:t>
      </w:r>
    </w:p>
    <w:p>
      <w:pPr>
        <w:spacing w:after="0" w:before="80"/>
      </w:pPr>
      <w:r>
        <w:rPr>
          <w:rFonts w:ascii="Arial" w:cs="Arial" w:eastAsia="Arial" w:hAnsi="Arial"/>
          <w:b/>
          <w:bCs/>
          <w:color w:val="6B7280"/>
          <w:sz w:val="16"/>
          <w:szCs w:val="16"/>
        </w:rPr>
        <w:t xml:space="preserve">Fuentes verificadas: </w:t>
      </w:r>
      <w:r>
        <w:rPr>
          <w:rFonts w:ascii="Arial" w:cs="Arial" w:eastAsia="Arial" w:hAnsi="Arial"/>
          <w:color w:val="6B7280"/>
          <w:sz w:val="16"/>
          <w:szCs w:val="16"/>
        </w:rPr>
        <w:t xml:space="preserve">18 U.S.C. §§ 3142, 3621(e), 3624(g), 3632(d)(4)  |  BOP Program Statement 5331.02  |  BOP.gov  |  USSC.gov  |  Wikipedia FCI Fort Dix  |  CNN Oct 2025  |  Federal Defender Services Office  |  Urban Institute  |  BOP Director Directive May 28 &amp; June 17,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right"/>
    </w:pP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de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pBdr>
      <w:spacing w:after="120"/>
    </w:pPr>
    <w:r>
      <w:rPr>
        <w:rFonts w:ascii="Arial" w:cs="Arial" w:eastAsia="Arial" w:hAnsi="Arial"/>
        <w:b/>
        <w:bCs/>
        <w:color w:val="1A2B4C"/>
        <w:sz w:val="18"/>
        <w:szCs w:val="18"/>
      </w:rPr>
      <w:t xml:space="preserve">Guía Federal — Auditoría Técnica Completa</w:t>
    </w:r>
    <w:r>
      <w:rPr>
        <w:rFonts w:ascii="Arial" w:cs="Arial" w:eastAsia="Arial" w:hAnsi="Arial"/>
        <w:color w:val="6B7280"/>
        <w:sz w:val="16"/>
        <w:szCs w:val="16"/>
      </w:rPr>
      <w:t xml:space="preserve">       Mayo 2026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B4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2B4C"/>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2B4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2026-05-04T04:26:50.339Z</dcterms:created>
  <dcterms:modified xsi:type="dcterms:W3CDTF">2026-05-04T04:26:50.339Z</dcterms:modified>
</cp:coreProperties>
</file>

<file path=docProps/custom.xml><?xml version="1.0" encoding="utf-8"?>
<Properties xmlns="http://schemas.openxmlformats.org/officeDocument/2006/custom-properties" xmlns:vt="http://schemas.openxmlformats.org/officeDocument/2006/docPropsVTypes"/>
</file>