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0D1B2A"/>
          <w:sz w:val="52"/>
          <w:szCs w:val="52"/>
        </w:rPr>
        <w:t xml:space="preserve">Email Marketing Audit</w:t>
      </w:r>
    </w:p>
    <w:p>
      <w:pPr>
        <w:spacing w:after="60" w:before="0"/>
      </w:pPr>
      <w:r>
        <w:rPr>
          <w:rFonts w:ascii="Arial" w:cs="Arial" w:eastAsia="Arial" w:hAnsi="Arial"/>
          <w:b/>
          <w:bCs/>
          <w:color w:val="10B981"/>
          <w:sz w:val="24"/>
          <w:szCs w:val="24"/>
        </w:rPr>
        <w:t xml:space="preserve">Nearshore Navigator  —  Live Campaign Data Analysis</w:t>
      </w:r>
    </w:p>
    <w:p>
      <w:pPr>
        <w:spacing w:after="480" w:before="0"/>
      </w:pPr>
      <w:r>
        <w:rPr>
          <w:rFonts w:ascii="Arial" w:cs="Arial" w:eastAsia="Arial" w:hAnsi="Arial"/>
          <w:color w:val="888888"/>
          <w:sz w:val="20"/>
          <w:szCs w:val="20"/>
        </w:rPr>
        <w:t xml:space="preserve">June 2026  |  Data source: Brevo engagement logs + campaign files  |  Period: Feb–June 2026</w:t>
      </w:r>
    </w:p>
    <w:p>
      <w:pPr>
        <w:pBdr>
          <w:bottom w:val="single" w:color="E5E7EB" w:sz="4" w:space="1"/>
        </w:pBdr>
        <w:spacing w:after="160" w:before="160"/>
      </w:pPr>
    </w:p>
    <w:p>
      <w:pPr>
        <w:pStyle w:val="Heading1"/>
        <w:spacing w:after="160" w:before="320"/>
      </w:pPr>
      <w:r>
        <w:rPr>
          <w:rFonts w:ascii="Arial" w:cs="Arial" w:eastAsia="Arial" w:hAnsi="Arial"/>
          <w:b/>
          <w:bCs/>
          <w:color w:val="0D1B2A"/>
          <w:sz w:val="32"/>
          <w:szCs w:val="32"/>
        </w:rPr>
        <w:t xml:space="preserve">Executive Summary</w:t>
      </w:r>
    </w:p>
    <w:p>
      <w:pPr>
        <w:spacing w:after="80" w:before="60"/>
      </w:pPr>
      <w:r>
        <w:rPr>
          <w:rFonts w:ascii="Arial" w:cs="Arial" w:eastAsia="Arial" w:hAnsi="Arial"/>
          <w:b w:val="false"/>
          <w:bCs w:val="false"/>
          <w:color w:val="333333"/>
          <w:sz w:val="20"/>
          <w:szCs w:val="20"/>
        </w:rPr>
        <w:t xml:space="preserve">Nearshore Navigator has run an active B2B cold email program since February 2026, sending over 7,500 emails across 15 campaign batches to a list of manufacturing, industrial, electronics, aerospace, and automotive contacts. The program is generating real engagement — 1,894 unique openers and 844 unique clickers — but is leaving significant revenue on the table.</w:t>
      </w:r>
    </w:p>
    <w:p>
      <w:pPr>
        <w:spacing w:after="80" w:before="60"/>
      </w:pPr>
      <w:r>
        <w:rPr>
          <w:rFonts w:ascii="Arial" w:cs="Arial" w:eastAsia="Arial" w:hAnsi="Arial"/>
          <w:b w:val="false"/>
          <w:bCs w:val="false"/>
          <w:color w:val="333333"/>
          <w:sz w:val="20"/>
          <w:szCs w:val="20"/>
        </w:rPr>
        <w:t xml:space="preserve">The single biggest opportunity: 197 contacts have clicked 3 or more times (high buying intent) but only 17 are in follow-up tracking. Companies like Treace Medical (124 combined clicks from two contacts), InMode (54 clicks), Shawmut Corporation (53 clicks), and Phillips Industries (27 clicks) are showing strong interest with zero recorded outreach response.</w:t>
      </w:r>
    </w:p>
    <w:p>
      <w:pPr>
        <w:spacing w:after="80" w:before="60"/>
      </w:pPr>
      <w:r>
        <w:rPr>
          <w:rFonts w:ascii="Arial" w:cs="Arial" w:eastAsia="Arial" w:hAnsi="Arial"/>
          <w:b w:val="false"/>
          <w:bCs w:val="false"/>
          <w:color w:val="333333"/>
          <w:sz w:val="20"/>
          <w:szCs w:val="20"/>
        </w:rPr>
        <w:t xml:space="preserve">A critical infrastructure issue also requires immediate attention: a 12.5% hard bounce rate is nearly 6x the industry danger threshold and will damage sender reputation if not cleaned now.</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1B2A" w:val="clear"/>
            <w:tcMar>
              <w:top w:type="dxa" w:w="120"/>
              <w:left w:type="dxa" w:w="160"/>
              <w:bottom w:type="dxa" w:w="120"/>
              <w:right w:type="dxa" w:w="160"/>
            </w:tcMar>
          </w:tcPr>
          <w:p>
            <w:pPr>
              <w:jc w:val="center"/>
            </w:pPr>
            <w:r>
              <w:rPr>
                <w:rFonts w:ascii="Arial" w:cs="Arial" w:eastAsia="Arial" w:hAnsi="Arial"/>
                <w:b/>
                <w:bCs/>
                <w:color w:val="FFFFFF"/>
                <w:sz w:val="40"/>
                <w:szCs w:val="40"/>
              </w:rPr>
              <w:t xml:space="preserve">7,569</w:t>
            </w:r>
            <w:r>
              <w:rPr>
                <w:rFonts w:ascii="Arial" w:cs="Arial" w:eastAsia="Arial" w:hAnsi="Arial"/>
                <w:color w:val="AAAAAA"/>
                <w:sz w:val="18"/>
                <w:szCs w:val="18"/>
              </w:rPr>
              <w:t xml:space="preserve">
Emails Sent</w:t>
            </w:r>
          </w:p>
        </w:tc>
        <w:tc>
          <w:tcPr>
            <w:tcW w:type="dxa" w:w="2340"/>
            <w:tcBorders>
              <w:top w:val="single" w:color="CCCCCC" w:sz="1"/>
              <w:left w:val="single" w:color="CCCCCC" w:sz="1"/>
              <w:bottom w:val="single" w:color="CCCCCC" w:sz="1"/>
              <w:right w:val="single" w:color="CCCCCC" w:sz="1"/>
            </w:tcBorders>
            <w:shd w:fill="0D1B2A" w:val="clear"/>
            <w:tcMar>
              <w:top w:type="dxa" w:w="120"/>
              <w:left w:type="dxa" w:w="160"/>
              <w:bottom w:type="dxa" w:w="120"/>
              <w:right w:type="dxa" w:w="160"/>
            </w:tcMar>
          </w:tcPr>
          <w:p>
            <w:pPr>
              <w:jc w:val="center"/>
            </w:pPr>
            <w:r>
              <w:rPr>
                <w:rFonts w:ascii="Arial" w:cs="Arial" w:eastAsia="Arial" w:hAnsi="Arial"/>
                <w:b/>
                <w:bCs/>
                <w:color w:val="FFFFFF"/>
                <w:sz w:val="40"/>
                <w:szCs w:val="40"/>
              </w:rPr>
              <w:t xml:space="preserve">1,894</w:t>
            </w:r>
            <w:r>
              <w:rPr>
                <w:rFonts w:ascii="Arial" w:cs="Arial" w:eastAsia="Arial" w:hAnsi="Arial"/>
                <w:color w:val="AAAAAA"/>
                <w:sz w:val="18"/>
                <w:szCs w:val="18"/>
              </w:rPr>
              <w:t xml:space="preserve">
Unique Openers</w:t>
            </w:r>
          </w:p>
        </w:tc>
        <w:tc>
          <w:tcPr>
            <w:tcW w:type="dxa" w:w="2340"/>
            <w:tcBorders>
              <w:top w:val="single" w:color="CCCCCC" w:sz="1"/>
              <w:left w:val="single" w:color="CCCCCC" w:sz="1"/>
              <w:bottom w:val="single" w:color="CCCCCC" w:sz="1"/>
              <w:right w:val="single" w:color="CCCCCC" w:sz="1"/>
            </w:tcBorders>
            <w:shd w:fill="10B981" w:val="clear"/>
            <w:tcMar>
              <w:top w:type="dxa" w:w="120"/>
              <w:left w:type="dxa" w:w="160"/>
              <w:bottom w:type="dxa" w:w="120"/>
              <w:right w:type="dxa" w:w="160"/>
            </w:tcMar>
          </w:tcPr>
          <w:p>
            <w:pPr>
              <w:jc w:val="center"/>
            </w:pPr>
            <w:r>
              <w:rPr>
                <w:rFonts w:ascii="Arial" w:cs="Arial" w:eastAsia="Arial" w:hAnsi="Arial"/>
                <w:b/>
                <w:bCs/>
                <w:color w:val="FFFFFF"/>
                <w:sz w:val="40"/>
                <w:szCs w:val="40"/>
              </w:rPr>
              <w:t xml:space="preserve">844</w:t>
            </w:r>
            <w:r>
              <w:rPr>
                <w:rFonts w:ascii="Arial" w:cs="Arial" w:eastAsia="Arial" w:hAnsi="Arial"/>
                <w:color w:val="AAAAAA"/>
                <w:sz w:val="18"/>
                <w:szCs w:val="18"/>
              </w:rPr>
              <w:t xml:space="preserve">
Unique Clickers</w:t>
            </w:r>
          </w:p>
        </w:tc>
        <w:tc>
          <w:tcPr>
            <w:tcW w:type="dxa" w:w="2340"/>
            <w:tcBorders>
              <w:top w:val="single" w:color="CCCCCC" w:sz="1"/>
              <w:left w:val="single" w:color="CCCCCC" w:sz="1"/>
              <w:bottom w:val="single" w:color="CCCCCC" w:sz="1"/>
              <w:right w:val="single" w:color="CCCCCC" w:sz="1"/>
            </w:tcBorders>
            <w:shd w:fill="10B981" w:val="clear"/>
            <w:tcMar>
              <w:top w:type="dxa" w:w="120"/>
              <w:left w:type="dxa" w:w="160"/>
              <w:bottom w:type="dxa" w:w="120"/>
              <w:right w:type="dxa" w:w="160"/>
            </w:tcMar>
          </w:tcPr>
          <w:p>
            <w:pPr>
              <w:jc w:val="center"/>
            </w:pPr>
            <w:r>
              <w:rPr>
                <w:rFonts w:ascii="Arial" w:cs="Arial" w:eastAsia="Arial" w:hAnsi="Arial"/>
                <w:b/>
                <w:bCs/>
                <w:color w:val="FFFFFF"/>
                <w:sz w:val="40"/>
                <w:szCs w:val="40"/>
              </w:rPr>
              <w:t xml:space="preserve">197</w:t>
            </w:r>
            <w:r>
              <w:rPr>
                <w:rFonts w:ascii="Arial" w:cs="Arial" w:eastAsia="Arial" w:hAnsi="Arial"/>
                <w:color w:val="AAAAAA"/>
                <w:sz w:val="18"/>
                <w:szCs w:val="18"/>
              </w:rPr>
              <w:t xml:space="preserve">
HOT Leads (3+ clicks)</w:t>
            </w:r>
          </w:p>
        </w:tc>
      </w:tr>
      <w:tr>
        <w:tc>
          <w:tcPr>
            <w:tcW w:type="dxa" w:w="2340"/>
            <w:tcBorders>
              <w:top w:val="single" w:color="CCCCCC" w:sz="1"/>
              <w:left w:val="single" w:color="CCCCCC" w:sz="1"/>
              <w:bottom w:val="single" w:color="CCCCCC" w:sz="1"/>
              <w:right w:val="single" w:color="CCCCCC" w:sz="1"/>
            </w:tcBorders>
            <w:shd w:fill="FEE2E2" w:val="clear"/>
            <w:tcMar>
              <w:top w:type="dxa" w:w="120"/>
              <w:left w:type="dxa" w:w="160"/>
              <w:bottom w:type="dxa" w:w="120"/>
              <w:right w:type="dxa" w:w="160"/>
            </w:tcMar>
          </w:tcPr>
          <w:p>
            <w:pPr>
              <w:jc w:val="center"/>
            </w:pPr>
            <w:r>
              <w:rPr>
                <w:rFonts w:ascii="Arial" w:cs="Arial" w:eastAsia="Arial" w:hAnsi="Arial"/>
                <w:b/>
                <w:bCs/>
                <w:color w:val="991B1B"/>
                <w:sz w:val="40"/>
                <w:szCs w:val="40"/>
              </w:rPr>
              <w:t xml:space="preserve">12.5%</w:t>
            </w:r>
            <w:r>
              <w:rPr>
                <w:rFonts w:ascii="Arial" w:cs="Arial" w:eastAsia="Arial" w:hAnsi="Arial"/>
                <w:color w:val="666666"/>
                <w:sz w:val="18"/>
                <w:szCs w:val="18"/>
              </w:rPr>
              <w:t xml:space="preserve">
Hard Bounce Rate ⚠</w:t>
            </w:r>
          </w:p>
        </w:tc>
        <w:tc>
          <w:tcPr>
            <w:tcW w:type="dxa" w:w="2340"/>
            <w:tcBorders>
              <w:top w:val="single" w:color="CCCCCC" w:sz="1"/>
              <w:left w:val="single" w:color="CCCCCC" w:sz="1"/>
              <w:bottom w:val="single" w:color="CCCCCC" w:sz="1"/>
              <w:right w:val="single" w:color="CCCCCC" w:sz="1"/>
            </w:tcBorders>
            <w:shd w:fill="D1FAE5" w:val="clear"/>
            <w:tcMar>
              <w:top w:type="dxa" w:w="120"/>
              <w:left w:type="dxa" w:w="160"/>
              <w:bottom w:type="dxa" w:w="120"/>
              <w:right w:type="dxa" w:w="160"/>
            </w:tcMar>
          </w:tcPr>
          <w:p>
            <w:pPr>
              <w:jc w:val="center"/>
            </w:pPr>
            <w:r>
              <w:rPr>
                <w:rFonts w:ascii="Arial" w:cs="Arial" w:eastAsia="Arial" w:hAnsi="Arial"/>
                <w:b/>
                <w:bCs/>
                <w:color w:val="065F46"/>
                <w:sz w:val="40"/>
                <w:szCs w:val="40"/>
              </w:rPr>
              <w:t xml:space="preserve">6</w:t>
            </w:r>
            <w:r>
              <w:rPr>
                <w:rFonts w:ascii="Arial" w:cs="Arial" w:eastAsia="Arial" w:hAnsi="Arial"/>
                <w:color w:val="666666"/>
                <w:sz w:val="18"/>
                <w:szCs w:val="18"/>
              </w:rPr>
              <w:t xml:space="preserve">
Unsubscribes</w:t>
            </w:r>
          </w:p>
        </w:tc>
        <w:tc>
          <w:tcPr>
            <w:tcW w:type="dxa" w:w="2340"/>
            <w:tcBorders>
              <w:top w:val="single" w:color="CCCCCC" w:sz="1"/>
              <w:left w:val="single" w:color="CCCCCC" w:sz="1"/>
              <w:bottom w:val="single" w:color="CCCCCC" w:sz="1"/>
              <w:right w:val="single" w:color="CCCCCC" w:sz="1"/>
            </w:tcBorders>
            <w:shd w:fill="FEF3C7" w:val="clear"/>
            <w:tcMar>
              <w:top w:type="dxa" w:w="120"/>
              <w:left w:type="dxa" w:w="160"/>
              <w:bottom w:type="dxa" w:w="120"/>
              <w:right w:type="dxa" w:w="160"/>
            </w:tcMar>
          </w:tcPr>
          <w:p>
            <w:pPr>
              <w:jc w:val="center"/>
            </w:pPr>
            <w:r>
              <w:rPr>
                <w:rFonts w:ascii="Arial" w:cs="Arial" w:eastAsia="Arial" w:hAnsi="Arial"/>
                <w:b/>
                <w:bCs/>
                <w:color w:val="92400E"/>
                <w:sz w:val="40"/>
                <w:szCs w:val="40"/>
              </w:rPr>
              <w:t xml:space="preserve">17</w:t>
            </w:r>
            <w:r>
              <w:rPr>
                <w:rFonts w:ascii="Arial" w:cs="Arial" w:eastAsia="Arial" w:hAnsi="Arial"/>
                <w:color w:val="666666"/>
                <w:sz w:val="18"/>
                <w:szCs w:val="18"/>
              </w:rPr>
              <w:t xml:space="preserve">
In Follow-up</w:t>
            </w:r>
          </w:p>
        </w:tc>
        <w:tc>
          <w:tcPr>
            <w:tcW w:type="dxa" w:w="2340"/>
            <w:tcBorders>
              <w:top w:val="single" w:color="CCCCCC" w:sz="1"/>
              <w:left w:val="single" w:color="CCCCCC" w:sz="1"/>
              <w:bottom w:val="single" w:color="CCCCCC" w:sz="1"/>
              <w:right w:val="single" w:color="CCCCCC" w:sz="1"/>
            </w:tcBorders>
            <w:shd w:fill="EFF6FF" w:val="clear"/>
            <w:tcMar>
              <w:top w:type="dxa" w:w="120"/>
              <w:left w:type="dxa" w:w="160"/>
              <w:bottom w:type="dxa" w:w="120"/>
              <w:right w:type="dxa" w:w="160"/>
            </w:tcMar>
          </w:tcPr>
          <w:p>
            <w:pPr>
              <w:jc w:val="center"/>
            </w:pPr>
            <w:r>
              <w:rPr>
                <w:rFonts w:ascii="Arial" w:cs="Arial" w:eastAsia="Arial" w:hAnsi="Arial"/>
                <w:b/>
                <w:bCs/>
                <w:color w:val="1E40AF"/>
                <w:sz w:val="40"/>
                <w:szCs w:val="40"/>
              </w:rPr>
              <w:t xml:space="preserve">15</w:t>
            </w:r>
            <w:r>
              <w:rPr>
                <w:rFonts w:ascii="Arial" w:cs="Arial" w:eastAsia="Arial" w:hAnsi="Arial"/>
                <w:color w:val="666666"/>
                <w:sz w:val="18"/>
                <w:szCs w:val="18"/>
              </w:rPr>
              <w:t xml:space="preserve">
Campaign Batches</w:t>
            </w:r>
          </w:p>
        </w:tc>
      </w:tr>
    </w:tbl>
    <w:p>
      <w:pPr>
        <w:spacing w:after="0" w:before="320"/>
      </w:pPr>
    </w:p>
    <w:p>
      <w:pPr>
        <w:pBdr>
          <w:bottom w:val="single" w:color="E5E7EB" w:sz="4" w:space="1"/>
        </w:pBdr>
        <w:spacing w:after="160" w:before="160"/>
      </w:pPr>
    </w:p>
    <w:p>
      <w:pPr>
        <w:pStyle w:val="Heading1"/>
        <w:spacing w:after="160" w:before="320"/>
      </w:pPr>
      <w:r>
        <w:rPr>
          <w:rFonts w:ascii="Arial" w:cs="Arial" w:eastAsia="Arial" w:hAnsi="Arial"/>
          <w:b/>
          <w:bCs/>
          <w:color w:val="0D1B2A"/>
          <w:sz w:val="32"/>
          <w:szCs w:val="32"/>
        </w:rPr>
        <w:t xml:space="preserve">1. Send History &amp; Cadence</w:t>
      </w:r>
    </w:p>
    <w:p>
      <w:pPr>
        <w:spacing w:after="80" w:before="60"/>
      </w:pPr>
      <w:r>
        <w:rPr>
          <w:rFonts w:ascii="Arial" w:cs="Arial" w:eastAsia="Arial" w:hAnsi="Arial"/>
          <w:b w:val="false"/>
          <w:bCs w:val="false"/>
          <w:color w:val="333333"/>
          <w:sz w:val="20"/>
          <w:szCs w:val="20"/>
        </w:rPr>
        <w:t xml:space="preserve">The program ran two active phases with a nearly two-month gap in between: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Batch</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sz w:val="20"/>
                <w:szCs w:val="20"/>
              </w:rPr>
              <w:t xml:space="preserve">Contacts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sz w:val="20"/>
                <w:szCs w:val="20"/>
              </w:rPr>
              <w:t xml:space="preserve">Type</w:t>
            </w:r>
          </w:p>
        </w:tc>
        <w:tc>
          <w:tcPr>
            <w:tcW w:type="dxa" w:w="3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Feb 12–18 (early test)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 + Nurture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Initial sends; very high engagement (357 opens, 273 clicks Feb 18)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5 outreach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248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First scaled batch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6 outreach + nurture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 + Nurture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First nurture sequence launched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9 outreach + nurture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499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 + Nurture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Continued cadence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10 outreach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999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Largest single batch; 421 requests logged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18 outreach + nurture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952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 + Nurture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20 outreach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500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23 outreach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Largest list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24 outreach pt 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1,368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Split send, same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Mar 25–30 outreach (4x)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1,997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End of Phase 1; no sends until May 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May 20–June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19"/>
                <w:szCs w:val="19"/>
              </w:rPr>
              <w:t xml:space="preserve">~600+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Cold (personalized)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Phase 2: personalized subject lines (Re: Company)</w:t>
            </w:r>
          </w:p>
        </w:tc>
      </w:tr>
    </w:tbl>
    <w:p>
      <w:pPr>
        <w:spacing w:after="0" w:before="180"/>
      </w:pPr>
    </w:p>
    <w:p>
      <w:pPr>
        <w:spacing w:after="80" w:before="60"/>
      </w:pPr>
      <w:r>
        <w:rPr>
          <w:rFonts w:ascii="Arial" w:cs="Arial" w:eastAsia="Arial" w:hAnsi="Arial"/>
          <w:b w:val="false"/>
          <w:bCs w:val="false"/>
          <w:color w:val="92400E"/>
          <w:sz w:val="20"/>
          <w:szCs w:val="20"/>
        </w:rPr>
        <w:t xml:space="preserve">⚠️  Gap alert: No sends between March 30 and May 20 — a 51-day silence after strong engagement. Momentum was lost with warm contacts.</w:t>
      </w:r>
    </w:p>
    <w:p>
      <w:pPr>
        <w:spacing w:after="0" w:before="200"/>
      </w:pPr>
    </w:p>
    <w:p>
      <w:pPr>
        <w:pBdr>
          <w:bottom w:val="single" w:color="E5E7EB" w:sz="4" w:space="1"/>
        </w:pBdr>
        <w:spacing w:after="160" w:before="160"/>
      </w:pPr>
    </w:p>
    <w:p>
      <w:pPr>
        <w:pStyle w:val="Heading1"/>
        <w:spacing w:after="160" w:before="320"/>
      </w:pPr>
      <w:r>
        <w:rPr>
          <w:rFonts w:ascii="Arial" w:cs="Arial" w:eastAsia="Arial" w:hAnsi="Arial"/>
          <w:b/>
          <w:bCs/>
          <w:color w:val="0D1B2A"/>
          <w:sz w:val="32"/>
          <w:szCs w:val="32"/>
        </w:rPr>
        <w:t xml:space="preserve">2. Engagement Performance</w:t>
      </w:r>
    </w:p>
    <w:p>
      <w:pPr>
        <w:pStyle w:val="Heading2"/>
        <w:spacing w:after="120" w:before="240"/>
      </w:pPr>
      <w:r>
        <w:rPr>
          <w:rFonts w:ascii="Arial" w:cs="Arial" w:eastAsia="Arial" w:hAnsi="Arial"/>
          <w:b/>
          <w:bCs/>
          <w:color w:val="10B981"/>
          <w:sz w:val="26"/>
          <w:szCs w:val="26"/>
        </w:rPr>
        <w:t xml:space="preserve">Top Performing Subject Lines</w:t>
      </w:r>
    </w:p>
    <w:p>
      <w:pPr>
        <w:spacing w:after="80" w:before="60"/>
      </w:pPr>
      <w:r>
        <w:rPr>
          <w:rFonts w:ascii="Arial" w:cs="Arial" w:eastAsia="Arial" w:hAnsi="Arial"/>
          <w:b w:val="false"/>
          <w:bCs w:val="false"/>
          <w:color w:val="333333"/>
          <w:sz w:val="20"/>
          <w:szCs w:val="20"/>
        </w:rPr>
        <w:t xml:space="preserve">Ranked by click events — the most direct signal of interest:</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7360"/>
      </w:tblGrid>
      <w:tr>
        <w:tc>
          <w:tcPr>
            <w:tcW w:type="dxa" w:w="5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pPr>
              <w:jc w:val="center"/>
            </w:pPr>
            <w:r>
              <w:rPr>
                <w:rFonts w:ascii="Arial" w:cs="Arial" w:eastAsia="Arial" w:hAnsi="Arial"/>
                <w:b/>
                <w:bCs/>
                <w:color w:val="10B981"/>
                <w:sz w:val="18"/>
                <w:szCs w:val="18"/>
              </w:rPr>
              <w:t xml:space="preserve">Clicks</w:t>
            </w:r>
          </w:p>
        </w:tc>
        <w:tc>
          <w:tcPr>
            <w:tcW w:type="dxa" w:w="5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pPr>
              <w:jc w:val="center"/>
            </w:pPr>
            <w:r>
              <w:rPr>
                <w:rFonts w:ascii="Arial" w:cs="Arial" w:eastAsia="Arial" w:hAnsi="Arial"/>
                <w:b/>
                <w:bCs/>
                <w:color w:val="10B981"/>
                <w:sz w:val="18"/>
                <w:szCs w:val="18"/>
              </w:rPr>
              <w:t xml:space="preserve">Opens</w:t>
            </w:r>
          </w:p>
        </w:tc>
        <w:tc>
          <w:tcPr>
            <w:tcW w:type="dxa" w:w="7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10B981"/>
                <w:sz w:val="18"/>
                <w:szCs w:val="18"/>
              </w:rPr>
              <w:t xml:space="preserve">Subject Line</w:t>
            </w:r>
          </w:p>
        </w:tc>
      </w:tr>
      <w:tr>
        <w:tc>
          <w:tcPr>
            <w:tcW w:type="dxa" w:w="500"/>
            <w:tcBorders>
              <w:top w:val="single" w:color="CCCCCC" w:sz="1"/>
              <w:left w:val="single" w:color="CCCCCC" w:sz="1"/>
              <w:bottom w:val="single" w:color="CCCCCC" w:sz="1"/>
              <w:right w:val="single" w:color="CCCCCC" w:sz="1"/>
            </w:tcBorders>
            <w:shd w:fill="D1FAE5" w:val="clear"/>
            <w:tcMar>
              <w:top w:type="dxa" w:w="80"/>
              <w:left w:type="dxa" w:w="80"/>
              <w:bottom w:type="dxa" w:w="80"/>
              <w:right w:type="dxa" w:w="80"/>
            </w:tcMar>
          </w:tcPr>
          <w:p>
            <w:pPr>
              <w:jc w:val="center"/>
            </w:pPr>
            <w:r>
              <w:rPr>
                <w:rFonts w:ascii="Arial" w:cs="Arial" w:eastAsia="Arial" w:hAnsi="Arial"/>
                <w:b/>
                <w:bCs/>
                <w:color w:val="065F46"/>
                <w:sz w:val="19"/>
                <w:szCs w:val="19"/>
              </w:rPr>
              <w:t xml:space="preserve">389</w:t>
            </w:r>
          </w:p>
        </w:tc>
        <w:tc>
          <w:tcPr>
            <w:tcW w:type="dxa" w:w="500"/>
            <w:tcBorders>
              <w:top w:val="single" w:color="CCCCCC" w:sz="1"/>
              <w:left w:val="single" w:color="CCCCCC" w:sz="1"/>
              <w:bottom w:val="single" w:color="CCCCCC" w:sz="1"/>
              <w:right w:val="single" w:color="CCCCCC" w:sz="1"/>
            </w:tcBorders>
            <w:shd w:fill="D1FAE5" w:val="clear"/>
            <w:tcMar>
              <w:top w:type="dxa" w:w="80"/>
              <w:left w:type="dxa" w:w="80"/>
              <w:bottom w:type="dxa" w:w="80"/>
              <w:right w:type="dxa" w:w="80"/>
            </w:tcMar>
          </w:tcPr>
          <w:p>
            <w:pPr>
              <w:jc w:val="center"/>
            </w:pPr>
            <w:r>
              <w:rPr>
                <w:rFonts w:ascii="Arial" w:cs="Arial" w:eastAsia="Arial" w:hAnsi="Arial"/>
                <w:color w:val="555555"/>
                <w:sz w:val="19"/>
                <w:szCs w:val="19"/>
              </w:rPr>
              <w:t xml:space="preserve">361</w:t>
            </w:r>
          </w:p>
        </w:tc>
        <w:tc>
          <w:tcPr>
            <w:tcW w:type="dxa" w:w="73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r>
              <w:rPr>
                <w:rFonts w:ascii="Arial" w:cs="Arial" w:eastAsia="Arial" w:hAnsi="Arial"/>
                <w:b/>
                <w:bCs/>
                <w:color w:val="065F46"/>
                <w:sz w:val="19"/>
                <w:szCs w:val="19"/>
              </w:rPr>
              <w:t xml:space="preserve">The 3 factories our clients keep choosing in Baja  ★ WINNER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195</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109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Manufacturing capacity in Baja?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181</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183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Just sent this to another client in Baja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158</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156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Mexico manufacturing option for your supply chain?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119</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133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Tijuana vs Shenzhen manufacturing costs (2026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84</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51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Quick question about your facility specs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50</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Nearshore support for [Company]'s pipeline? (personalized)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48</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22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Vistage — Baja California supply chain shortlist?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39</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137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Quick case study: 42% cost reduction in 90 days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val="false"/>
                <w:bCs w:val="false"/>
                <w:color w:val="333333"/>
                <w:sz w:val="19"/>
                <w:szCs w:val="19"/>
              </w:rPr>
              <w:t xml:space="preserve">36</w:t>
            </w:r>
          </w:p>
        </w:tc>
        <w:tc>
          <w:tcPr>
            <w:tcW w:type="dxa" w:w="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555555"/>
                <w:sz w:val="19"/>
                <w:szCs w:val="19"/>
              </w:rPr>
              <w:t xml:space="preserve">12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Mexico partner shortlist for your company?</w:t>
            </w:r>
          </w:p>
        </w:tc>
      </w:tr>
    </w:tbl>
    <w:p>
      <w:pPr>
        <w:spacing w:after="0" w:before="180"/>
      </w:pPr>
    </w:p>
    <w:p>
      <w:pPr>
        <w:spacing w:after="80" w:before="60"/>
      </w:pPr>
      <w:r>
        <w:rPr>
          <w:rFonts w:ascii="Arial" w:cs="Arial" w:eastAsia="Arial" w:hAnsi="Arial"/>
          <w:b w:val="false"/>
          <w:bCs w:val="false"/>
          <w:color w:val="333333"/>
          <w:sz w:val="20"/>
          <w:szCs w:val="20"/>
        </w:rPr>
        <w:t xml:space="preserve">Key insight: social proof and specificity win. 'The 3 factories our clients keep choosing in Baja' nearly doubles the click volume of the next best subject. The data comparison angle ('Tijuana vs Shenzhen, 2026 data') also performs very well — numbers and recency signal credibility.</w:t>
      </w:r>
    </w:p>
    <w:p>
      <w:pPr>
        <w:spacing w:after="0" w:before="200"/>
      </w:pPr>
    </w:p>
    <w:p>
      <w:pPr>
        <w:pBdr>
          <w:bottom w:val="single" w:color="E5E7EB" w:sz="4" w:space="1"/>
        </w:pBdr>
        <w:spacing w:after="160" w:before="160"/>
      </w:pPr>
    </w:p>
    <w:p>
      <w:pPr>
        <w:pStyle w:val="Heading1"/>
        <w:spacing w:after="160" w:before="320"/>
      </w:pPr>
      <w:r>
        <w:rPr>
          <w:rFonts w:ascii="Arial" w:cs="Arial" w:eastAsia="Arial" w:hAnsi="Arial"/>
          <w:b/>
          <w:bCs/>
          <w:color w:val="0D1B2A"/>
          <w:sz w:val="32"/>
          <w:szCs w:val="32"/>
        </w:rPr>
        <w:t xml:space="preserve">3. Hot Leads — Immediate Revenue Opportunity</w:t>
      </w:r>
    </w:p>
    <w:p>
      <w:pPr>
        <w:spacing w:after="120" w:before="80"/>
      </w:pPr>
      <w:r>
        <w:rPr>
          <w:rFonts w:ascii="Arial" w:cs="Arial" w:eastAsia="Arial" w:hAnsi="Arial"/>
          <w:b/>
          <w:bCs/>
          <w:color w:val="991B1B"/>
          <w:sz w:val="22"/>
          <w:szCs w:val="22"/>
        </w:rPr>
        <w:t xml:space="preserve">197 contacts have clicked 3+ times. Only 17 are in follow-up tracking.</w:t>
      </w:r>
    </w:p>
    <w:p>
      <w:pPr>
        <w:spacing w:after="80" w:before="60"/>
      </w:pPr>
      <w:r>
        <w:rPr>
          <w:rFonts w:ascii="Arial" w:cs="Arial" w:eastAsia="Arial" w:hAnsi="Arial"/>
          <w:b w:val="false"/>
          <w:bCs w:val="false"/>
          <w:color w:val="333333"/>
          <w:sz w:val="20"/>
          <w:szCs w:val="20"/>
        </w:rPr>
        <w:t xml:space="preserve">Multiple clicks on cold emails is one of the strongest buying-intent signals in B2B outreach. These contacts are reading, re-reading, and engaging — they need a human touchpoint now. The following companies show the highest accumulated interest: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10B981"/>
                <w:sz w:val="20"/>
                <w:szCs w:val="20"/>
              </w:rPr>
              <w:t xml:space="preserve">Contact / Company</w:t>
            </w:r>
          </w:p>
        </w:tc>
        <w:tc>
          <w:tcPr>
            <w:tcW w:type="dxa" w:w="14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pPr>
              <w:jc w:val="center"/>
            </w:pPr>
            <w:r>
              <w:rPr>
                <w:rFonts w:ascii="Arial" w:cs="Arial" w:eastAsia="Arial" w:hAnsi="Arial"/>
                <w:b/>
                <w:bCs/>
                <w:color w:val="10B981"/>
                <w:sz w:val="20"/>
                <w:szCs w:val="20"/>
              </w:rPr>
              <w:t xml:space="preserve">Click Events</w:t>
            </w:r>
          </w:p>
        </w:tc>
        <w:tc>
          <w:tcPr>
            <w:tcW w:type="dxa" w:w="4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10B981"/>
                <w:sz w:val="20"/>
                <w:szCs w:val="20"/>
              </w:rPr>
              <w:t xml:space="preserve">Recommended Action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alovett@treace.net  (Treace Medical)</w:t>
            </w:r>
          </w:p>
        </w:tc>
        <w:tc>
          <w:tcPr>
            <w:tcW w:type="dxa" w:w="1400"/>
            <w:tcBorders>
              <w:top w:val="single" w:color="CCCCCC" w:sz="1"/>
              <w:left w:val="single" w:color="CCCCCC" w:sz="1"/>
              <w:bottom w:val="single" w:color="CCCCCC" w:sz="1"/>
              <w:right w:val="single" w:color="CCCCCC" w:sz="1"/>
            </w:tcBorders>
            <w:shd w:fill="FEE2E2" w:val="clear"/>
            <w:tcMar>
              <w:top w:type="dxa" w:w="80"/>
              <w:left w:type="dxa" w:w="80"/>
              <w:bottom w:type="dxa" w:w="80"/>
              <w:right w:type="dxa" w:w="80"/>
            </w:tcMar>
          </w:tcPr>
          <w:p>
            <w:pPr>
              <w:jc w:val="center"/>
            </w:pPr>
            <w:r>
              <w:rPr>
                <w:rFonts w:ascii="Arial" w:cs="Arial" w:eastAsia="Arial" w:hAnsi="Arial"/>
                <w:b/>
                <w:bCs/>
                <w:color w:val="991B1B"/>
                <w:sz w:val="19"/>
                <w:szCs w:val="19"/>
              </w:rPr>
              <w:t xml:space="preserve">63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Book call ASAP — medical device company, ISO 13485 angle fits perfectly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jtreace@treace.net  (Treace Medical)</w:t>
            </w:r>
          </w:p>
        </w:tc>
        <w:tc>
          <w:tcPr>
            <w:tcW w:type="dxa" w:w="1400"/>
            <w:tcBorders>
              <w:top w:val="single" w:color="CCCCCC" w:sz="1"/>
              <w:left w:val="single" w:color="CCCCCC" w:sz="1"/>
              <w:bottom w:val="single" w:color="CCCCCC" w:sz="1"/>
              <w:right w:val="single" w:color="CCCCCC" w:sz="1"/>
            </w:tcBorders>
            <w:shd w:fill="FEE2E2" w:val="clear"/>
            <w:tcMar>
              <w:top w:type="dxa" w:w="80"/>
              <w:left w:type="dxa" w:w="80"/>
              <w:bottom w:type="dxa" w:w="80"/>
              <w:right w:type="dxa" w:w="80"/>
            </w:tcMar>
          </w:tcPr>
          <w:p>
            <w:pPr>
              <w:jc w:val="center"/>
            </w:pPr>
            <w:r>
              <w:rPr>
                <w:rFonts w:ascii="Arial" w:cs="Arial" w:eastAsia="Arial" w:hAnsi="Arial"/>
                <w:b/>
                <w:bCs/>
                <w:color w:val="991B1B"/>
                <w:sz w:val="19"/>
                <w:szCs w:val="19"/>
              </w:rPr>
              <w:t xml:space="preserve">61</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Second Treace contact — coordinate outreach together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tmiller@bardex.com  (Bardex)</w:t>
            </w:r>
          </w:p>
        </w:tc>
        <w:tc>
          <w:tcPr>
            <w:tcW w:type="dxa" w:w="14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tcPr>
          <w:p>
            <w:pPr>
              <w:jc w:val="center"/>
            </w:pPr>
            <w:r>
              <w:rPr>
                <w:rFonts w:ascii="Arial" w:cs="Arial" w:eastAsia="Arial" w:hAnsi="Arial"/>
                <w:b/>
                <w:bCs/>
                <w:color w:val="333333"/>
                <w:sz w:val="19"/>
                <w:szCs w:val="19"/>
              </w:rPr>
              <w:t xml:space="preserve">32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Industrial machinery — send partner shortlist immediately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shakil.lakhani@inmodemd.com  (InMode)</w:t>
            </w:r>
          </w:p>
        </w:tc>
        <w:tc>
          <w:tcPr>
            <w:tcW w:type="dxa" w:w="14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tcPr>
          <w:p>
            <w:pPr>
              <w:jc w:val="center"/>
            </w:pPr>
            <w:r>
              <w:rPr>
                <w:rFonts w:ascii="Arial" w:cs="Arial" w:eastAsia="Arial" w:hAnsi="Arial"/>
                <w:b/>
                <w:bCs/>
                <w:color w:val="333333"/>
                <w:sz w:val="19"/>
                <w:szCs w:val="19"/>
              </w:rPr>
              <w:t xml:space="preserve">30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Medical aesthetics device maker — strong ICP fit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rphillips@phillipsind.com  (Phillips Industries)</w:t>
            </w:r>
          </w:p>
        </w:tc>
        <w:tc>
          <w:tcPr>
            <w:tcW w:type="dxa" w:w="1400"/>
            <w:tcBorders>
              <w:top w:val="single" w:color="CCCCCC" w:sz="1"/>
              <w:left w:val="single" w:color="CCCCCC" w:sz="1"/>
              <w:bottom w:val="single" w:color="CCCCCC" w:sz="1"/>
              <w:right w:val="single" w:color="CCCCCC" w:sz="1"/>
            </w:tcBorders>
            <w:shd w:fill="FEF3C7" w:val="clear"/>
            <w:tcMar>
              <w:top w:type="dxa" w:w="80"/>
              <w:left w:type="dxa" w:w="80"/>
              <w:bottom w:type="dxa" w:w="80"/>
              <w:right w:type="dxa" w:w="80"/>
            </w:tcMar>
          </w:tcPr>
          <w:p>
            <w:pPr>
              <w:jc w:val="center"/>
            </w:pPr>
            <w:r>
              <w:rPr>
                <w:rFonts w:ascii="Arial" w:cs="Arial" w:eastAsia="Arial" w:hAnsi="Arial"/>
                <w:b/>
                <w:bCs/>
                <w:color w:val="333333"/>
                <w:sz w:val="19"/>
                <w:szCs w:val="19"/>
              </w:rPr>
              <w:t xml:space="preserve">27</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Already received personalized Baja shortlist send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yairm@inmodemd.com  (InMode)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333333"/>
                <w:sz w:val="19"/>
                <w:szCs w:val="19"/>
              </w:rPr>
              <w:t xml:space="preserve">24</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Second InMode contact — coordinate with Shakil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barbosa / wpavao / swalker  (Shawmut Corp)</w:t>
            </w:r>
          </w:p>
        </w:tc>
        <w:tc>
          <w:tcPr>
            <w:tcW w:type="dxa" w:w="1400"/>
            <w:tcBorders>
              <w:top w:val="single" w:color="CCCCCC" w:sz="1"/>
              <w:left w:val="single" w:color="CCCCCC" w:sz="1"/>
              <w:bottom w:val="single" w:color="CCCCCC" w:sz="1"/>
              <w:right w:val="single" w:color="CCCCCC" w:sz="1"/>
            </w:tcBorders>
            <w:shd w:fill="FEE2E2" w:val="clear"/>
            <w:tcMar>
              <w:top w:type="dxa" w:w="80"/>
              <w:left w:type="dxa" w:w="80"/>
              <w:bottom w:type="dxa" w:w="80"/>
              <w:right w:type="dxa" w:w="80"/>
            </w:tcMar>
          </w:tcPr>
          <w:p>
            <w:pPr>
              <w:jc w:val="center"/>
            </w:pPr>
            <w:r>
              <w:rPr>
                <w:rFonts w:ascii="Arial" w:cs="Arial" w:eastAsia="Arial" w:hAnsi="Arial"/>
                <w:b/>
                <w:bCs/>
                <w:color w:val="991B1B"/>
                <w:sz w:val="19"/>
                <w:szCs w:val="19"/>
              </w:rPr>
              <w:t xml:space="preserve">53 combined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3 contacts engaging — prioritize Shawmut immediately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taylor.roof@bigrentz.com  (BigRentz)</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333333"/>
                <w:sz w:val="19"/>
                <w:szCs w:val="19"/>
              </w:rPr>
              <w:t xml:space="preserve">16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Equipment rental — logistics/supply chain angle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scottb@mar-bal.com  (Mar-Bal)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333333"/>
                <w:sz w:val="19"/>
                <w:szCs w:val="19"/>
              </w:rPr>
              <w:t xml:space="preserve">15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Specialty thermosets manufacturer — strong fit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sung.yi / james.chu  (ViewSonic)</w:t>
            </w:r>
          </w:p>
        </w:tc>
        <w:tc>
          <w:tcPr>
            <w:tcW w:type="dxa" w:w="1400"/>
            <w:tcBorders>
              <w:top w:val="single" w:color="CCCCCC" w:sz="1"/>
              <w:left w:val="single" w:color="CCCCCC" w:sz="1"/>
              <w:bottom w:val="single" w:color="CCCCCC" w:sz="1"/>
              <w:right w:val="single" w:color="CCCCCC" w:sz="1"/>
            </w:tcBorders>
            <w:shd w:fill="FEE2E2" w:val="clear"/>
            <w:tcMar>
              <w:top w:type="dxa" w:w="80"/>
              <w:left w:type="dxa" w:w="80"/>
              <w:bottom w:type="dxa" w:w="80"/>
              <w:right w:type="dxa" w:w="80"/>
            </w:tcMar>
          </w:tcPr>
          <w:p>
            <w:pPr>
              <w:jc w:val="center"/>
            </w:pPr>
            <w:r>
              <w:rPr>
                <w:rFonts w:ascii="Arial" w:cs="Arial" w:eastAsia="Arial" w:hAnsi="Arial"/>
                <w:b/>
                <w:bCs/>
                <w:color w:val="991B1B"/>
                <w:sz w:val="19"/>
                <w:szCs w:val="19"/>
              </w:rPr>
              <w:t xml:space="preserve">21 combined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19"/>
                <w:szCs w:val="19"/>
              </w:rPr>
              <w:t xml:space="preserve">Electronics manufacturer — Baja electronics assembly angle</w:t>
            </w:r>
          </w:p>
        </w:tc>
      </w:tr>
    </w:tbl>
    <w:p>
      <w:pPr>
        <w:spacing w:after="0" w:before="200"/>
      </w:pPr>
    </w:p>
    <w:p>
      <w:pPr>
        <w:pBdr>
          <w:bottom w:val="single" w:color="E5E7EB" w:sz="4" w:space="1"/>
        </w:pBdr>
        <w:spacing w:after="160" w:before="160"/>
      </w:pPr>
    </w:p>
    <w:p>
      <w:pPr>
        <w:pStyle w:val="Heading1"/>
        <w:spacing w:after="160" w:before="320"/>
      </w:pPr>
      <w:r>
        <w:rPr>
          <w:rFonts w:ascii="Arial" w:cs="Arial" w:eastAsia="Arial" w:hAnsi="Arial"/>
          <w:b/>
          <w:bCs/>
          <w:color w:val="0D1B2A"/>
          <w:sz w:val="32"/>
          <w:szCs w:val="32"/>
        </w:rPr>
        <w:t xml:space="preserve">4. List Health — Critical Issue</w:t>
      </w:r>
    </w:p>
    <w:p>
      <w:pPr>
        <w:spacing w:after="120" w:before="80"/>
      </w:pPr>
      <w:r>
        <w:rPr>
          <w:rFonts w:ascii="Arial" w:cs="Arial" w:eastAsia="Arial" w:hAnsi="Arial"/>
          <w:b/>
          <w:bCs/>
          <w:color w:val="991B1B"/>
          <w:sz w:val="24"/>
          <w:szCs w:val="24"/>
        </w:rPr>
        <w:t xml:space="preserve">Hard bounce rate: 12.5%  (industry danger threshold: 2%)</w:t>
      </w:r>
    </w:p>
    <w:p>
      <w:pPr>
        <w:spacing w:after="80" w:before="60"/>
      </w:pPr>
      <w:r>
        <w:rPr>
          <w:rFonts w:ascii="Arial" w:cs="Arial" w:eastAsia="Arial" w:hAnsi="Arial"/>
          <w:b w:val="false"/>
          <w:bCs w:val="false"/>
          <w:color w:val="333333"/>
          <w:sz w:val="20"/>
          <w:szCs w:val="20"/>
        </w:rPr>
        <w:t xml:space="preserve">Hard bounces (150 events across ~1,200 deliveries) indicate invalid email addresses. This rate is nearly 6× the safe threshold. If left uncleaned, Brevo will flag the account for review and eventually throttle or suspend sending.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sz w:val="20"/>
                <w:szCs w:val="20"/>
              </w:rPr>
              <w:t xml:space="preserve">Nearshore Navigator</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pPr>
              <w:jc w:val="center"/>
            </w:pPr>
            <w:r>
              <w:rPr>
                <w:rFonts w:ascii="Arial" w:cs="Arial" w:eastAsia="Arial" w:hAnsi="Arial"/>
                <w:b/>
                <w:bCs/>
                <w:sz w:val="20"/>
                <w:szCs w:val="20"/>
              </w:rPr>
              <w:t xml:space="preserve">Industry Benchmark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Hard bounce rate</w:t>
            </w:r>
          </w:p>
        </w:tc>
        <w:tc>
          <w:tcPr>
            <w:tcW w:type="dxa" w:w="3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991B1B"/>
                <w:sz w:val="19"/>
                <w:szCs w:val="19"/>
              </w:rPr>
              <w:t xml:space="preserve">12.5% ⚠️</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9"/>
                <w:szCs w:val="19"/>
              </w:rPr>
              <w:t xml:space="preserve">&lt;2% (danger if &gt;5%)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Soft bounce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10.7%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9"/>
                <w:szCs w:val="19"/>
              </w:rPr>
              <w:t xml:space="preserve">&lt;5%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Unsubscribe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9"/>
                <w:szCs w:val="19"/>
              </w:rPr>
              <w:t xml:space="preserve">&lt;0.5% (good)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Total contacts tracked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2,385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9"/>
                <w:szCs w:val="19"/>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Unique openers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1,894 (79.4%)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9"/>
                <w:szCs w:val="19"/>
              </w:rPr>
              <w:t xml:space="preserve">20–30% typical cold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Unique clickers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844 (35.4%)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555555"/>
                <w:sz w:val="19"/>
                <w:szCs w:val="19"/>
              </w:rPr>
              <w:t xml:space="preserve">3–5% typical cold email</w:t>
            </w:r>
          </w:p>
        </w:tc>
      </w:tr>
    </w:tbl>
    <w:p>
      <w:pPr>
        <w:spacing w:after="0" w:before="160"/>
      </w:pPr>
    </w:p>
    <w:p>
      <w:pPr>
        <w:spacing w:after="80" w:before="60"/>
      </w:pPr>
      <w:r>
        <w:rPr>
          <w:rFonts w:ascii="Arial" w:cs="Arial" w:eastAsia="Arial" w:hAnsi="Arial"/>
          <w:b w:val="false"/>
          <w:bCs w:val="false"/>
          <w:color w:val="333333"/>
          <w:sz w:val="20"/>
          <w:szCs w:val="20"/>
        </w:rPr>
        <w:t xml:space="preserve">Note on open/click rates: Nearshore Navigator's rates are well above typical B2B cold email benchmarks. This may partly reflect Apple Mail proxy pre-loading (142 loadedByProxy events logged), which inflates open counts. Even accounting for this, engagement is strong — the content and targeting are working.</w:t>
      </w:r>
    </w:p>
    <w:p>
      <w:pPr>
        <w:spacing w:after="0" w:before="200"/>
      </w:pPr>
    </w:p>
    <w:p>
      <w:pPr>
        <w:pBdr>
          <w:bottom w:val="single" w:color="E5E7EB" w:sz="4" w:space="1"/>
        </w:pBdr>
        <w:spacing w:after="160" w:before="160"/>
      </w:pPr>
    </w:p>
    <w:p>
      <w:pPr>
        <w:pStyle w:val="Heading1"/>
        <w:spacing w:after="160" w:before="320"/>
      </w:pPr>
      <w:r>
        <w:rPr>
          <w:rFonts w:ascii="Arial" w:cs="Arial" w:eastAsia="Arial" w:hAnsi="Arial"/>
          <w:b/>
          <w:bCs/>
          <w:color w:val="0D1B2A"/>
          <w:sz w:val="32"/>
          <w:szCs w:val="32"/>
        </w:rPr>
        <w:t xml:space="preserve">5. Audience &amp; Segmentation</w:t>
      </w:r>
    </w:p>
    <w:p>
      <w:pPr>
        <w:spacing w:after="80" w:before="60"/>
      </w:pPr>
      <w:r>
        <w:rPr>
          <w:rFonts w:ascii="Arial" w:cs="Arial" w:eastAsia="Arial" w:hAnsi="Arial"/>
          <w:b w:val="false"/>
          <w:bCs w:val="false"/>
          <w:color w:val="333333"/>
          <w:sz w:val="20"/>
          <w:szCs w:val="20"/>
        </w:rPr>
        <w:t xml:space="preserve">7,985 contacts in the campaign schedule across 5 industry segments: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800"/>
        <w:gridCol w:w="1760"/>
      </w:tblGrid>
      <w:tr>
        <w:tc>
          <w:tcPr>
            <w:tcW w:type="dxa" w:w="4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10B981"/>
                <w:sz w:val="20"/>
                <w:szCs w:val="20"/>
              </w:rPr>
              <w:t xml:space="preserve">Industry</w:t>
            </w:r>
          </w:p>
        </w:tc>
        <w:tc>
          <w:tcPr>
            <w:tcW w:type="dxa" w:w="18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pPr>
              <w:jc w:val="center"/>
            </w:pPr>
            <w:r>
              <w:rPr>
                <w:rFonts w:ascii="Arial" w:cs="Arial" w:eastAsia="Arial" w:hAnsi="Arial"/>
                <w:b/>
                <w:bCs/>
                <w:color w:val="10B981"/>
                <w:sz w:val="20"/>
                <w:szCs w:val="20"/>
              </w:rPr>
              <w:t xml:space="preserve">Contacts</w:t>
            </w:r>
          </w:p>
        </w:tc>
        <w:tc>
          <w:tcPr>
            <w:tcW w:type="dxa" w:w="180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pPr>
              <w:jc w:val="center"/>
            </w:pPr>
            <w:r>
              <w:rPr>
                <w:rFonts w:ascii="Arial" w:cs="Arial" w:eastAsia="Arial" w:hAnsi="Arial"/>
                <w:b/>
                <w:bCs/>
                <w:color w:val="10B981"/>
                <w:sz w:val="20"/>
                <w:szCs w:val="20"/>
              </w:rPr>
              <w:t xml:space="preserve">Share</w:t>
            </w:r>
          </w:p>
        </w:tc>
        <w:tc>
          <w:tcPr>
            <w:tcW w:type="dxa" w:w="1760"/>
            <w:tcBorders>
              <w:top w:val="single" w:color="CCCCCC" w:sz="1"/>
              <w:left w:val="single" w:color="CCCCCC" w:sz="1"/>
              <w:bottom w:val="single" w:color="CCCCCC" w:sz="1"/>
              <w:right w:val="single" w:color="CCCCCC" w:sz="1"/>
            </w:tcBorders>
            <w:shd w:fill="0D1B2A" w:val="clear"/>
            <w:tcMar>
              <w:top w:type="dxa" w:w="80"/>
              <w:left w:type="dxa" w:w="80"/>
              <w:bottom w:type="dxa" w:w="80"/>
              <w:right w:type="dxa" w:w="80"/>
            </w:tcMar>
          </w:tcPr>
          <w:p>
            <w:pPr>
              <w:jc w:val="center"/>
            </w:pPr>
            <w:r>
              <w:rPr>
                <w:rFonts w:ascii="Arial" w:cs="Arial" w:eastAsia="Arial" w:hAnsi="Arial"/>
                <w:b/>
                <w:bCs/>
                <w:color w:val="10B981"/>
                <w:sz w:val="20"/>
                <w:szCs w:val="20"/>
              </w:rPr>
              <w:t xml:space="preserve">Priority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General Manufacturing</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3,102</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38.8%</w:t>
            </w:r>
          </w:p>
        </w:tc>
        <w:tc>
          <w:tcPr>
            <w:tcW w:type="dxa" w:w="17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Arial" w:cs="Arial" w:eastAsia="Arial" w:hAnsi="Arial"/>
                <w:b/>
                <w:bCs/>
                <w:color w:val="1E40AF"/>
                <w:sz w:val="18"/>
                <w:szCs w:val="18"/>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Industrial Machinery &amp; Equipment</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2,530</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31.7%</w:t>
            </w:r>
          </w:p>
        </w:tc>
        <w:tc>
          <w:tcPr>
            <w:tcW w:type="dxa" w:w="17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Arial" w:cs="Arial" w:eastAsia="Arial" w:hAnsi="Arial"/>
                <w:b/>
                <w:bCs/>
                <w:color w:val="1E40AF"/>
                <w:sz w:val="18"/>
                <w:szCs w:val="18"/>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Electronics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1,277</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16.0%</w:t>
            </w:r>
          </w:p>
        </w:tc>
        <w:tc>
          <w:tcPr>
            <w:tcW w:type="dxa" w:w="17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Arial" w:cs="Arial" w:eastAsia="Arial" w:hAnsi="Arial"/>
                <w:b/>
                <w:bCs/>
                <w:color w:val="1E40AF"/>
                <w:sz w:val="18"/>
                <w:szCs w:val="18"/>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Aerospace &amp; Defense</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643</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8.1%</w:t>
            </w:r>
          </w:p>
        </w:tc>
        <w:tc>
          <w:tcPr>
            <w:tcW w:type="dxa" w:w="17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Arial" w:cs="Arial" w:eastAsia="Arial" w:hAnsi="Arial"/>
                <w:b/>
                <w:bCs/>
                <w:color w:val="1E40AF"/>
                <w:sz w:val="18"/>
                <w:szCs w:val="18"/>
              </w:rPr>
              <w:t xml:space="preserve">CRITICAL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Automotive Parts</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433</w:t>
            </w:r>
          </w:p>
        </w:tc>
        <w:tc>
          <w:tcPr>
            <w:tcW w:type="dxa" w:w="1800"/>
            <w:tcBorders>
              <w:top w:val="single" w:color="CCCCCC" w:sz="1"/>
              <w:left w:val="single" w:color="CCCCCC" w:sz="1"/>
              <w:bottom w:val="single" w:color="CCCCCC" w:sz="1"/>
              <w:right w:val="single" w:color="CCCCCC" w:sz="1"/>
            </w:tcBorders>
            <w:tcMar>
              <w:top w:type="dxa" w:w="80"/>
              <w:left w:type="dxa" w:w="80"/>
              <w:bottom w:type="dxa" w:w="80"/>
              <w:right w:type="dxa" w:w="80"/>
            </w:tcMar>
          </w:tcPr>
          <w:p>
            <w:pPr>
              <w:jc w:val="center"/>
            </w:pPr>
            <w:r>
              <w:rPr>
                <w:rFonts w:ascii="Arial" w:cs="Arial" w:eastAsia="Arial" w:hAnsi="Arial"/>
                <w:sz w:val="19"/>
                <w:szCs w:val="19"/>
              </w:rPr>
              <w:t xml:space="preserve">5.4%</w:t>
            </w:r>
          </w:p>
        </w:tc>
        <w:tc>
          <w:tcPr>
            <w:tcW w:type="dxa" w:w="1760"/>
            <w:tcBorders>
              <w:top w:val="single" w:color="CCCCCC" w:sz="1"/>
              <w:left w:val="single" w:color="CCCCCC" w:sz="1"/>
              <w:bottom w:val="single" w:color="CCCCCC" w:sz="1"/>
              <w:right w:val="single" w:color="CCCCCC" w:sz="1"/>
            </w:tcBorders>
            <w:shd w:fill="EFF6FF" w:val="clear"/>
            <w:tcMar>
              <w:top w:type="dxa" w:w="80"/>
              <w:left w:type="dxa" w:w="80"/>
              <w:bottom w:type="dxa" w:w="80"/>
              <w:right w:type="dxa" w:w="80"/>
            </w:tcMar>
          </w:tcPr>
          <w:p>
            <w:pPr>
              <w:jc w:val="center"/>
            </w:pPr>
            <w:r>
              <w:rPr>
                <w:rFonts w:ascii="Arial" w:cs="Arial" w:eastAsia="Arial" w:hAnsi="Arial"/>
                <w:b/>
                <w:bCs/>
                <w:color w:val="1E40AF"/>
                <w:sz w:val="18"/>
                <w:szCs w:val="18"/>
              </w:rPr>
              <w:t xml:space="preserve">HIGH</w:t>
            </w:r>
          </w:p>
        </w:tc>
      </w:tr>
    </w:tbl>
    <w:p>
      <w:pPr>
        <w:spacing w:after="0" w:before="160"/>
      </w:pPr>
    </w:p>
    <w:p>
      <w:pPr>
        <w:spacing w:after="80" w:before="60"/>
      </w:pPr>
      <w:r>
        <w:rPr>
          <w:rFonts w:ascii="Arial" w:cs="Arial" w:eastAsia="Arial" w:hAnsi="Arial"/>
          <w:b w:val="false"/>
          <w:bCs w:val="false"/>
          <w:color w:val="333333"/>
          <w:sz w:val="20"/>
          <w:szCs w:val="20"/>
        </w:rPr>
        <w:t xml:space="preserve">Current segmentation gap: all five segments receive largely the same messaging. Aerospace &amp; Defense and Medical Device contacts should be on a dedicated USMCA compliance track (July 2026 deadline) — that message is irrelevant to general manufacturing but extremely urgent for regulated industries.</w:t>
      </w:r>
    </w:p>
    <w:p>
      <w:pPr>
        <w:spacing w:after="0" w:before="200"/>
      </w:pPr>
    </w:p>
    <w:p>
      <w:pPr>
        <w:pBdr>
          <w:bottom w:val="single" w:color="E5E7EB" w:sz="4" w:space="1"/>
        </w:pBdr>
        <w:spacing w:after="160" w:before="160"/>
      </w:pPr>
    </w:p>
    <w:p>
      <w:pPr>
        <w:pStyle w:val="Heading1"/>
        <w:spacing w:after="160" w:before="320"/>
      </w:pPr>
      <w:r>
        <w:rPr>
          <w:rFonts w:ascii="Arial" w:cs="Arial" w:eastAsia="Arial" w:hAnsi="Arial"/>
          <w:b/>
          <w:bCs/>
          <w:color w:val="0D1B2A"/>
          <w:sz w:val="32"/>
          <w:szCs w:val="32"/>
        </w:rPr>
        <w:t xml:space="preserve">6. Prioritized Action Plan</w:t>
      </w:r>
    </w:p>
    <w:p>
      <w:pPr>
        <w:pStyle w:val="Heading2"/>
        <w:spacing w:after="120" w:before="240"/>
      </w:pPr>
      <w:r>
        <w:rPr>
          <w:rFonts w:ascii="Arial" w:cs="Arial" w:eastAsia="Arial" w:hAnsi="Arial"/>
          <w:b/>
          <w:bCs/>
          <w:color w:val="991B1B"/>
          <w:sz w:val="26"/>
          <w:szCs w:val="26"/>
        </w:rPr>
        <w:t xml:space="preserve">This Week — Revenue &amp; Risk</w:t>
      </w:r>
    </w:p>
    <w:p>
      <w:pPr>
        <w:pStyle w:val="ListParagraph"/>
        <w:numPr>
          <w:ilvl w:val="0"/>
          <w:numId w:val="2"/>
        </w:numPr>
        <w:spacing w:after="60" w:before="60"/>
      </w:pPr>
      <w:r>
        <w:rPr>
          <w:rFonts w:ascii="Arial" w:cs="Arial" w:eastAsia="Arial" w:hAnsi="Arial"/>
          <w:b/>
          <w:bCs/>
          <w:color w:val="0D1B2A"/>
          <w:sz w:val="20"/>
          <w:szCs w:val="20"/>
        </w:rPr>
        <w:t xml:space="preserve">IMMEDIATE: </w:t>
      </w:r>
      <w:r>
        <w:rPr>
          <w:rFonts w:ascii="Arial" w:cs="Arial" w:eastAsia="Arial" w:hAnsi="Arial"/>
          <w:color w:val="333333"/>
          <w:sz w:val="20"/>
          <w:szCs w:val="20"/>
        </w:rPr>
        <w:t xml:space="preserve">Contact Treace Medical (alovett + jtreace, 124 combined clicks).</w:t>
      </w:r>
    </w:p>
    <w:p>
      <w:pPr>
        <w:pStyle w:val="ListParagraph"/>
        <w:numPr>
          <w:ilvl w:val="0"/>
          <w:numId w:val="2"/>
        </w:numPr>
        <w:spacing w:after="60" w:before="60"/>
      </w:pPr>
      <w:r>
        <w:rPr>
          <w:rFonts w:ascii="Arial" w:cs="Arial" w:eastAsia="Arial" w:hAnsi="Arial"/>
          <w:b/>
          <w:bCs/>
          <w:color w:val="0D1B2A"/>
          <w:sz w:val="20"/>
          <w:szCs w:val="20"/>
        </w:rPr>
        <w:t xml:space="preserve">IMMEDIATE: </w:t>
      </w:r>
      <w:r>
        <w:rPr>
          <w:rFonts w:ascii="Arial" w:cs="Arial" w:eastAsia="Arial" w:hAnsi="Arial"/>
          <w:color w:val="333333"/>
          <w:sz w:val="20"/>
          <w:szCs w:val="20"/>
        </w:rPr>
        <w:t xml:space="preserve">Contact InMode (shakil.lakhani + yairm, 54 combined clicks).</w:t>
      </w:r>
    </w:p>
    <w:p>
      <w:pPr>
        <w:pStyle w:val="ListParagraph"/>
        <w:numPr>
          <w:ilvl w:val="0"/>
          <w:numId w:val="2"/>
        </w:numPr>
        <w:spacing w:after="60" w:before="60"/>
      </w:pPr>
      <w:r>
        <w:rPr>
          <w:rFonts w:ascii="Arial" w:cs="Arial" w:eastAsia="Arial" w:hAnsi="Arial"/>
          <w:b/>
          <w:bCs/>
          <w:color w:val="0D1B2A"/>
          <w:sz w:val="20"/>
          <w:szCs w:val="20"/>
        </w:rPr>
        <w:t xml:space="preserve">IMMEDIATE: </w:t>
      </w:r>
      <w:r>
        <w:rPr>
          <w:rFonts w:ascii="Arial" w:cs="Arial" w:eastAsia="Arial" w:hAnsi="Arial"/>
          <w:color w:val="333333"/>
          <w:sz w:val="20"/>
          <w:szCs w:val="20"/>
        </w:rPr>
        <w:t xml:space="preserve">Contact Shawmut Corporation (3 contacts, 53 combined clicks).</w:t>
      </w:r>
    </w:p>
    <w:p>
      <w:pPr>
        <w:pStyle w:val="ListParagraph"/>
        <w:numPr>
          <w:ilvl w:val="0"/>
          <w:numId w:val="2"/>
        </w:numPr>
        <w:spacing w:after="60" w:before="60"/>
      </w:pPr>
      <w:r>
        <w:rPr>
          <w:rFonts w:ascii="Arial" w:cs="Arial" w:eastAsia="Arial" w:hAnsi="Arial"/>
          <w:b/>
          <w:bCs/>
          <w:color w:val="0D1B2A"/>
          <w:sz w:val="20"/>
          <w:szCs w:val="20"/>
        </w:rPr>
        <w:t xml:space="preserve">LIST: </w:t>
      </w:r>
      <w:r>
        <w:rPr>
          <w:rFonts w:ascii="Arial" w:cs="Arial" w:eastAsia="Arial" w:hAnsi="Arial"/>
          <w:color w:val="333333"/>
          <w:sz w:val="20"/>
          <w:szCs w:val="20"/>
        </w:rPr>
        <w:t xml:space="preserve">Export all 197 hot clickers (3+ clicks) from Brevo. Load into CRM or spreadsheet with click counts, last click date, and company. Assign to outreach.</w:t>
      </w:r>
    </w:p>
    <w:p>
      <w:pPr>
        <w:pStyle w:val="ListParagraph"/>
        <w:numPr>
          <w:ilvl w:val="0"/>
          <w:numId w:val="2"/>
        </w:numPr>
        <w:spacing w:after="60" w:before="60"/>
      </w:pPr>
      <w:r>
        <w:rPr>
          <w:rFonts w:ascii="Arial" w:cs="Arial" w:eastAsia="Arial" w:hAnsi="Arial"/>
          <w:b/>
          <w:bCs/>
          <w:color w:val="0D1B2A"/>
          <w:sz w:val="20"/>
          <w:szCs w:val="20"/>
        </w:rPr>
        <w:t xml:space="preserve">CRITICAL: </w:t>
      </w:r>
      <w:r>
        <w:rPr>
          <w:rFonts w:ascii="Arial" w:cs="Arial" w:eastAsia="Arial" w:hAnsi="Arial"/>
          <w:color w:val="333333"/>
          <w:sz w:val="20"/>
          <w:szCs w:val="20"/>
        </w:rPr>
        <w:t xml:space="preserve">Clean hard bounces. Export all 150 hard-bounced addresses from Brevo and remove from all lists permanently. This must happen before the next send.</w:t>
      </w:r>
    </w:p>
    <w:p>
      <w:pPr>
        <w:spacing w:after="0" w:before="160"/>
      </w:pPr>
    </w:p>
    <w:p>
      <w:pPr>
        <w:pStyle w:val="Heading2"/>
        <w:spacing w:after="120" w:before="240"/>
      </w:pPr>
      <w:r>
        <w:rPr>
          <w:rFonts w:ascii="Arial" w:cs="Arial" w:eastAsia="Arial" w:hAnsi="Arial"/>
          <w:b/>
          <w:bCs/>
          <w:color w:val="10B981"/>
          <w:sz w:val="26"/>
          <w:szCs w:val="26"/>
        </w:rPr>
        <w:t xml:space="preserve">Next 2 Weeks — Resume Sending</w:t>
      </w:r>
    </w:p>
    <w:p>
      <w:pPr>
        <w:pStyle w:val="ListParagraph"/>
        <w:numPr>
          <w:ilvl w:val="0"/>
          <w:numId w:val="2"/>
        </w:numPr>
        <w:spacing w:after="60" w:before="60"/>
      </w:pPr>
      <w:r>
        <w:rPr>
          <w:rFonts w:ascii="Arial" w:cs="Arial" w:eastAsia="Arial" w:hAnsi="Arial"/>
          <w:color w:val="333333"/>
          <w:sz w:val="20"/>
          <w:szCs w:val="20"/>
        </w:rPr>
        <w:t xml:space="preserve">Resume weekly send cadence. The 51-day gap cost momentum. Warm contacts go cold fast in B2B. Restart with a re-engagement email to all contacts who opened but haven't clicked.</w:t>
      </w:r>
    </w:p>
    <w:p>
      <w:pPr>
        <w:pStyle w:val="ListParagraph"/>
        <w:numPr>
          <w:ilvl w:val="0"/>
          <w:numId w:val="2"/>
        </w:numPr>
        <w:spacing w:after="60" w:before="60"/>
      </w:pPr>
      <w:r>
        <w:rPr>
          <w:rFonts w:ascii="Arial" w:cs="Arial" w:eastAsia="Arial" w:hAnsi="Arial"/>
          <w:color w:val="333333"/>
          <w:sz w:val="20"/>
          <w:szCs w:val="20"/>
        </w:rPr>
        <w:t xml:space="preserve">Use 'The 3 factories' subject as the baseline. It generated 389 clicks — test variations: '3 factories in Baja we keep placing clients with' or '3 Baja factories with capacity right now'.</w:t>
      </w:r>
    </w:p>
    <w:p>
      <w:pPr>
        <w:pStyle w:val="ListParagraph"/>
        <w:numPr>
          <w:ilvl w:val="0"/>
          <w:numId w:val="2"/>
        </w:numPr>
        <w:spacing w:after="60" w:before="60"/>
      </w:pPr>
      <w:r>
        <w:rPr>
          <w:rFonts w:ascii="Arial" w:cs="Arial" w:eastAsia="Arial" w:hAnsi="Arial"/>
          <w:color w:val="333333"/>
          <w:sz w:val="20"/>
          <w:szCs w:val="20"/>
        </w:rPr>
        <w:t xml:space="preserve">Expand personalized sends (Re: Company Name pattern). May 2026 sends using this format showed very high click rates per contact — this should be the standard for warm contacts.</w:t>
      </w:r>
    </w:p>
    <w:p>
      <w:pPr>
        <w:spacing w:after="0" w:before="160"/>
      </w:pPr>
    </w:p>
    <w:p>
      <w:pPr>
        <w:pStyle w:val="Heading2"/>
        <w:spacing w:after="120" w:before="240"/>
      </w:pPr>
      <w:r>
        <w:rPr>
          <w:rFonts w:ascii="Arial" w:cs="Arial" w:eastAsia="Arial" w:hAnsi="Arial"/>
          <w:b/>
          <w:bCs/>
          <w:color w:val="10B981"/>
          <w:sz w:val="26"/>
          <w:szCs w:val="26"/>
        </w:rPr>
        <w:t xml:space="preserve">30 Days — Segment &amp; Automate</w:t>
      </w:r>
    </w:p>
    <w:p>
      <w:pPr>
        <w:pStyle w:val="ListParagraph"/>
        <w:numPr>
          <w:ilvl w:val="0"/>
          <w:numId w:val="2"/>
        </w:numPr>
        <w:spacing w:after="60" w:before="60"/>
      </w:pPr>
      <w:r>
        <w:rPr>
          <w:rFonts w:ascii="Arial" w:cs="Arial" w:eastAsia="Arial" w:hAnsi="Arial"/>
          <w:color w:val="333333"/>
          <w:sz w:val="20"/>
          <w:szCs w:val="20"/>
        </w:rPr>
        <w:t xml:space="preserve">Build USMCA track for Aerospace/Defense (643 contacts). Send 'July USMCA Rules of Origin Shift?' sequence specifically to this segment. Time-sensitive — July deadline is weeks away.</w:t>
      </w:r>
    </w:p>
    <w:p>
      <w:pPr>
        <w:pStyle w:val="ListParagraph"/>
        <w:numPr>
          <w:ilvl w:val="0"/>
          <w:numId w:val="2"/>
        </w:numPr>
        <w:spacing w:after="60" w:before="60"/>
      </w:pPr>
      <w:r>
        <w:rPr>
          <w:rFonts w:ascii="Arial" w:cs="Arial" w:eastAsia="Arial" w:hAnsi="Arial"/>
          <w:color w:val="333333"/>
          <w:sz w:val="20"/>
          <w:szCs w:val="20"/>
        </w:rPr>
        <w:t xml:space="preserve">Build welcome sequence for any inbound leads: 3 emails over 7 days triggered by form fill or Calendly booking. Currently zero automation exists for inbound.</w:t>
      </w:r>
    </w:p>
    <w:p>
      <w:pPr>
        <w:pStyle w:val="ListParagraph"/>
        <w:numPr>
          <w:ilvl w:val="0"/>
          <w:numId w:val="2"/>
        </w:numPr>
        <w:spacing w:after="60" w:before="60"/>
      </w:pPr>
      <w:r>
        <w:rPr>
          <w:rFonts w:ascii="Arial" w:cs="Arial" w:eastAsia="Arial" w:hAnsi="Arial"/>
          <w:color w:val="333333"/>
          <w:sz w:val="20"/>
          <w:szCs w:val="20"/>
        </w:rPr>
        <w:t xml:space="preserve">Set up Brevo automation for clickers: any contact with 2+ clicks should automatically enter a priority nurture track and trigger a Slack/email alert to Denisse for manual follow-up.</w:t>
      </w:r>
    </w:p>
    <w:p>
      <w:pPr>
        <w:spacing w:after="0" w:before="160"/>
      </w:pPr>
    </w:p>
    <w:p>
      <w:pPr>
        <w:pStyle w:val="Heading2"/>
        <w:spacing w:after="120" w:before="240"/>
      </w:pPr>
      <w:r>
        <w:rPr>
          <w:rFonts w:ascii="Arial" w:cs="Arial" w:eastAsia="Arial" w:hAnsi="Arial"/>
          <w:b/>
          <w:bCs/>
          <w:color w:val="10B981"/>
          <w:sz w:val="26"/>
          <w:szCs w:val="26"/>
        </w:rPr>
        <w:t xml:space="preserve">60 Days — Infrastructure</w:t>
      </w:r>
    </w:p>
    <w:p>
      <w:pPr>
        <w:pStyle w:val="ListParagraph"/>
        <w:numPr>
          <w:ilvl w:val="0"/>
          <w:numId w:val="2"/>
        </w:numPr>
        <w:spacing w:after="60" w:before="60"/>
      </w:pPr>
      <w:r>
        <w:rPr>
          <w:rFonts w:ascii="Arial" w:cs="Arial" w:eastAsia="Arial" w:hAnsi="Arial"/>
          <w:color w:val="333333"/>
          <w:sz w:val="20"/>
          <w:szCs w:val="20"/>
        </w:rPr>
        <w:t xml:space="preserve">Add UTM parameters to all email links (utm_source=email, utm_medium=cold-outreach or nurture, utm_campaign=[subject-slug]). Currently GA4 is blind to email traffic.</w:t>
      </w:r>
    </w:p>
    <w:p>
      <w:pPr>
        <w:pStyle w:val="ListParagraph"/>
        <w:numPr>
          <w:ilvl w:val="0"/>
          <w:numId w:val="2"/>
        </w:numPr>
        <w:spacing w:after="60" w:before="60"/>
      </w:pPr>
      <w:r>
        <w:rPr>
          <w:rFonts w:ascii="Arial" w:cs="Arial" w:eastAsia="Arial" w:hAnsi="Arial"/>
          <w:color w:val="333333"/>
          <w:sz w:val="20"/>
          <w:szCs w:val="20"/>
        </w:rPr>
        <w:t xml:space="preserve">Build 'Quick case study: 42% cost reduction' into a full email story. This subject got 39 clicks with 137 opens — the highest open:click ratio, meaning the content isn't delivering on the promise. Make it longer, more specific, with named company (if permitted) and hard numbers.</w:t>
      </w:r>
    </w:p>
    <w:p>
      <w:pPr>
        <w:pStyle w:val="ListParagraph"/>
        <w:numPr>
          <w:ilvl w:val="0"/>
          <w:numId w:val="2"/>
        </w:numPr>
        <w:spacing w:after="60" w:before="60"/>
      </w:pPr>
      <w:r>
        <w:rPr>
          <w:rFonts w:ascii="Arial" w:cs="Arial" w:eastAsia="Arial" w:hAnsi="Arial"/>
          <w:color w:val="333333"/>
          <w:sz w:val="20"/>
          <w:szCs w:val="20"/>
        </w:rPr>
        <w:t xml:space="preserve">Launch monthly Supply Chain Intelligence newsletter to full list. Positions Nearshore Navigator as the intelligence source — not just a vendor pitch.</w:t>
      </w:r>
    </w:p>
    <w:p>
      <w:pPr>
        <w:pBdr>
          <w:bottom w:val="single" w:color="E5E7EB" w:sz="4" w:space="1"/>
        </w:pBdr>
        <w:spacing w:after="160" w:before="160"/>
      </w:pPr>
    </w:p>
    <w:p>
      <w:pPr>
        <w:spacing w:after="120" w:before="320"/>
      </w:pPr>
      <w:r>
        <w:rPr>
          <w:rFonts w:ascii="Arial" w:cs="Arial" w:eastAsia="Arial" w:hAnsi="Arial"/>
          <w:b/>
          <w:bCs/>
          <w:color w:val="0D1B2A"/>
          <w:sz w:val="26"/>
          <w:szCs w:val="26"/>
        </w:rPr>
        <w:t xml:space="preserve">Bottom Line</w:t>
      </w:r>
    </w:p>
    <w:p>
      <w:pPr>
        <w:spacing w:after="80" w:before="60"/>
      </w:pPr>
      <w:r>
        <w:rPr>
          <w:rFonts w:ascii="Arial" w:cs="Arial" w:eastAsia="Arial" w:hAnsi="Arial"/>
          <w:b w:val="false"/>
          <w:bCs w:val="false"/>
          <w:color w:val="333333"/>
          <w:sz w:val="20"/>
          <w:szCs w:val="20"/>
        </w:rPr>
        <w:t xml:space="preserve">The email program is working. The targeting is right, the content resonates, and the list is engaged. The problems are execution gaps: hot leads not being followed up, a bounce rate threatening deliverability, a 2-month send gap, and zero automation. Fix the hard bounce list today, call Treace Medical and InMode this week, and restart the send cadence. The pipeline is there — it just needs to be worked.</w:t>
      </w:r>
    </w:p>
    <w:p>
      <w:pPr>
        <w:spacing w:after="0" w:before="2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pPr>
    <w:r>
      <w:rPr>
        <w:rFonts w:ascii="Arial" w:cs="Arial" w:eastAsia="Arial" w:hAnsi="Arial"/>
        <w:color w:val="888888"/>
        <w:sz w:val="16"/>
        <w:szCs w:val="16"/>
      </w:rPr>
      <w:t xml:space="preserve">nearshorenavigator.com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6"/>
      </w:pBdr>
    </w:pPr>
    <w:r>
      <w:rPr>
        <w:rFonts w:ascii="Arial" w:cs="Arial" w:eastAsia="Arial" w:hAnsi="Arial"/>
        <w:b/>
        <w:bCs/>
        <w:color w:val="10B981"/>
        <w:sz w:val="18"/>
        <w:szCs w:val="18"/>
      </w:rPr>
      <w:t xml:space="preserve">NEARSHORE NAVIGATOR</w:t>
    </w:r>
    <w:r>
      <w:rPr>
        <w:rFonts w:ascii="Arial" w:cs="Arial" w:eastAsia="Arial" w:hAnsi="Arial"/>
        <w:color w:val="888888"/>
        <w:sz w:val="18"/>
        <w:szCs w:val="18"/>
      </w:rPr>
      <w:t xml:space="preserve">   |   Email Marketing Audit — Live Data Edition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0B98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2026-06-15T02:54:47.146Z</dcterms:created>
  <dcterms:modified xsi:type="dcterms:W3CDTF">2026-06-15T02:54:47.146Z</dcterms:modified>
</cp:coreProperties>
</file>

<file path=docProps/custom.xml><?xml version="1.0" encoding="utf-8"?>
<Properties xmlns="http://schemas.openxmlformats.org/officeDocument/2006/custom-properties" xmlns:vt="http://schemas.openxmlformats.org/officeDocument/2006/docPropsVTypes"/>
</file>