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NEARSHORE NAVIGATOR</w:t>
      </w:r>
    </w:p>
    <w:p>
      <w:pPr>
        <w:pBdr>
          <w:bottom w:val="single" w:color="10B981" w:sz="8" w:space="4"/>
        </w:pBdr>
        <w:spacing w:after="48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Email Marketing Strategy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90-Day Execution Playbook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June – September 2026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Prepared by: Denisse Martinez  |  denisse@nearshorenavigator.com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Executive Summary</w:t>
      </w:r>
    </w:p>
    <w:p>
      <w:pPr>
        <w:pBdr>
          <w:bottom w:val="single" w:color="10B981" w:sz="6" w:space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90-day email playbook operationalizes the findings from our May 2026 email audit. The strategy targets 324 confirmed human engagers plus 1,400+ segmented fresh contacts across five manufacturing niches — Aerospace, Medical Devices, Electronics, Automotive, and General Manufacturing.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⚡  Primary Driver: USMCA Joint Review — July 1, 2026 is the Article 34.7 review decision point. New North American content rules and Chinese-component RVC exclusions are expected. This is the single biggest compliance event in B2B manufacturing for 2026.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Audit Findings That Drive This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1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Benchmark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Bounce 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99-email suppression list immediately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Bot/Scanner Traffic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34.5% of clickers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using 3-signal detection; use confirmed-human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Rate (true)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~8% (MPP-adjusted)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line overhaul + send-time optimization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1–3% (cold B2B)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Shorter emails: 50–75 words + single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Health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2,385 total, 105 dead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ongoing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suppression hygiene; niche segmentation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Frequency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bursts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touch, monthly depth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Cadence calendar: Week 1 blast + Week 3 nurture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The Five Niche Tracks</w:t>
      </w:r>
    </w:p>
    <w:p>
      <w:pPr>
        <w:pBdr>
          <w:bottom w:val="single" w:color="10B981" w:sz="6" w:space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niche gets its own messaging track, subject line formula, and CTA. Never send a generic blast — segment first.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✈️  Aerospace &amp; Defense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ICP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Supply Chain, Director of Operations at OEM manufacturers, Tier 1–2 defense contractors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Angle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USMCA + AS9100 + ITAR 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Hook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ITAR-compatible Baja facilities with AS9100 certification. Component traceability and chain-of-custody documentation matched to AS9100D requirements.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15-min call for 3-facility shortlist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 in tier lists</w:t>
            </w:r>
          </w:p>
        </w:tc>
      </w:tr>
    </w:tbl>
    <w:p>
      <w:pPr>
        <w:spacing w:after="80"/>
      </w:pPr>
    </w:p>
    <w:p>
      <w:pPr>
        <w:pStyle w:val="Heading3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Subject Line Formulas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about {{company}}'s USMCA supply chain exposure after July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{{company}} — AS9100 Baja California options?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ITAR-compatible Baja facilities for {{company}}'s component profile</w:t>
      </w:r>
    </w:p>
    <w:p>
      <w:pPr>
        <w:spacing w:after="200"/>
      </w:pPr>
    </w:p>
    <w:p>
      <w:pPr>
        <w:pBdr>
          <w:bottom w:val="single" w:color="94A3B8" w:sz="6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🏥  Medical Devices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ICP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Manufacturing, Director of Operations at Class II/III device manufacturers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Angle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13485 / FDA-registered Baja manufacturers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Hook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California is the #3 medical device manufacturing cluster globally. ISO 13485, FDA-registered, 30 min from US border. USMCA-qualifying under all proposed rule changes.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"yes" for a PDF shortlist (no call required)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~180 in tier1 list</w:t>
            </w:r>
          </w:p>
        </w:tc>
      </w:tr>
    </w:tbl>
    <w:p>
      <w:pPr>
        <w:spacing w:after="80"/>
      </w:pPr>
    </w:p>
    <w:p>
      <w:pPr>
        <w:pStyle w:val="Heading3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Subject Line Formulas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{{company}} — ISO 13485 Baja partners before the USMCA review?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for {{company}}'s contract manufacturing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FDA-registered Baja facilities matched to {{company}}'s product class</w:t>
      </w:r>
    </w:p>
    <w:p>
      <w:pPr>
        <w:spacing w:after="200"/>
      </w:pPr>
    </w:p>
    <w:p>
      <w:pPr>
        <w:pBdr>
          <w:bottom w:val="single" w:color="94A3B8" w:sz="6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🔌  Electronics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ICP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Operations, Director of Supply Chain at electronics OEMs and EMS providers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Angle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Chinese component RVC risk + SMT capacity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Hook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USMCA review is targeting Chinese-origin PCBs and modules. Baja California SMT manufacturers qualify under current and proposed rules, running the same equipment as Shenzhen — 20 min from San Diego.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15-min call or "send me the PDF"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 in tier lists</w:t>
            </w:r>
          </w:p>
        </w:tc>
      </w:tr>
    </w:tbl>
    <w:p>
      <w:pPr>
        <w:spacing w:after="80"/>
      </w:pPr>
    </w:p>
    <w:p>
      <w:pPr>
        <w:pStyle w:val="Heading3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Subject Line Formulas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{{company}} — Chinese components and the USMCA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Baja SMT that runs the same lines as your current supplier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USMCA-clean electronics production 20 min from San Diego</w:t>
      </w:r>
    </w:p>
    <w:p>
      <w:pPr>
        <w:spacing w:after="200"/>
      </w:pPr>
    </w:p>
    <w:p>
      <w:pPr>
        <w:pBdr>
          <w:bottom w:val="single" w:color="94A3B8" w:sz="6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🚗  Automotive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ICP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of Purchasing, VP Supply Chain at Tier 1–3 auto parts manufacturers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Angle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RVC threshold tightening — 75% + third-party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Hook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USMCA review expected to raise RVC to 75% and mandate third-party verification replacing self-certification. Asian sub-assemblies in scope. Baja stamping, machining, and sub-assembly manufacturers already at compliance threshold.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"yes" for the shortlist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 in tier lists</w:t>
            </w:r>
          </w:p>
        </w:tc>
      </w:tr>
    </w:tbl>
    <w:p>
      <w:pPr>
        <w:spacing w:after="80"/>
      </w:pPr>
    </w:p>
    <w:p>
      <w:pPr>
        <w:pStyle w:val="Heading3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Subject Line Formulas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USMCA auto content rules tightening — where is {{company}} on RVC?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{{company}} — RVC self-certification going away after July?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Baja Tier-2 stamping partners for {{company}}'s supply chain audit</w:t>
      </w:r>
    </w:p>
    <w:p>
      <w:pPr>
        <w:spacing w:after="200"/>
      </w:pPr>
    </w:p>
    <w:p>
      <w:pPr>
        <w:pBdr>
          <w:bottom w:val="single" w:color="94A3B8" w:sz="6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🏭  General Manufacturing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ICP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CEO/COO of SMB manufacturers ($5M–$100M), owners, VP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Angle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Tariff math + landed cost reduction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Hook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manufacturers haven't run the tariff + USMCA math since 2023. The July review changes the variables. 20 minutes from San Diego; labor cost 60–70% below US; USMCA-compliant by default.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15-min call or resource download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 in tier2 + machine shop lists</w:t>
            </w:r>
          </w:p>
        </w:tc>
      </w:tr>
    </w:tbl>
    <w:p>
      <w:pPr>
        <w:spacing w:after="80"/>
      </w:pPr>
    </w:p>
    <w:p>
      <w:pPr>
        <w:pStyle w:val="Heading3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Subject Line Formulas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about {{company}} and the USMCA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Did {{company}} run the new tariff math after April's hike?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Baja option most {{company}}-size manufacturers haven't considered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90-Day Campaign Calendar</w:t>
      </w:r>
    </w:p>
    <w:p>
      <w:pPr>
        <w:pBdr>
          <w:bottom w:val="single" w:color="10B981" w:sz="6" w:space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Two email touches per month. Week 1 = USMCA/compliance hook (cold outreach). Week 3 = value/education (nurture). Monthly: suppression hygiene + list refresh.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Month 1: USMCA Launch (June 15 – July 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300"/>
        <w:gridCol w:w="1600"/>
        <w:gridCol w:w="3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/ Hook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USMCA Week 1 Blast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niches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1 review decision — what changes, what you need to know. 324 hot leads + 500 fresh.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Manufacturing 101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niches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proof: 3 case studies. Medical: ActivCare, Medela angle. Mfg: landed cost math infographic.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Lead Follow-up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Openers from W1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or automated: reply to anyone who opened W1 but didn't respond. Ask one question.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month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 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 Hygiene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new hard bounces + unsubscribes. Upload to Brevo. Refresh cold prospects from segmented_leads/.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Month 2: Deep Niche (July 15 – Aug 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300"/>
        <w:gridCol w:w="1600"/>
        <w:gridCol w:w="3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/ Hook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 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USMCA Rule Change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Post-July-1 update email. What the review decided. Position NN as the source of truth.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 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Facility Spotlight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+ Aerospace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facility highlight. 3 vetted partners per niche. "Reply yes for the shortlist" CTA.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 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Breakup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Non-openers 60+ days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"Is this still relevant?" one-liner. Cleans list + often reactivates 2–5% of cold contacts.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month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 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Refresh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contacts from segmented_leads/. Target: +200 net new per month.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Month 3: Conversion Push (Aug 15 – Sep 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300"/>
        <w:gridCol w:w="1600"/>
        <w:gridCol w:w="3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/ Hook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 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Planning 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"Most manufacturers are locking Q4 supply chain now." Urgency framing. Book a call CTA.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Study Deep Dive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+ Electronics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case study per niche. Real numbers: cost savings, timeline, USMCA qualification outcome.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 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USMCA Urgency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"Rules are set — are you positioned?" Follow-up to all openers from the 90 days.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month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 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Brevo stats. Run bot audit again. Plan next 90 days. Identify top 20 reply leads for Denisse to call.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Email Frameworks &amp; Copy Templates</w:t>
      </w:r>
    </w:p>
    <w:p>
      <w:pPr>
        <w:pBdr>
          <w:bottom w:val="single" w:color="10B981" w:sz="6" w:space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outbound follows the PAS framework (Problem → Agitate → Solve). Subject lines use a question or number format. Bodies are 50–75 words max for cold, 100–150 for nurture.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Cold Outreach Framework (50-75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📏  Research shows 50–75 word cold emails get a 12% reply rate vs. 2% for 200+ word emails. Never explain your company in the first email. Lead with the prospect's problem.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Write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format using {{company}}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 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"Question about {{company}}'s USMCA exposure after July"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the problem or the 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sentence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"The USMCA review starts July 1 — Chinese components are in scope."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the cost of inaction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sentences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"Most manufacturers haven't run the new landed-cost math. The tariff structure changed in April, and USMCA rules are changing again."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One-line positioning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sentence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"We connect US manufacturers with USMCA-qualified Baja facilities."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soft 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sentence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"Worth a 15-min call this week?"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Nurture Email Framework (100-150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signal, not a question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"How {{company}}-sized manufacturers are handling USMCA"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hook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with what a peer did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 medical device manufacturer in Cleveland reduced landed cost 34% by moving sub-assembly to Baja last quarter."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bridge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their situation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"If {{company}} sources any sub-assemblies from Asia, the July changes affect your RVC calculation."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or offer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something; don't sell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put together a one-page landed-cost comparison. Want me to send it?"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CTA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ask 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"Reply 'yes' — I'll send the PDF."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Breakup Email (Week 8 — Non-Openers)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💬  "Breakup" emails to 60-day non-openers reactivate 2–5% and clean the list for deliverability. Send to any contact who has not opened in 60+ days.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Subject: Should I stop sending you emails about USMCA?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Hi {{contact.FIRSTNAME}},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I've sent a few emails about Baja California manufacturing and USMCA changes — haven't heard back, which is totally fine.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Is this still relevant for {{contact.COMPANY}}, or should I take you off my list? One reply saves us both time.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Either way, no hard feelings.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— Denisse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Bot Detection &amp; List Hygiene Protocol</w:t>
      </w:r>
    </w:p>
    <w:p>
      <w:pPr>
        <w:pBdr>
          <w:bottom w:val="single" w:color="10B981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🚨  Current state: 12.5% hard bounce rate (6x above 2% danger threshold). Left unaddressed, Brevo will flag the account. First action: upload hard_bounce_suppression.csv to Brevo immediately.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Three-Signal Bot Detection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Catches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 with zero opens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contact with clicks &gt; 0 and opens =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security scanners (Proofpoint, Mimecast) pre-clicking links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"bot" segment; do not send cold outreach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Rapid-fire clicks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clicks on same email within 2 seconds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URL scanners clicking every link in one pass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suspicious; include in suppression review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click:open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&gt; 5x with 10+ total clicks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firewalls with aggressive link prefetching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 from engagement scoring; do not count as "hot lead"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Known Bot Accounts (do not send cold outreach):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treace.com — 63 clicks, 2 opens (31:1 ratio) — confirmed Proofpoint scanner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bardex.com — 61 clicks, 1 open (61:1 ratio) — confirmed automated scanner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inam.com — 32 clicks, 2 opens (16:1 ratio) — corporate security filter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Monthly Hygiene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new hard bounces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campaign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 dashboard → Export Bounced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to suppression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 → Contacts → Blacklist → Import CSV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bot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engagement_data.json for ratio &gt; 5 + zero opens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 MCP or 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cold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200 net-new from segmented_leads/ CSVs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90-day non-openers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contacts not opened in 90 days → archive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MPP correction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reporting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Multiply proxy opens (loadedByProxy) by 0.15 for true rate estimate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math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Automation Map &amp; Hot Lead Follow-Up</w:t>
      </w:r>
    </w:p>
    <w:p>
      <w:pPr>
        <w:pBdr>
          <w:bottom w:val="single" w:color="10B981" w:sz="6" w:space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324 confirmed human hot leads represent the highest-value segment. These contacts have opened and clicked — they are aware of Nearshore Navigator. The follow-up sequence converts awareness into conversations.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Hot Lead Follow-Up Sequence (Confirmed Human Openers)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300"/>
        <w:gridCol w:w="2200"/>
        <w:gridCol w:w="2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Formula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Format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 Blast (USMCA)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about {{company}} and the USMCA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65-word PAS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Awareness + 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if no reply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follow — {{company}} and July USMCA rules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words — "did you see my last note?"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add (nurture)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{{industry}}-type manufacturers are handling USMCA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words — peer story + resource offer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+ PDF request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Shortlist offer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Baja partners matched to {{company}}'s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words — specific, named, personalized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call or reply 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Breakup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I stop sending you emails about USMCA?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words — one question only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Reactivate or clean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Top Hot Leads — Manual Priority Follow-Up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contacts showed the strongest confirmed human engagement. Denisse should prioritize direct outreach (LinkedIn or phone) alongside the email sequence.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taylor.roof@bigrentz.com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clicks / 14 opens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Mfg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message + email Day 3 follow-up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nathan.berg@medela.com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clicks / 16 opens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Device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ISO 13485 shortlist PDF immediately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sung.yi@viewsonic.com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clicks / 6 opens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 RVC email + Baja SMT shortlist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ActivCare Living (4 contacts)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clicks 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Account-level sequence; all 4 contacts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Joerns Healthcare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contacts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13485 track; send case study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Bionics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contacts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Device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FDA-registration angle; ISO 13485 shortlist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KPIs &amp; Success Metrics</w:t>
      </w:r>
    </w:p>
    <w:p>
      <w:pPr>
        <w:pBdr>
          <w:bottom w:val="single" w:color="10B981" w:sz="6" w:space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Measure what matters. B2B cold email KPIs differ from consumer email — reply rate and booked calls are the true conversion metrics, not open rate (which Apple MPP inflates).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1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(May 2026)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(90 days)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bounce rate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 campaign report after each send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open rate (MPP-adj)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(Total opens − loadedByProxy) /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rate (cold)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replies per campaign / emails 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Booked calls / month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 / 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Calendly + CRM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lead pool growth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324 confirmed human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by Day 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export from Brevo MCP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Unsubscribe rate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0.3% per send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 report → Unsubscribed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contacts / month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+200 net new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count delta month-over-month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Bot/suspect % of clickers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bot audit via engagement JSON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🔴  Critical action before any new send: Upload data/hard_bounce_suppression.csv to Brevo → Contacts → Blacklist → Import. This alone reduces bounce rate from 12.5% to under 2%.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Implementation Checklist — Week 1</w:t>
      </w:r>
    </w:p>
    <w:p>
      <w:pPr>
        <w:pBdr>
          <w:bottom w:val="single" w:color="10B981" w:sz="6" w:space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Complete these in order before sending the June 15 blast.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⏱️  None of these take more than 30 minutes. Do them in one session.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Immediate (Before June 15 Send)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 hard_bounce_suppression.csv → Brevo → Contacts → Blacklist → Import CSV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File: /nearshore-navigator/data/hard_bounce_suppression.csv (99 emails)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This drops bounce rate from 12.5% → &lt;2% and prevents account suspension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 full_suppression_list.csv as contact exclusion list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File: /nearshore-navigator/data/full_suppression_list.csv (105 emails — hard bounces + unsubscribes)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the June 15 campaign script (dry run first)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Dry run: npx tsx scripts/campaigns/usmca_week1_june15.ts --dry-run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Verify counts and sample copy in terminal output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Live run: npx tsx scripts/campaigns/usmca_week1_june15.ts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Confirms schedule: June 15 2026 at 8:00 AM PDT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in Brevo: 5 campaigns in "Scheduled" status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Brevo → Campaigns → Filter by Scheduled → should see USMCA-Week1-[niche]-Jun15 x5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Brevo MCP server to Cowork Settings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Settings → MCP Servers → Add server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Name: nearshore-navigator-brevo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Command: node /Users/gax8627/nearshore-navigator/scripts/brevo-mcp-server.mjs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Week 1 Post-Send (June 16–21)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Pull campaign stats via Brevo MCP after 48 hours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Check: open rate, reply rate, new bounces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Export any new hard bounces and add to suppression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openers for Day 3 follow-up sequence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Brevo → Campaign → View Report → Opened → Export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Send manual follow-up to top 10 hot leads who opened but didn't reply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Tag replies in Gmail; book Calendly call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Subject Line Swipe File</w:t>
      </w:r>
    </w:p>
    <w:p>
      <w:pPr>
        <w:pBdr>
          <w:bottom w:val="single" w:color="10B981" w:sz="6" w:space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Tested formulas for B2B manufacturing cold outreach. {{company}} always pulls highest open rate when available. Question format outperforms statement format for cold email.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Question Format (Best for Cold)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about {{company}}'s USMCA exposure after July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{{company}} — USMCA supply chain risk after July 1?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Did {{company}} run the new tariff math after April's hike?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Where is {{company}} on RVC self-certification?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{{company}} — ISO 13485 Baja partners before the review?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 question for {{company}}'s supply chain lead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Number Format (Best for Nurture)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USMCA-qualified Baja facilities for {{company}}'s component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3 medical device OEMs cut landed cost 30%+ in Baja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 things that change for {{company}} after July 1 USMCA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 question for {{company}} before the USMCA review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Curiosity / Pattern-Interrupt (A/B test these)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Baja option most {{company}}-size manufacturers haven't considered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 minutes from San Diego, USMCA-qualified, ISO 13485 — heard of this?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{{industry}} manufacturer in Cleveland reduced landed cost 34% last quarter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 ActivCare moved medical device sub-assembly to Baja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Avoid These Subject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🚫  Never use: "Partnering with {{company}}" / "Excited to connect" / "Following up on my last email" / anything with exclamation marks. These signal spam and kill open rates.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Appendix: Files &amp; Scripts Reference</w:t>
      </w:r>
    </w:p>
    <w:p>
      <w:pPr>
        <w:pBdr>
          <w:bottom w:val="single" w:color="10B981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usmca_week1_june15.ts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scripts/campaigns/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15 USMCA blast — 5 niches, 8am PDT. Run with npx tsx.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brevo-mcp-server.mjs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 MCP server. Add to Cowork settings for live Brevo access.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hard_bounce_suppression.csv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 hard-bounced emails. Upload to Brevo blacklist immediately.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full_suppression_list.csv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 emails (hard bounces + unsubscribes). Use as exclusion list.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hot_leads_confirmed_human.csv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324 confirmed human engagers. Primary target for June 15 blast.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engagement_data.json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2,385 contacts with full event history. Source for bot analysis.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email_marketing_audit.docx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audit report with live Brevo data, bot analysis, action plan.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 API client. Used by all campaign scripts.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Brevo MCP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Returns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brevo_account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status, plan, sending limits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brevo_campaigns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campaigns with status and stats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brevo_campaign_stats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stats for specific campaign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brevo_hot_leads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20 confirmed human engagers from engagement_data.json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brevo_bounces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Hard/soft bounce counts and rates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brevo_engagement_summary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engagement overview with bot detection flags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brevo_create_campaign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schedule new campaign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brevo_suppressions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current suppression/blacklist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brevo_upcoming_campaigns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campaigns in next 30 days</w:t>
            </w:r>
          </w:p>
        </w:tc>
      </w:tr>
    </w:tbl>
    <w:p>
      <w:pPr>
        <w:spacing w:after="12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Nearshore Navigator — Confidential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2026-06-15T03:18:51.098Z</dcterms:created>
  <dcterms:modified xsi:type="dcterms:W3CDTF">2026-06-15T03:18:51.099Z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