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中宋" w:hAnsi="华文中宋" w:eastAsia="华文中宋" w:cs="华文中宋"/>
          <w:b/>
          <w:bCs/>
          <w:sz w:val="36"/>
          <w:szCs w:val="44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36"/>
          <w:szCs w:val="44"/>
          <w:lang w:val="en-US" w:eastAsia="zh-CN"/>
        </w:rPr>
        <w:t>收益分析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净现值分析</w:t>
      </w:r>
    </w:p>
    <w:p>
      <w:pPr>
        <w:numPr>
          <w:numId w:val="0"/>
        </w:numP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投资回报率分析</w:t>
      </w:r>
    </w:p>
    <w:p>
      <w:pPr>
        <w:numPr>
          <w:numId w:val="0"/>
        </w:numP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投资回收期分析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806B0"/>
    <w:multiLevelType w:val="singleLevel"/>
    <w:tmpl w:val="2B4806B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sun</cp:lastModifiedBy>
  <dcterms:modified xsi:type="dcterms:W3CDTF">2019-03-20T02:21:47Z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