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Dataset Source and Citation</w:t>
      </w:r>
    </w:p>
    <w:p>
      <w:pPr>
        <w:spacing w:after="200"/>
        <w:jc w:val="center"/>
      </w:pPr>
      <w:r>
        <w:rPr>
          <w:color w:val="595959"/>
          <w:sz w:val="23"/>
        </w:rPr>
        <w:t>The approved dataset used in this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Approved dataset and dataset source/citation.</w:t>
            </w:r>
          </w:p>
        </w:tc>
      </w:tr>
    </w:tbl>
    <w:p>
      <w:pPr>
        <w:spacing w:after="40"/>
      </w:pPr>
    </w:p>
    <w:p>
      <w:pPr>
        <w:pStyle w:val="Heading1"/>
      </w:pPr>
      <w:r>
        <w:t>1. Dataset identification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49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803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Name</w:t>
            </w:r>
          </w:p>
        </w:tc>
        <w:tc>
          <w:tcPr>
            <w:tcW w:type="dxa" w:w="680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DataCo Smart Supply Chain for Big Data Analysis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Authors</w:t>
            </w:r>
          </w:p>
        </w:tc>
        <w:tc>
          <w:tcPr>
            <w:tcW w:type="dxa" w:w="680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Fabian Constante, Fernando Silva, António Pereira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Publisher / repository</w:t>
            </w:r>
          </w:p>
        </w:tc>
        <w:tc>
          <w:tcPr>
            <w:tcW w:type="dxa" w:w="680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Mendeley Data (open access, licence CC BY 4.0)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Year</w:t>
            </w:r>
          </w:p>
        </w:tc>
        <w:tc>
          <w:tcPr>
            <w:tcW w:type="dxa" w:w="680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2019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DOI</w:t>
            </w:r>
          </w:p>
        </w:tc>
        <w:tc>
          <w:tcPr>
            <w:tcW w:type="dxa" w:w="680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10.17632/8gx2fvg2k6.1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URL</w:t>
            </w:r>
          </w:p>
        </w:tc>
        <w:tc>
          <w:tcPr>
            <w:tcW w:type="dxa" w:w="680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https://doi.org/10.17632/8gx2fvg2k6.1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File provided</w:t>
            </w:r>
          </w:p>
        </w:tc>
        <w:tc>
          <w:tcPr>
            <w:tcW w:type="dxa" w:w="680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DataCoSupplyChainDataset.csv</w:t>
            </w:r>
            <w:r>
              <w:rPr>
                <w:sz w:val="19"/>
              </w:rPr>
              <w:t xml:space="preserve"> (in this folder, ≈ 91 MB)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Character encoding</w:t>
            </w:r>
          </w:p>
        </w:tc>
        <w:tc>
          <w:tcPr>
            <w:tcW w:type="dxa" w:w="680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Latin-1 – read with </w:t>
            </w:r>
            <w:r>
              <w:rPr>
                <w:rFonts w:ascii="Consolas" w:hAnsi="Consolas"/>
                <w:color w:val="1F3864"/>
                <w:sz w:val="19"/>
              </w:rPr>
              <w:t>pd.read_csv(path, encoding="latin-1")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Size</w:t>
            </w:r>
          </w:p>
        </w:tc>
        <w:tc>
          <w:tcPr>
            <w:tcW w:type="dxa" w:w="680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180,519 rows × 53 columns · 65,752 unique orders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Row grain</w:t>
            </w:r>
          </w:p>
        </w:tc>
        <w:tc>
          <w:tcPr>
            <w:tcW w:type="dxa" w:w="680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One row per order item; 1–5 items per order (mean 2.75)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Time span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January 2015 – January 2018</w:t>
            </w:r>
          </w:p>
        </w:tc>
      </w:tr>
    </w:tbl>
    <w:p>
      <w:pPr>
        <w:spacing w:after="40"/>
      </w:pPr>
    </w:p>
    <w:p>
      <w:pPr>
        <w:pStyle w:val="Heading1"/>
      </w:pPr>
      <w:r>
        <w:t>2. Citation</w:t>
      </w:r>
    </w:p>
    <w:p>
      <w:pPr>
        <w:pStyle w:val="Heading2"/>
      </w:pPr>
      <w:r>
        <w:t>Harvard</w:t>
      </w:r>
    </w:p>
    <w:p>
      <w:pPr>
        <w:jc w:val="both"/>
      </w:pPr>
      <w:r>
        <w:t xml:space="preserve">Constante, F., Silva, F. and Pereira, A. (2019) </w:t>
      </w:r>
      <w:r>
        <w:rPr>
          <w:i/>
        </w:rPr>
        <w:t>DataCo SMART SUPPLY CHAIN FOR BIG DATA ANALYSIS</w:t>
      </w:r>
      <w:r>
        <w:t>. Mendeley Data, V1. doi: 10.17632/8gx2fvg2k6.1.</w:t>
      </w:r>
    </w:p>
    <w:p>
      <w:pPr>
        <w:pStyle w:val="Heading2"/>
      </w:pPr>
      <w:r>
        <w:t>APA 7</w:t>
      </w:r>
    </w:p>
    <w:p>
      <w:pPr>
        <w:jc w:val="both"/>
      </w:pPr>
      <w:r>
        <w:t xml:space="preserve">Constante, F., Silva, F., &amp; Pereira, A. (2019). </w:t>
      </w:r>
      <w:r>
        <w:rPr>
          <w:i/>
        </w:rPr>
        <w:t>DataCo SMART SUPPLY CHAIN FOR BIG DATA ANALYSIS</w:t>
      </w:r>
      <w:r>
        <w:t xml:space="preserve"> (Version 1) [Data set]. Mendeley Data. https://doi.org/10.17632/8gx2fvg2k6.1</w:t>
      </w:r>
    </w:p>
    <w:p>
      <w:pPr>
        <w:pStyle w:val="Heading1"/>
      </w:pPr>
      <w:r>
        <w:t>3. Targets used in this 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06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Target column</w:t>
            </w:r>
          </w:p>
        </w:tc>
        <w:tc>
          <w:tcPr>
            <w:tcW w:type="dxa" w:w="3969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Values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Regression (primary)</w:t>
            </w:r>
          </w:p>
        </w:tc>
        <w:tc>
          <w:tcPr>
            <w:tcW w:type="dxa" w:w="3061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Days for shipping (real)</w:t>
            </w:r>
          </w:p>
        </w:tc>
        <w:tc>
          <w:tcPr>
            <w:tcW w:type="dxa" w:w="39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Whole numbers 0–6; mean 3.50, std 1.62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Classification (secondary)</w:t>
            </w:r>
          </w:p>
        </w:tc>
        <w:tc>
          <w:tcPr>
            <w:tcW w:type="dxa" w:w="306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Late_delivery_risk</w:t>
            </w:r>
          </w:p>
        </w:tc>
        <w:tc>
          <w:tcPr>
            <w:tcW w:type="dxa" w:w="3969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 = late, 0 = on time (54.8 % late in raw data)</w:t>
            </w:r>
          </w:p>
        </w:tc>
      </w:tr>
    </w:tbl>
    <w:p>
      <w:pPr>
        <w:spacing w:after="40"/>
      </w:pPr>
    </w:p>
    <w:p>
      <w:pPr>
        <w:pStyle w:val="Heading1"/>
      </w:pPr>
      <w:r>
        <w:t>4. Why this dataset was approved for the scenario</w:t>
      </w:r>
    </w:p>
    <w:p>
      <w:pPr>
        <w:pStyle w:val="ListBullet"/>
        <w:spacing w:after="60"/>
      </w:pPr>
      <w:r>
        <w:t xml:space="preserve">It is retail supply-chain transaction data containing both the </w:t>
      </w:r>
      <w:r>
        <w:rPr>
          <w:b/>
        </w:rPr>
        <w:t>scheduled</w:t>
      </w:r>
      <w:r>
        <w:t xml:space="preserve"> and the </w:t>
      </w:r>
      <w:r>
        <w:rPr>
          <w:b/>
        </w:rPr>
        <w:t>actual</w:t>
      </w:r>
      <w:r>
        <w:t xml:space="preserve"> shipping days, which is exactly what a late-delivery predictor needs.</w:t>
      </w:r>
    </w:p>
    <w:p>
      <w:pPr>
        <w:pStyle w:val="ListBullet"/>
        <w:spacing w:after="60"/>
      </w:pPr>
      <w:r>
        <w:t>It is large: 172,765 usable rows after cleaning, enough for 5-fold grouped cross-validation plus a hidden 20 % test set.</w:t>
      </w:r>
    </w:p>
    <w:p>
      <w:pPr>
        <w:pStyle w:val="ListBullet"/>
        <w:spacing w:after="60"/>
      </w:pPr>
      <w:r>
        <w:t>It supports both a numeric and a binary target, enabling the two-task (regression + classification) design.</w:t>
      </w:r>
    </w:p>
    <w:p>
      <w:pPr>
        <w:pStyle w:val="ListBullet"/>
        <w:spacing w:after="60"/>
      </w:pPr>
      <w:r>
        <w:t>It contains order-time attributes (shipping mode, destination, product category, quantity, segment, order timestamp) that a checkout form can collect.</w:t>
      </w:r>
    </w:p>
    <w:p>
      <w:pPr>
        <w:pStyle w:val="ListBullet"/>
        <w:spacing w:after="60"/>
      </w:pPr>
      <w:r>
        <w:t>It is public, citable and licensed for reuse, so results are reproducible.</w:t>
      </w:r>
    </w:p>
    <w:p>
      <w:pPr>
        <w:pStyle w:val="Heading1"/>
      </w:pPr>
      <w:r>
        <w:t>5. Main column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181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7483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Order</w:t>
            </w:r>
          </w:p>
        </w:tc>
        <w:tc>
          <w:tcPr>
            <w:tcW w:type="dxa" w:w="748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Order Id, order date (DateOrders), Order Item Quantity, Order Status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Shipping</w:t>
            </w:r>
          </w:p>
        </w:tc>
        <w:tc>
          <w:tcPr>
            <w:tcW w:type="dxa" w:w="748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Shipping Mode, Days for shipment (scheduled), Days for shipping (real), shipping date, Delivery Status, Late_delivery_risk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Destination</w:t>
            </w:r>
          </w:p>
        </w:tc>
        <w:tc>
          <w:tcPr>
            <w:tcW w:type="dxa" w:w="748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Market, Order Region, Order Country, Order State, Order City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7483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Category Name, Department Name, Product Name, Product Price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Customer</w:t>
            </w:r>
          </w:p>
        </w:tc>
        <w:tc>
          <w:tcPr>
            <w:tcW w:type="dxa" w:w="7483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Customer Segment, Customer City/State/Country (PII columns removed during cleaning)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Financial</w:t>
            </w:r>
          </w:p>
        </w:tc>
        <w:tc>
          <w:tcPr>
            <w:tcW w:type="dxa" w:w="7483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Sales, Sales per customer, Order Item Discount, Benefit per order, Order Item Profit Ratio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