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Dataset Proposal and Validation Evidence</w:t>
      </w:r>
    </w:p>
    <w:p>
      <w:pPr>
        <w:spacing w:after="200"/>
        <w:jc w:val="center"/>
      </w:pPr>
      <w:r>
        <w:rPr>
          <w:color w:val="595959"/>
          <w:sz w:val="23"/>
        </w:rPr>
        <w:t>Why the dataset was chosen and proof that it is fit for purpose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Dataset proposal/validation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Part A – Dataset Proposal</w:t>
      </w:r>
    </w:p>
    <w:p>
      <w:pPr>
        <w:pStyle w:val="Heading2"/>
      </w:pPr>
      <w:r>
        <w:t>A1. Scenario and problem</w:t>
      </w:r>
    </w:p>
    <w:p>
      <w:pPr>
        <w:jc w:val="both"/>
      </w:pPr>
      <w:r>
        <w:t xml:space="preserve">DataCo Global, a multinational retailer, ships orders to five markets using four shipping modes. More than half of order items arrive after their scheduled date. The proposal is to predict </w:t>
      </w:r>
      <w:r>
        <w:rPr>
          <w:b/>
        </w:rPr>
        <w:t>at checkout</w:t>
      </w:r>
      <w:r>
        <w:t xml:space="preserve"> how many days an order will take to ship and whether it will be late, so that customers get realistic expectations and operations can act early.</w:t>
      </w:r>
    </w:p>
    <w:p>
      <w:pPr>
        <w:pStyle w:val="Heading2"/>
      </w:pPr>
      <w:r>
        <w:t>A2. Proposed dataset</w:t>
      </w:r>
    </w:p>
    <w:p>
      <w:pPr>
        <w:jc w:val="both"/>
      </w:pPr>
      <w:r>
        <w:t>DataCo Smart Supply Chain for Big Data Analysis (Constante, Silva and Pereira, 2019), Mendeley Data, doi: 10.17632/8gx2fvg2k6.1 – 180,519 order items × 53 columns, 2015–2018.</w:t>
      </w:r>
    </w:p>
    <w:p>
      <w:pPr>
        <w:pStyle w:val="Heading2"/>
      </w:pPr>
      <w:r>
        <w:t>A3. Proposed data-mining tasks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742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Primary</w:t>
            </w:r>
          </w:p>
        </w:tc>
        <w:tc>
          <w:tcPr>
            <w:tcW w:type="dxa" w:w="3742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Secondary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Task type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Regression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Binary classification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Target</w:t>
            </w:r>
          </w:p>
        </w:tc>
        <w:tc>
          <w:tcPr>
            <w:tcW w:type="dxa" w:w="374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Days for shipping (real)</w:t>
            </w:r>
            <w:r>
              <w:rPr>
                <w:sz w:val="19"/>
              </w:rPr>
              <w:t xml:space="preserve"> (0–6)</w:t>
            </w:r>
          </w:p>
        </w:tc>
        <w:tc>
          <w:tcPr>
            <w:tcW w:type="dxa" w:w="374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  <w:r>
              <w:rPr>
                <w:sz w:val="19"/>
              </w:rPr>
              <w:t xml:space="preserve"> (0/1)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Main metric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MAE</w:t>
            </w:r>
          </w:p>
        </w:tc>
        <w:tc>
          <w:tcPr>
            <w:tcW w:type="dxa" w:w="374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ROC-AUC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B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Use</w:t>
            </w:r>
          </w:p>
        </w:tc>
        <w:tc>
          <w:tcPr>
            <w:tcW w:type="dxa" w:w="3742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Estimated days → late if &gt; scheduled days</w:t>
            </w:r>
          </w:p>
        </w:tc>
        <w:tc>
          <w:tcPr>
            <w:tcW w:type="dxa" w:w="3742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Probability of late delivery</w:t>
            </w:r>
          </w:p>
        </w:tc>
      </w:tr>
    </w:tbl>
    <w:p>
      <w:pPr>
        <w:spacing w:after="40"/>
      </w:pPr>
    </w:p>
    <w:p>
      <w:pPr>
        <w:pStyle w:val="Heading2"/>
      </w:pPr>
      <w:r>
        <w:t>A4. Suitability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72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6576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Assessment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Relevance to scenario</w:t>
            </w:r>
          </w:p>
        </w:tc>
        <w:tc>
          <w:tcPr>
            <w:tcW w:type="dxa" w:w="6576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Contains real and scheduled shipping days, shipping mode and destination – directly relevant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Size</w:t>
            </w:r>
          </w:p>
        </w:tc>
        <w:tc>
          <w:tcPr>
            <w:tcW w:type="dxa" w:w="6576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172,765 clean rows, 62,897 orders – sufficient for CV and a hidden test set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Features available at prediction time</w:t>
            </w:r>
          </w:p>
        </w:tc>
        <w:tc>
          <w:tcPr>
            <w:tcW w:type="dxa" w:w="6576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Shipping mode, market, country, category, quantity, segment, order timestamp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Quality</w:t>
            </w:r>
          </w:p>
        </w:tc>
        <w:tc>
          <w:tcPr>
            <w:tcW w:type="dxa" w:w="6576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No missing values after removing 2 empty columns; business rules hold 100 %</w:t>
            </w:r>
          </w:p>
        </w:tc>
      </w:tr>
      <w:tr>
        <w:trPr>
          <w:cantSplit/>
        </w:trPr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Ethics / privacy</w:t>
            </w:r>
          </w:p>
        </w:tc>
        <w:tc>
          <w:tcPr>
            <w:tcW w:type="dxa" w:w="6576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Customer names, street and zip codes present → removed before modelling; email/password already masked</w:t>
            </w:r>
          </w:p>
        </w:tc>
      </w:tr>
      <w:tr>
        <w:trPr>
          <w:cantSplit/>
        </w:trPr>
        <w:tc>
          <w:tcPr>
            <w:tcW w:type="dxa" w:w="2721"/>
            <w:shd w:val="clear" w:color="auto" w:fill="F2F6FB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Licence / citation</w:t>
            </w:r>
          </w:p>
        </w:tc>
        <w:tc>
          <w:tcPr>
            <w:tcW w:type="dxa" w:w="6576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CC BY 4.0, DOI available</w:t>
            </w:r>
          </w:p>
        </w:tc>
      </w:tr>
    </w:tbl>
    <w:p>
      <w:pPr>
        <w:spacing w:after="40"/>
      </w:pPr>
    </w:p>
    <w:p>
      <w:pPr>
        <w:pStyle w:val="Heading1"/>
      </w:pPr>
      <w:r>
        <w:t>Part B – Validation Evidence</w:t>
      </w:r>
    </w:p>
    <w:p>
      <w:pPr>
        <w:jc w:val="both"/>
      </w:pPr>
      <w:r>
        <w:t xml:space="preserve">All checks were performed in </w:t>
      </w:r>
      <w:r>
        <w:rPr>
          <w:rFonts w:ascii="Consolas" w:hAnsi="Consolas"/>
          <w:color w:val="1F3864"/>
          <w:sz w:val="19"/>
        </w:rPr>
        <w:t>01_data_prep_m1.ipynb</w:t>
      </w:r>
      <w:r>
        <w:t xml:space="preserve"> / </w:t>
      </w:r>
      <w:r>
        <w:rPr>
          <w:rFonts w:ascii="Consolas" w:hAnsi="Consolas"/>
          <w:color w:val="1F3864"/>
          <w:sz w:val="19"/>
        </w:rPr>
        <w:t>c01_data_prep_m1.ipynb</w:t>
      </w:r>
      <w:r>
        <w:t xml:space="preserve">; EDA in </w:t>
      </w:r>
      <w:r>
        <w:rPr>
          <w:rFonts w:ascii="Consolas" w:hAnsi="Consolas"/>
          <w:color w:val="1F3864"/>
          <w:sz w:val="19"/>
        </w:rPr>
        <w:t>02_eda_features_m2.ipynb</w:t>
      </w:r>
      <w:r>
        <w:t xml:space="preserve"> / </w:t>
      </w:r>
      <w:r>
        <w:rPr>
          <w:rFonts w:ascii="Consolas" w:hAnsi="Consolas"/>
          <w:color w:val="1F3864"/>
          <w:sz w:val="19"/>
        </w:rPr>
        <w:t>c02_eda_features_m2.ipynb</w:t>
      </w:r>
      <w:r>
        <w:t xml:space="preserve"> (training set only). These notebooks are included in this folder.</w:t>
      </w:r>
    </w:p>
    <w:p>
      <w:pPr>
        <w:pStyle w:val="Heading2"/>
      </w:pPr>
      <w:r>
        <w:t>B1. Data quality checks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1: </w:t>
      </w:r>
      <w:r>
        <w:rPr>
          <w:i/>
          <w:color w:val="595959"/>
          <w:sz w:val="19"/>
        </w:rPr>
        <w:t>Data quality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5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8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Character encoding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UTF-8 corrupts Spanish names (Japón → JapÛn)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Read as Latin-1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Missing values</w:t>
            </w:r>
          </w:p>
        </w:tc>
        <w:tc>
          <w:tcPr>
            <w:tcW w:type="dxa" w:w="45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Product Description 100 %, Order Zipcode 86.2 %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Columns dropped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Masked / constant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Email &amp; Password all ‘XXXXXXXXX’; Product Status constant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Dropped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Duplicate columns</w:t>
            </w:r>
          </w:p>
        </w:tc>
        <w:tc>
          <w:tcPr>
            <w:tcW w:type="dxa" w:w="45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7 exact pairs found by pairwise comparison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One of each dropped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Business rules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Sales = Price × Qty; Sales per customer = Sales − Discount; 0 ≤ Discount Rate ≤ 1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Hold for 100 % of rows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Order structure</w:t>
            </w:r>
          </w:p>
        </w:tc>
        <w:tc>
          <w:tcPr>
            <w:tcW w:type="dxa" w:w="45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All items of an order share real days and shipping mode (0 exceptions)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Split grouped by Order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Outliers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Benefit per order: 10.4 % IQR outliers, 18.7 % negative</w:t>
            </w:r>
          </w:p>
        </w:tc>
        <w:tc>
          <w:tcPr>
            <w:tcW w:type="dxa" w:w="28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Kept – genuine losses, consistent with other columns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Temporal drift</w:t>
            </w:r>
          </w:p>
        </w:tc>
        <w:tc>
          <w:tcPr>
            <w:tcW w:type="dxa" w:w="45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Monthly mean days 3.40–3.63 over 37 months</w:t>
            </w:r>
          </w:p>
        </w:tc>
        <w:tc>
          <w:tcPr>
            <w:tcW w:type="dxa" w:w="28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No drift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Final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172,765 rows × 28 cols, 0 missing, 0 duplicate rows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Clean</w:t>
            </w:r>
          </w:p>
        </w:tc>
      </w:tr>
    </w:tbl>
    <w:p>
      <w:pPr>
        <w:spacing w:after="40"/>
      </w:pPr>
    </w:p>
    <w:p>
      <w:pPr>
        <w:pStyle w:val="Heading2"/>
      </w:pPr>
      <w:r>
        <w:t>B2. Leakage validation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2: </w:t>
      </w:r>
      <w:r>
        <w:rPr>
          <w:i/>
          <w:color w:val="595959"/>
          <w:sz w:val="19"/>
        </w:rPr>
        <w:t>Leakage proof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60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082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</w:p>
        </w:tc>
        <w:tc>
          <w:tcPr>
            <w:tcW w:type="dxa" w:w="408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= (real days &gt; scheduled days) for 97.5 % of rows</w:t>
            </w:r>
          </w:p>
        </w:tc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Removed (regression); target (classification)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Delivery Status</w:t>
            </w:r>
          </w:p>
        </w:tc>
        <w:tc>
          <w:tcPr>
            <w:tcW w:type="dxa" w:w="408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Each value falls in exactly one real-vs-scheduled bucket</w:t>
            </w:r>
          </w:p>
        </w:tc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Removed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shipping date (DateOrders)</w:t>
            </w:r>
          </w:p>
        </w:tc>
        <w:tc>
          <w:tcPr>
            <w:tcW w:type="dxa" w:w="4082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Shipping − order date = real days for 97.4 % of rows</w:t>
            </w:r>
          </w:p>
        </w:tc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Removed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Order Status</w:t>
            </w:r>
          </w:p>
        </w:tc>
        <w:tc>
          <w:tcPr>
            <w:tcW w:type="dxa" w:w="4082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Describes how the order ended (COMPLETE, CLOSED …)</w:t>
            </w:r>
          </w:p>
        </w:tc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Used to filter, then removed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Days for shipment (scheduled)</w:t>
            </w:r>
          </w:p>
        </w:tc>
        <w:tc>
          <w:tcPr>
            <w:tcW w:type="dxa" w:w="4082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One value per shipping mode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Redundant – removed</w:t>
            </w:r>
          </w:p>
        </w:tc>
      </w:tr>
    </w:tbl>
    <w:p>
      <w:pPr>
        <w:spacing w:after="40"/>
      </w:pPr>
    </w:p>
    <w:p>
      <w:pPr>
        <w:pStyle w:val="Heading2"/>
      </w:pPr>
      <w:r>
        <w:t>B3. Row filtering and split</w:t>
      </w:r>
    </w:p>
    <w:p>
      <w:pPr>
        <w:jc w:val="both"/>
      </w:pPr>
      <w:r>
        <w:t xml:space="preserve">CANCELED and SUSPECTED_FRAUD orders were never shipped and were removed per order (7,754 rows, 2,855 orders). The clean data was split with </w:t>
      </w:r>
      <w:r>
        <w:rPr>
          <w:rFonts w:ascii="Consolas" w:hAnsi="Consolas"/>
          <w:color w:val="1F3864"/>
          <w:sz w:val="19"/>
        </w:rPr>
        <w:t>StratifiedGroupKFold(5, shuffle=True, random_state=42)</w:t>
      </w:r>
      <w:r>
        <w:t>, grouped by Order Id and stratified on the target.</w:t>
      </w:r>
    </w:p>
    <w:p>
      <w:pPr>
        <w:keepNext/>
        <w:spacing w:before="120"/>
        <w:jc w:val="center"/>
      </w:pPr>
      <w:r>
        <w:rPr>
          <w:b/>
          <w:color w:val="1F3864"/>
          <w:sz w:val="19"/>
        </w:rPr>
        <w:t xml:space="preserve">Table 3: </w:t>
      </w:r>
      <w:r>
        <w:rPr>
          <w:i/>
          <w:color w:val="595959"/>
          <w:sz w:val="19"/>
        </w:rPr>
        <w:t>Regression split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 w:val="true"/>
        </w:trPr>
        <w:tc>
          <w:tcPr>
            <w:tcW w:type="dxa" w:w="170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Set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Orders</w:t>
            </w:r>
          </w:p>
        </w:tc>
        <w:tc>
          <w:tcPr>
            <w:tcW w:type="dxa" w:w="181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Mean days</w:t>
            </w:r>
          </w:p>
        </w:tc>
        <w:tc>
          <w:tcPr>
            <w:tcW w:type="dxa" w:w="1474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Std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Train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138,098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50,318</w:t>
            </w:r>
          </w:p>
        </w:tc>
        <w:tc>
          <w:tcPr>
            <w:tcW w:type="dxa" w:w="181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3.500</w:t>
            </w:r>
          </w:p>
        </w:tc>
        <w:tc>
          <w:tcPr>
            <w:tcW w:type="dxa" w:w="1474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1.626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Test</w:t>
            </w:r>
          </w:p>
        </w:tc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34,667</w:t>
            </w:r>
          </w:p>
        </w:tc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12,579</w:t>
            </w:r>
          </w:p>
        </w:tc>
        <w:tc>
          <w:tcPr>
            <w:tcW w:type="dxa" w:w="181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3.494</w:t>
            </w:r>
          </w:p>
        </w:tc>
        <w:tc>
          <w:tcPr>
            <w:tcW w:type="dxa" w:w="1474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1.614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Overlap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–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b/>
                <w:sz w:val="19"/>
              </w:rPr>
              <w:t>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–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–</w:t>
            </w:r>
          </w:p>
        </w:tc>
      </w:tr>
    </w:tbl>
    <w:p>
      <w:pPr>
        <w:spacing w:after="40"/>
      </w:pPr>
    </w:p>
    <w:p>
      <w:pPr>
        <w:pStyle w:val="Heading2"/>
      </w:pPr>
      <w:r>
        <w:t>B4. Columns removed</w:t>
      </w:r>
    </w:p>
    <w:p>
      <w:pPr>
        <w:jc w:val="both"/>
      </w:pPr>
      <w:r>
        <w:t xml:space="preserve">25 columns were removed with a recorded reason – see </w:t>
      </w:r>
      <w:r>
        <w:rPr>
          <w:rFonts w:ascii="Consolas" w:hAnsi="Consolas"/>
          <w:color w:val="1F3864"/>
          <w:sz w:val="19"/>
        </w:rPr>
        <w:t>drop_log_m1_reg.csv</w:t>
      </w:r>
      <w:r>
        <w:t xml:space="preserve"> and </w:t>
      </w:r>
      <w:r>
        <w:rPr>
          <w:rFonts w:ascii="Consolas" w:hAnsi="Consolas"/>
          <w:color w:val="1F3864"/>
          <w:sz w:val="19"/>
        </w:rPr>
        <w:t>drop_log_clf.csv</w:t>
      </w:r>
      <w:r>
        <w:t xml:space="preserve"> in this folder: 5 leakage/redundant, 2 masked, 4 PII, 2 mostly missing, 2 constant/URL, 6 exact duplicates, 2 code↔name duplicates, 2 identifiers.</w:t>
      </w:r>
    </w:p>
    <w:p>
      <w:pPr>
        <w:pStyle w:val="Heading2"/>
      </w:pPr>
      <w:r>
        <w:t>B5. Key EDA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0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1: </w:t>
      </w:r>
      <w:r>
        <w:rPr>
          <w:i/>
          <w:color w:val="595959"/>
          <w:sz w:val="19"/>
        </w:rPr>
        <w:t>Distribution of real shipping days (training set)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20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ys_by_shipping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2: </w:t>
      </w:r>
      <w:r>
        <w:rPr>
          <w:i/>
          <w:color w:val="595959"/>
          <w:sz w:val="19"/>
        </w:rPr>
        <w:t>Shipping mode explains 38.9 % of variation (η² = 0.389)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7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ys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3: </w:t>
      </w:r>
      <w:r>
        <w:rPr>
          <w:i/>
          <w:color w:val="595959"/>
          <w:sz w:val="19"/>
        </w:rPr>
        <w:t>Monthly mean shipping days – no drift over 2015–2018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4: </w:t>
      </w:r>
      <w:r>
        <w:rPr>
          <w:i/>
          <w:color w:val="595959"/>
          <w:sz w:val="19"/>
        </w:rPr>
        <w:t>Class balance of Late_delivery_risk (training set)</w:t>
      </w:r>
    </w:p>
    <w:p>
      <w:pPr>
        <w:pStyle w:val="Heading2"/>
      </w:pPr>
      <w:r>
        <w:t>B6. Files in this 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66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01_data_prep_m1.ipynb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c01_data_prep_m1.ipynb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Loading, validation, leakage proof, cleaning, split, baselines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02_eda_features_m2.ipynb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c02_eda_features_m2.ipynb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Exploratory data analysis and date features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drop_log_m1_reg.csv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drop_log_clf.csv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Every dropped column with its reason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split_meta_reg.json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split_meta_clf.json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Split method, seed, excluded rows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figures/eda_regression/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figures/eda_classification/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All EDA charts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3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