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color w:val="2E75B6"/>
          <w:sz w:val="20"/>
        </w:rPr>
        <w:t>IT3051 – Fundamentals of Data Mining · Group Mini-Project 2026</w:t>
      </w:r>
    </w:p>
    <w:p>
      <w:pPr>
        <w:spacing w:after="280"/>
        <w:jc w:val="center"/>
      </w:pPr>
      <w:r>
        <w:rPr>
          <w:color w:val="595959"/>
          <w:sz w:val="20"/>
        </w:rPr>
        <w:t>DataCo Late Delivery Predictor</w:t>
      </w:r>
    </w:p>
    <w:p>
      <w:pPr>
        <w:spacing w:after="80"/>
        <w:jc w:val="center"/>
      </w:pPr>
      <w:r>
        <w:rPr>
          <w:b/>
          <w:color w:val="1F3864"/>
          <w:sz w:val="44"/>
        </w:rPr>
        <w:t>Trained Final Model – Model Card</w:t>
      </w:r>
    </w:p>
    <w:p>
      <w:pPr>
        <w:spacing w:after="200"/>
        <w:jc w:val="center"/>
      </w:pPr>
      <w:r>
        <w:rPr>
          <w:color w:val="595959"/>
          <w:sz w:val="23"/>
        </w:rPr>
        <w:t>Description, performance and usage of the saved final models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AF1FB"/>
            <w:tcBorders>
              <w:top w:val="nil"/>
              <w:left w:val="single" w:sz="36" w:color="2E75B6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Required deliverable</w:t>
            </w:r>
          </w:p>
          <w:p>
            <w:pPr>
              <w:spacing w:after="40"/>
            </w:pPr>
            <w:r>
              <w:rPr>
                <w:sz w:val="20"/>
              </w:rPr>
              <w:t>Trained final model.</w:t>
            </w:r>
          </w:p>
        </w:tc>
      </w:tr>
    </w:tbl>
    <w:p>
      <w:pPr>
        <w:spacing w:after="40"/>
      </w:pPr>
    </w:p>
    <w:p>
      <w:pPr>
        <w:pStyle w:val="Heading1"/>
      </w:pPr>
      <w:r>
        <w:t>1.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60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6690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final_pipeline.pkl</w:t>
            </w:r>
          </w:p>
        </w:tc>
        <w:tc>
          <w:tcPr>
            <w:tcW w:type="dxa" w:w="6690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Final regression model</w:t>
            </w:r>
            <w:r>
              <w:rPr>
                <w:sz w:val="19"/>
              </w:rPr>
              <w:t xml:space="preserve"> – full scikit-learn pipeline (encoding + DecisionTreeRegressor)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model_info.json</w:t>
            </w:r>
          </w:p>
        </w:tc>
        <w:tc>
          <w:tcPr>
            <w:tcW w:type="dxa" w:w="6690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Features, input fields, date-feature recipe, allowed values, CV and test scores, library versions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clf_final_pipeline.pkl</w:t>
            </w:r>
          </w:p>
        </w:tc>
        <w:tc>
          <w:tcPr>
            <w:tcW w:type="dxa" w:w="6690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Final classification model – full pipeline (encoding + DecisionTreeClassifier)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clf_model_info.json</w:t>
            </w:r>
          </w:p>
        </w:tc>
        <w:tc>
          <w:tcPr>
            <w:tcW w:type="dxa" w:w="6690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Same metadata for the classifier, plus decision threshold 0.65</w:t>
            </w:r>
          </w:p>
        </w:tc>
      </w:tr>
    </w:tbl>
    <w:p>
      <w:pPr>
        <w:spacing w:after="40"/>
      </w:pPr>
    </w:p>
    <w:p>
      <w:pPr>
        <w:pStyle w:val="Heading1"/>
      </w:pPr>
      <w:r>
        <w:t>2. Final regression model (primary)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2EFDA"/>
            <w:tcBorders>
              <w:top w:val="nil"/>
              <w:left w:val="single" w:sz="36" w:color="548235"/>
              <w:bottom w:val="nil"/>
              <w:right w:val="nil"/>
            </w:tcBorders>
          </w:tcPr>
          <w:p>
            <w:r>
              <w:rPr>
                <w:b/>
                <w:color w:val="1F3864"/>
                <w:sz w:val="22"/>
              </w:rPr>
              <w:t>Model summary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Algorithm: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F3864"/>
                <w:sz w:val="19"/>
              </w:rPr>
              <w:t>DecisionTreeRegressor(max_depth=3, min_samples_leaf=50, min_samples_split=2, random_state=42)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Target: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1F3864"/>
                <w:sz w:val="19"/>
              </w:rPr>
              <w:t>Days for shipping (real)</w:t>
            </w:r>
            <w:r>
              <w:rPr>
                <w:sz w:val="20"/>
              </w:rPr>
              <w:t xml:space="preserve"> (0–6 days)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Trained on:</w:t>
            </w:r>
            <w:r>
              <w:rPr>
                <w:sz w:val="20"/>
              </w:rPr>
              <w:t xml:space="preserve"> 138,098 order items (50,318 orders)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Test result:</w:t>
            </w:r>
            <w:r>
              <w:rPr>
                <w:sz w:val="20"/>
              </w:rPr>
              <w:t xml:space="preserve"> MAE </w:t>
            </w:r>
            <w:r>
              <w:rPr>
                <w:b/>
                <w:sz w:val="20"/>
              </w:rPr>
              <w:t>0.937 days</w:t>
            </w:r>
            <w:r>
              <w:rPr>
                <w:sz w:val="20"/>
              </w:rPr>
              <w:t xml:space="preserve">, RMSE 1.248, R² </w:t>
            </w:r>
            <w:r>
              <w:rPr>
                <w:b/>
                <w:sz w:val="20"/>
              </w:rPr>
              <w:t>0.402</w:t>
            </w:r>
            <w:r>
              <w:rPr>
                <w:sz w:val="20"/>
              </w:rPr>
              <w:t>, bias +0.005 days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192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60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Cross-validation (5 grouped folds)</w:t>
            </w:r>
          </w:p>
        </w:tc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Hidden test set</w:t>
            </w:r>
          </w:p>
        </w:tc>
        <w:tc>
          <w:tcPr>
            <w:tcW w:type="dxa" w:w="272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Shipping-mode baseline (test)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MAE (days)</w:t>
            </w:r>
          </w:p>
        </w:tc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0.9617 ± 0.0103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0.9366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0.9633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RMSE (days)</w:t>
            </w:r>
          </w:p>
        </w:tc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1.2666</w:t>
            </w:r>
          </w:p>
        </w:tc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1.2482</w:t>
            </w:r>
          </w:p>
        </w:tc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1.2531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R²</w:t>
            </w:r>
          </w:p>
        </w:tc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0.3930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sz w:val="19"/>
              </w:rPr>
              <w:t>0.4017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0.3970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Median AE</w:t>
            </w:r>
          </w:p>
        </w:tc>
        <w:tc>
          <w:tcPr>
            <w:tcW w:type="dxa" w:w="260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0.9897</w:t>
            </w:r>
          </w:p>
        </w:tc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0.9998</w:t>
            </w:r>
          </w:p>
        </w:tc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0.9972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Within ±1 day</w:t>
            </w:r>
          </w:p>
        </w:tc>
        <w:tc>
          <w:tcPr>
            <w:tcW w:type="dxa" w:w="260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52.2 %</w:t>
            </w:r>
          </w:p>
        </w:tc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53.6 %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53.6 %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B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Bias</w:t>
            </w:r>
          </w:p>
        </w:tc>
        <w:tc>
          <w:tcPr>
            <w:tcW w:type="dxa" w:w="2608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−0.0000</w:t>
            </w:r>
          </w:p>
        </w:tc>
        <w:tc>
          <w:tcPr>
            <w:tcW w:type="dxa" w:w="204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+0.0047</w:t>
            </w:r>
          </w:p>
        </w:tc>
        <w:tc>
          <w:tcPr>
            <w:tcW w:type="dxa" w:w="2721"/>
            <w:shd w:val="clear" w:color="auto" w:fill="F2F6FB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+0.0066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1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3864"/>
          <w:sz w:val="19"/>
        </w:rPr>
        <w:t xml:space="preserve">Figure 1: </w:t>
      </w:r>
      <w:r>
        <w:rPr>
          <w:i/>
          <w:color w:val="595959"/>
          <w:sz w:val="19"/>
        </w:rPr>
        <w:t>Complete structure of the final regression model</w:t>
      </w:r>
    </w:p>
    <w:p>
      <w:pPr>
        <w:pStyle w:val="Heading1"/>
      </w:pPr>
      <w:r>
        <w:t>3. Final classification model (secondary)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204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257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Algorithm</w:t>
            </w:r>
          </w:p>
        </w:tc>
        <w:tc>
          <w:tcPr>
            <w:tcW w:type="dxa" w:w="7257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DecisionTreeClassifier(max_depth=5, min_samples_leaf=20, min_samples_split=10, class_weight='balanced')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Target</w:t>
            </w:r>
          </w:p>
        </w:tc>
        <w:tc>
          <w:tcPr>
            <w:tcW w:type="dxa" w:w="725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Consolas" w:hAnsi="Consolas"/>
                <w:color w:val="1F3864"/>
                <w:sz w:val="19"/>
              </w:rPr>
              <w:t>Late_delivery_risk</w:t>
            </w:r>
            <w:r>
              <w:rPr>
                <w:sz w:val="19"/>
              </w:rPr>
              <w:t xml:space="preserve"> (1 = late)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Decision threshold</w:t>
            </w:r>
          </w:p>
        </w:tc>
        <w:tc>
          <w:tcPr>
            <w:tcW w:type="dxa" w:w="7257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0.65 (max Youden's J on out-of-fold training predictions)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6FB"/>
          </w:tcPr>
          <w:p>
            <w:pPr>
              <w:keepNext/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CV ROC-AUC</w:t>
            </w:r>
          </w:p>
        </w:tc>
        <w:tc>
          <w:tcPr>
            <w:tcW w:type="dxa" w:w="7257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9"/>
              </w:rPr>
              <w:t>0.7761 ± 0.0033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 w:before="20" w:line="240" w:lineRule="auto"/>
            </w:pPr>
            <w:r>
              <w:rPr>
                <w:b/>
              </w:rPr>
            </w:r>
            <w:r>
              <w:rPr>
                <w:b/>
                <w:sz w:val="19"/>
              </w:rPr>
              <w:t>Test</w:t>
            </w:r>
          </w:p>
        </w:tc>
        <w:tc>
          <w:tcPr>
            <w:tcW w:type="dxa" w:w="7257"/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ROC-AUC 0.773 · accuracy 0.724 · precision 0.894 · recall 0.592 · F1 0.712</w:t>
            </w:r>
          </w:p>
        </w:tc>
      </w:tr>
    </w:tbl>
    <w:p>
      <w:pPr>
        <w:spacing w:after="40"/>
      </w:pPr>
    </w:p>
    <w:p>
      <w:pPr>
        <w:pStyle w:val="Heading1"/>
      </w:pPr>
      <w:r>
        <w:t>4.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2268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Input field</w:t>
            </w:r>
          </w:p>
        </w:tc>
        <w:tc>
          <w:tcPr>
            <w:tcW w:type="dxa" w:w="4309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Type / allowed values</w:t>
            </w:r>
          </w:p>
        </w:tc>
        <w:tc>
          <w:tcPr>
            <w:tcW w:type="dxa" w:w="2721"/>
            <w:shd w:val="clear" w:color="auto" w:fill="1F3864"/>
          </w:tcPr>
          <w:p>
            <w:pPr>
              <w:keepNext/>
              <w:spacing w:after="20" w:before="20" w:line="240" w:lineRule="auto"/>
            </w:pPr>
            <w:r/>
            <w:r>
              <w:rPr>
                <w:b/>
                <w:color w:val="FFFFFF"/>
                <w:sz w:val="18"/>
              </w:rPr>
              <w:t>Model feature(s)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Shipping Mode</w:t>
            </w:r>
          </w:p>
        </w:tc>
        <w:tc>
          <w:tcPr>
            <w:tcW w:type="dxa" w:w="430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Same Day, First Class, Second Class, Standard Class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One-hot (4)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Market</w:t>
            </w:r>
          </w:p>
        </w:tc>
        <w:tc>
          <w:tcPr>
            <w:tcW w:type="dxa" w:w="430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Africa, Europe, LATAM, Pacific Asia, USCA</w:t>
            </w:r>
          </w:p>
        </w:tc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One-hot (5)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Order Country</w:t>
            </w:r>
          </w:p>
        </w:tc>
        <w:tc>
          <w:tcPr>
            <w:tcW w:type="dxa" w:w="430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161 countries (Spanish names, e.g. ‘Estados Unidos’)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Target-encoded (1)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Category Name</w:t>
            </w:r>
          </w:p>
        </w:tc>
        <w:tc>
          <w:tcPr>
            <w:tcW w:type="dxa" w:w="430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50 product categories</w:t>
            </w:r>
          </w:p>
        </w:tc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Target-encoded (1)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Order Item Quantity</w:t>
            </w:r>
          </w:p>
        </w:tc>
        <w:tc>
          <w:tcPr>
            <w:tcW w:type="dxa" w:w="4309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Integer 1–5</w:t>
            </w:r>
          </w:p>
        </w:tc>
        <w:tc>
          <w:tcPr>
            <w:tcW w:type="dxa" w:w="2721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Numeric (1)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Customer Segment</w:t>
            </w:r>
          </w:p>
        </w:tc>
        <w:tc>
          <w:tcPr>
            <w:tcW w:type="dxa" w:w="4309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Consumer, Corporate, Home Office</w:t>
            </w:r>
          </w:p>
        </w:tc>
        <w:tc>
          <w:tcPr>
            <w:tcW w:type="dxa" w:w="2721"/>
            <w:shd w:val="clear" w:color="auto" w:fill="F2F6FB"/>
          </w:tcPr>
          <w:p>
            <w:pPr>
              <w:keepNext/>
              <w:spacing w:after="20" w:before="20" w:line="240" w:lineRule="auto"/>
            </w:pPr>
            <w:r/>
            <w:r>
              <w:rPr>
                <w:sz w:val="18"/>
              </w:rPr>
              <w:t>One-hot (3)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order date (DateOrders)</w:t>
            </w:r>
          </w:p>
        </w:tc>
        <w:tc>
          <w:tcPr>
            <w:tcW w:type="dxa" w:w="4309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Timestamp</w:t>
            </w:r>
          </w:p>
        </w:tc>
        <w:tc>
          <w:tcPr>
            <w:tcW w:type="dxa" w:w="2721"/>
          </w:tcPr>
          <w:p>
            <w:pPr>
              <w:spacing w:after="20" w:before="20" w:line="240" w:lineRule="auto"/>
            </w:pPr>
            <w:r/>
            <w:r>
              <w:rPr>
                <w:sz w:val="18"/>
              </w:rPr>
              <w:t>weekday, month, hour, quarter, is_weekend (5)</w:t>
            </w:r>
          </w:p>
        </w:tc>
      </w:tr>
    </w:tbl>
    <w:p>
      <w:pPr>
        <w:spacing w:after="40"/>
      </w:pPr>
    </w:p>
    <w:p>
      <w:pPr>
        <w:pStyle w:val="Heading1"/>
      </w:pPr>
      <w:r>
        <w:t>5. How to load and use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import joblib, pandas as pd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model = joblib.load("final_pipeline.pkl")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X = pd.DataFrame([{"Shipping Mode": "Standard Class", "Market": "LATAM", "Order Country": "México", "Category Name": "Cleats", "Order Item Quantity": 2, "Customer Segment": "Consumer", "order_weekday": 0, "order_month": 10, "order_hour": 9, "order_quarter": 4, "is_weekend": 0}])</w:t>
      </w:r>
    </w:p>
    <w:p>
      <w:pPr>
        <w:spacing w:after="20"/>
        <w:ind w:left="340"/>
      </w:pPr>
      <w:r>
        <w:rPr>
          <w:rFonts w:ascii="Consolas" w:hAnsi="Consolas"/>
          <w:color w:val="1F3864"/>
          <w:sz w:val="19"/>
        </w:rPr>
        <w:t>days = model.predict(X)[0]   # → 4.0</w:t>
      </w:r>
    </w:p>
    <w:p>
      <w:r>
        <w:rPr>
          <w:color w:val="595959"/>
          <w:sz w:val="20"/>
        </w:rPr>
        <w:t>Requires scikit-learn 1.7.2 and pandas 2.3.3 (versions used for training).</w:t>
      </w:r>
    </w:p>
    <w:p>
      <w:pPr>
        <w:pStyle w:val="Heading1"/>
      </w:pPr>
      <w:r>
        <w:t>6. Intended use and limitations</w:t>
      </w:r>
    </w:p>
    <w:p>
      <w:pPr>
        <w:pStyle w:val="ListBullet"/>
        <w:spacing w:after="60"/>
      </w:pPr>
      <w:r>
        <w:t>Intended for estimating shipping time and late risk at checkout for DataCo-style orders.</w:t>
      </w:r>
    </w:p>
    <w:p>
      <w:pPr>
        <w:pStyle w:val="ListBullet"/>
        <w:spacing w:after="60"/>
      </w:pPr>
      <w:r>
        <w:t>Same Day and First Class are predicted exactly; Second/Standard Class have ≈ 1.2-day error because the data holds no order-time signal for their 2–6-day spread.</w:t>
      </w:r>
    </w:p>
    <w:p>
      <w:pPr>
        <w:pStyle w:val="ListBullet"/>
        <w:spacing w:after="60"/>
      </w:pPr>
      <w:r>
        <w:t>Trained on 2015–2018 data; should be monitored and retrained before real-world use.</w:t>
      </w:r>
    </w:p>
    <w:p>
      <w:pPr>
        <w:pStyle w:val="ListBullet"/>
        <w:spacing w:after="60"/>
      </w:pPr>
      <w:r>
        <w:t>Quantities above 5 and unseen countries are outside the training range (unseen countries fall back to the overall average).</w:t>
      </w:r>
    </w:p>
    <w:sectPr w:rsidR="00FC693F" w:rsidRPr="0006063C" w:rsidSect="00034616">
      <w:footerReference w:type="default" r:id="rId10"/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DataCo Late Delivery Predictor   ·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