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 TASK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 : SALES ANALYSIS AND INSIGHTS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Computers &amp; Accessories is the top-performing category</w:t>
      </w:r>
      <w:r w:rsidDel="00000000" w:rsidR="00000000" w:rsidRPr="00000000">
        <w:rPr>
          <w:sz w:val="24"/>
          <w:szCs w:val="24"/>
          <w:rtl w:val="0"/>
        </w:rPr>
        <w:t xml:space="preserve">, with the highest total sales of ₹113,876.63, making it the strongest revenue contributor in the dataset.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Electronics (₹74,370.00) and Home &amp; Kitchen (₹69,737.00) are the next best-performing categories</w:t>
      </w:r>
      <w:r w:rsidDel="00000000" w:rsidR="00000000" w:rsidRPr="00000000">
        <w:rPr>
          <w:sz w:val="24"/>
          <w:szCs w:val="24"/>
          <w:rtl w:val="0"/>
        </w:rPr>
        <w:t xml:space="preserve">, showing competitive performance but still trailing behind Computers &amp; Accessories.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Medium-priced products consistently outperform low-priced products across all major categories</w:t>
      </w:r>
      <w:r w:rsidDel="00000000" w:rsidR="00000000" w:rsidRPr="00000000">
        <w:rPr>
          <w:sz w:val="24"/>
          <w:szCs w:val="24"/>
          <w:rtl w:val="0"/>
        </w:rPr>
        <w:t xml:space="preserve">, with the Medium price band contributing ₹195,654.44 compared to ₹71,084.19 from the Low band.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 such as Home Improvement, Musical Instruments, and Toys &amp; Games show extremely low sales contribution</w:t>
      </w:r>
      <w:r w:rsidDel="00000000" w:rsidR="00000000" w:rsidRPr="00000000">
        <w:rPr>
          <w:sz w:val="24"/>
          <w:szCs w:val="24"/>
          <w:rtl w:val="0"/>
        </w:rPr>
        <w:t xml:space="preserve">, indicating clear underperformance and limited customer traction.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are heavily concentrated in three categories (Computers &amp; Accessories, Electronics, and Home &amp; Kitchen)</w:t>
      </w:r>
      <w:r w:rsidDel="00000000" w:rsidR="00000000" w:rsidRPr="00000000">
        <w:rPr>
          <w:sz w:val="24"/>
          <w:szCs w:val="24"/>
          <w:rtl w:val="0"/>
        </w:rPr>
        <w:t xml:space="preserve">, suggesting that most revenue is driven by a small portion of the product categories.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