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0"/>
          <w:szCs w:val="40"/>
        </w:rPr>
        <w:t xml:space="preserve">AUTOMATED SBOM ANALYSIS REPORT</w:t>
      </w:r>
    </w:p>
    <w:p>
      <w:pPr>
        <w:spacing w:after="240"/>
      </w:pPr>
      <w:r>
        <w:rPr>
          <w:color w:val="6B7280"/>
          <w:sz w:val="24"/>
          <w:szCs w:val="24"/>
        </w:rPr>
        <w:t xml:space="preserve">Machine-Generated Software Composition Report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1F3A5F" w:color="auto" w:val="clear"/>
            <w:tcMar>
              <w:top w:type="dxa" w:w="80"/>
              <w:left w:type="dxa" w:w="100"/>
              <w:bottom w:type="dxa" w:w="80"/>
              <w:right w:type="dxa" w:w="100"/>
            </w:tcMar>
          </w:tcPr>
          <w:p>
            <w:pPr>
              <w:jc w:val="left"/>
            </w:pPr>
            <w:r>
              <w:rPr>
                <w:b/>
                <w:bCs/>
                <w:color w:val="FFFFFF"/>
                <w:sz w:val="20"/>
                <w:szCs w:val="20"/>
              </w:rPr>
              <w:t xml:space="preserve">Field</w:t>
            </w:r>
          </w:p>
        </w:tc>
        <w:tc>
          <w:tcPr>
            <w:tcW w:type="dxa" w:w="6300"/>
            <w:shd w:fill="1F3A5F"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2800"/>
            <w:tcMar>
              <w:top w:type="dxa" w:w="60"/>
              <w:left w:type="dxa" w:w="100"/>
              <w:bottom w:type="dxa" w:w="60"/>
              <w:right w:type="dxa" w:w="100"/>
            </w:tcMar>
          </w:tcPr>
          <w:p>
            <w:pPr>
              <w:jc w:val="left"/>
            </w:pPr>
            <w:r>
              <w:rPr>
                <w:b w:val="false"/>
                <w:bCs w:val="false"/>
                <w:sz w:val="20"/>
                <w:szCs w:val="20"/>
              </w:rPr>
              <w:t xml:space="preserve">Application / Component</w:t>
            </w:r>
          </w:p>
        </w:tc>
        <w:tc>
          <w:tcPr>
            <w:tcW w:type="dxa" w:w="6300"/>
            <w:tcMar>
              <w:top w:type="dxa" w:w="60"/>
              <w:left w:type="dxa" w:w="100"/>
              <w:bottom w:type="dxa" w:w="60"/>
              <w:right w:type="dxa" w:w="100"/>
            </w:tcMar>
          </w:tcPr>
          <w:p>
            <w:pPr>
              <w:jc w:val="left"/>
            </w:pPr>
            <w:r>
              <w:rPr>
                <w:b w:val="false"/>
                <w:bCs w:val="false"/>
                <w:sz w:val="20"/>
                <w:szCs w:val="20"/>
              </w:rPr>
              <w:t xml:space="preserve">ops-master</w:t>
            </w:r>
          </w:p>
        </w:tc>
      </w:tr>
      <w:tr>
        <w:tc>
          <w:tcPr>
            <w:tcW w:type="dxa" w:w="2800"/>
            <w:tcMar>
              <w:top w:type="dxa" w:w="60"/>
              <w:left w:type="dxa" w:w="100"/>
              <w:bottom w:type="dxa" w:w="60"/>
              <w:right w:type="dxa" w:w="100"/>
            </w:tcMar>
          </w:tcPr>
          <w:p>
            <w:pPr>
              <w:jc w:val="left"/>
            </w:pPr>
            <w:r>
              <w:rPr>
                <w:b w:val="false"/>
                <w:bCs w:val="false"/>
                <w:sz w:val="20"/>
                <w:szCs w:val="20"/>
              </w:rPr>
              <w:t xml:space="preserve">Report generated</w:t>
            </w:r>
          </w:p>
        </w:tc>
        <w:tc>
          <w:tcPr>
            <w:tcW w:type="dxa" w:w="6300"/>
            <w:tcMar>
              <w:top w:type="dxa" w:w="60"/>
              <w:left w:type="dxa" w:w="100"/>
              <w:bottom w:type="dxa" w:w="60"/>
              <w:right w:type="dxa" w:w="100"/>
            </w:tcMar>
          </w:tcPr>
          <w:p>
            <w:pPr>
              <w:jc w:val="left"/>
            </w:pPr>
            <w:r>
              <w:rPr>
                <w:b w:val="false"/>
                <w:bCs w:val="false"/>
                <w:sz w:val="20"/>
                <w:szCs w:val="20"/>
              </w:rPr>
              <w:t xml:space="preserve">13 July 2026</w:t>
            </w:r>
          </w:p>
        </w:tc>
      </w:tr>
      <w:tr>
        <w:tc>
          <w:tcPr>
            <w:tcW w:type="dxa" w:w="2800"/>
            <w:tcMar>
              <w:top w:type="dxa" w:w="60"/>
              <w:left w:type="dxa" w:w="100"/>
              <w:bottom w:type="dxa" w:w="60"/>
              <w:right w:type="dxa" w:w="100"/>
            </w:tcMar>
          </w:tcPr>
          <w:p>
            <w:pPr>
              <w:jc w:val="left"/>
            </w:pPr>
            <w:r>
              <w:rPr>
                <w:b w:val="false"/>
                <w:bCs w:val="false"/>
                <w:sz w:val="20"/>
                <w:szCs w:val="20"/>
              </w:rPr>
              <w:t xml:space="preserve">Source file</w:t>
            </w:r>
          </w:p>
        </w:tc>
        <w:tc>
          <w:tcPr>
            <w:tcW w:type="dxa" w:w="6300"/>
            <w:tcMar>
              <w:top w:type="dxa" w:w="60"/>
              <w:left w:type="dxa" w:w="100"/>
              <w:bottom w:type="dxa" w:w="60"/>
              <w:right w:type="dxa" w:w="100"/>
            </w:tcMar>
          </w:tcPr>
          <w:p>
            <w:pPr>
              <w:jc w:val="left"/>
            </w:pPr>
            <w:r>
              <w:rPr>
                <w:b w:val="false"/>
                <w:bCs w:val="false"/>
                <w:sz w:val="20"/>
                <w:szCs w:val="20"/>
              </w:rPr>
              <w:t xml:space="preserve">ops-master-cyclonedx-identified.json</w:t>
            </w:r>
          </w:p>
        </w:tc>
      </w:tr>
      <w:tr>
        <w:tc>
          <w:tcPr>
            <w:tcW w:type="dxa" w:w="2800"/>
            <w:tcMar>
              <w:top w:type="dxa" w:w="60"/>
              <w:left w:type="dxa" w:w="100"/>
              <w:bottom w:type="dxa" w:w="60"/>
              <w:right w:type="dxa" w:w="100"/>
            </w:tcMar>
          </w:tcPr>
          <w:p>
            <w:pPr>
              <w:jc w:val="left"/>
            </w:pPr>
            <w:r>
              <w:rPr>
                <w:b w:val="false"/>
                <w:bCs w:val="false"/>
                <w:sz w:val="20"/>
                <w:szCs w:val="20"/>
              </w:rPr>
              <w:t xml:space="preserve">BOM format</w:t>
            </w:r>
          </w:p>
        </w:tc>
        <w:tc>
          <w:tcPr>
            <w:tcW w:type="dxa" w:w="6300"/>
            <w:tcMar>
              <w:top w:type="dxa" w:w="60"/>
              <w:left w:type="dxa" w:w="100"/>
              <w:bottom w:type="dxa" w:w="60"/>
              <w:right w:type="dxa" w:w="100"/>
            </w:tcMar>
          </w:tcPr>
          <w:p>
            <w:pPr>
              <w:jc w:val="left"/>
            </w:pPr>
            <w:r>
              <w:rPr>
                <w:b w:val="false"/>
                <w:bCs w:val="false"/>
                <w:sz w:val="20"/>
                <w:szCs w:val="20"/>
              </w:rPr>
              <w:t xml:space="preserve">CycloneDX 1.6</w:t>
            </w:r>
          </w:p>
        </w:tc>
      </w:tr>
      <w:tr>
        <w:tc>
          <w:tcPr>
            <w:tcW w:type="dxa" w:w="2800"/>
            <w:tcMar>
              <w:top w:type="dxa" w:w="60"/>
              <w:left w:type="dxa" w:w="100"/>
              <w:bottom w:type="dxa" w:w="60"/>
              <w:right w:type="dxa" w:w="100"/>
            </w:tcMar>
          </w:tcPr>
          <w:p>
            <w:pPr>
              <w:jc w:val="left"/>
            </w:pPr>
            <w:r>
              <w:rPr>
                <w:b w:val="false"/>
                <w:bCs w:val="false"/>
                <w:sz w:val="20"/>
                <w:szCs w:val="20"/>
              </w:rPr>
              <w:t xml:space="preserve">Scan tool</w:t>
            </w:r>
          </w:p>
        </w:tc>
        <w:tc>
          <w:tcPr>
            <w:tcW w:type="dxa" w:w="6300"/>
            <w:tcMar>
              <w:top w:type="dxa" w:w="60"/>
              <w:left w:type="dxa" w:w="100"/>
              <w:bottom w:type="dxa" w:w="60"/>
              <w:right w:type="dxa" w:w="100"/>
            </w:tcMar>
          </w:tcPr>
          <w:p>
            <w:pPr>
              <w:jc w:val="left"/>
            </w:pPr>
            <w:r>
              <w:rPr>
                <w:b w:val="false"/>
                <w:bCs w:val="false"/>
                <w:sz w:val="20"/>
                <w:szCs w:val="20"/>
              </w:rPr>
              <w:t xml:space="preserve">SCANOSS (info@scanoss.com)</w:t>
            </w:r>
          </w:p>
        </w:tc>
      </w:tr>
      <w:tr>
        <w:tc>
          <w:tcPr>
            <w:tcW w:type="dxa" w:w="2800"/>
            <w:tcMar>
              <w:top w:type="dxa" w:w="60"/>
              <w:left w:type="dxa" w:w="100"/>
              <w:bottom w:type="dxa" w:w="60"/>
              <w:right w:type="dxa" w:w="100"/>
            </w:tcMar>
          </w:tcPr>
          <w:p>
            <w:pPr>
              <w:jc w:val="left"/>
            </w:pPr>
            <w:r>
              <w:rPr>
                <w:b w:val="false"/>
                <w:bCs w:val="false"/>
                <w:sz w:val="20"/>
                <w:szCs w:val="20"/>
              </w:rPr>
              <w:t xml:space="preserve">Scan timestamp (UTC)</w:t>
            </w:r>
          </w:p>
        </w:tc>
        <w:tc>
          <w:tcPr>
            <w:tcW w:type="dxa" w:w="6300"/>
            <w:tcMar>
              <w:top w:type="dxa" w:w="60"/>
              <w:left w:type="dxa" w:w="100"/>
              <w:bottom w:type="dxa" w:w="60"/>
              <w:right w:type="dxa" w:w="100"/>
            </w:tcMar>
          </w:tcPr>
          <w:p>
            <w:pPr>
              <w:jc w:val="left"/>
            </w:pPr>
            <w:r>
              <w:rPr>
                <w:b w:val="false"/>
                <w:bCs w:val="false"/>
                <w:sz w:val="20"/>
                <w:szCs w:val="20"/>
              </w:rPr>
              <w:t xml:space="preserve">2026-07-13T04:54:23.175Z</w:t>
            </w:r>
          </w:p>
        </w:tc>
      </w:tr>
      <w:tr>
        <w:tc>
          <w:tcPr>
            <w:tcW w:type="dxa" w:w="2800"/>
            <w:tcMar>
              <w:top w:type="dxa" w:w="60"/>
              <w:left w:type="dxa" w:w="100"/>
              <w:bottom w:type="dxa" w:w="60"/>
              <w:right w:type="dxa" w:w="100"/>
            </w:tcMar>
          </w:tcPr>
          <w:p>
            <w:pPr>
              <w:jc w:val="left"/>
            </w:pPr>
            <w:r>
              <w:rPr>
                <w:b w:val="false"/>
                <w:bCs w:val="false"/>
                <w:sz w:val="20"/>
                <w:szCs w:val="20"/>
              </w:rPr>
              <w:t xml:space="preserve">Total component entries</w:t>
            </w:r>
          </w:p>
        </w:tc>
        <w:tc>
          <w:tcPr>
            <w:tcW w:type="dxa" w:w="6300"/>
            <w:tcMar>
              <w:top w:type="dxa" w:w="60"/>
              <w:left w:type="dxa" w:w="100"/>
              <w:bottom w:type="dxa" w:w="60"/>
              <w:right w:type="dxa" w:w="100"/>
            </w:tcMar>
          </w:tcPr>
          <w:p>
            <w:pPr>
              <w:jc w:val="left"/>
            </w:pPr>
            <w:r>
              <w:rPr>
                <w:b w:val="false"/>
                <w:bCs w:val="false"/>
                <w:sz w:val="20"/>
                <w:szCs w:val="20"/>
              </w:rPr>
              <w:t xml:space="preserve">932</w:t>
            </w:r>
          </w:p>
        </w:tc>
      </w:tr>
      <w:tr>
        <w:tc>
          <w:tcPr>
            <w:tcW w:type="dxa" w:w="2800"/>
            <w:tcMar>
              <w:top w:type="dxa" w:w="60"/>
              <w:left w:type="dxa" w:w="100"/>
              <w:bottom w:type="dxa" w:w="60"/>
              <w:right w:type="dxa" w:w="100"/>
            </w:tcMar>
          </w:tcPr>
          <w:p>
            <w:pPr>
              <w:jc w:val="left"/>
            </w:pPr>
            <w:r>
              <w:rPr>
                <w:b w:val="false"/>
                <w:bCs w:val="false"/>
                <w:sz w:val="20"/>
                <w:szCs w:val="20"/>
              </w:rPr>
              <w:t xml:space="preserve">Unique package names</w:t>
            </w:r>
          </w:p>
        </w:tc>
        <w:tc>
          <w:tcPr>
            <w:tcW w:type="dxa" w:w="6300"/>
            <w:tcMar>
              <w:top w:type="dxa" w:w="60"/>
              <w:left w:type="dxa" w:w="100"/>
              <w:bottom w:type="dxa" w:w="60"/>
              <w:right w:type="dxa" w:w="100"/>
            </w:tcMar>
          </w:tcPr>
          <w:p>
            <w:pPr>
              <w:jc w:val="left"/>
            </w:pPr>
            <w:r>
              <w:rPr>
                <w:b w:val="false"/>
                <w:bCs w:val="false"/>
                <w:sz w:val="20"/>
                <w:szCs w:val="20"/>
              </w:rPr>
              <w:t xml:space="preserve">363</w:t>
            </w:r>
          </w:p>
        </w:tc>
      </w:tr>
    </w:tbl>
    <w:p>
      <w:pPr>
        <w:pBdr>
          <w:bottom w:val="single" w:color="CCCCCC" w:sz="6" w:space="1"/>
        </w:pBdr>
        <w:spacing w:after="200"/>
      </w:pPr>
    </w:p>
    <w:p>
      <w:pPr>
        <w:pStyle w:val="Heading1"/>
        <w:spacing w:after="160" w:before="320"/>
      </w:pPr>
      <w:r>
        <w:t xml:space="preserve">1. Executive Summary</w:t>
      </w:r>
    </w:p>
    <w:p>
      <w:pPr>
        <w:spacing w:after="160"/>
      </w:pPr>
      <w:r>
        <w:t xml:space="preserve">This report was generated automatically from the CycloneDX Software Bill of Materials (SBOM) produced for the "ops-master" application by the SCANOSS scanner. The SBOM lists 932 component entries covering 363 distinct packages. The dependency tree is dominated by the Go module ecosystem (921 of 932 entries, 98.8%), with a small number of npm, Maven and GitHub-sourced components.</w:t>
      </w:r>
    </w:p>
    <w:p>
      <w:pPr>
        <w:spacing w:after="160"/>
      </w:pPr>
      <w:r>
        <w:t xml:space="preserve">Licensing is heavily permissive: BSD-3-Clause, Apache-2.0 and MIT together account for 97.9% of licensed entries, and no strong-copyleft (GPL/AGPL) licenses were detected. The most notable finding is version sprawl: 96 of 363 package names (26.4%) appear at multiple versions simultaneously in the tree, including golang.org/x/sys at 64 distinct versions — a strong signal of an unresolved or unflattened Go module graph.</w:t>
      </w:r>
    </w:p>
    <w:p>
      <w:pPr>
        <w:spacing w:after="160"/>
      </w:pPr>
      <w:r>
        <w:t xml:space="preserve">This SBOM does not include a vulnerabilities array, so no CVE / advisory matching has been performed here — see Section 7.</w:t>
      </w:r>
    </w:p>
    <w:p>
      <w:pPr>
        <w:pStyle w:val="Heading1"/>
        <w:spacing w:after="160" w:before="320"/>
      </w:pPr>
      <w:r>
        <w:t xml:space="preserve">2. Component Inventory by Ecosystem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700"/>
      </w:tblGrid>
      <w:tr>
        <w:trPr>
          <w:tblHeader/>
        </w:trPr>
        <w:tc>
          <w:tcPr>
            <w:tcW w:type="dxa" w:w="3200"/>
            <w:shd w:fill="1F3A5F" w:color="auto" w:val="clear"/>
            <w:tcMar>
              <w:top w:type="dxa" w:w="80"/>
              <w:left w:type="dxa" w:w="100"/>
              <w:bottom w:type="dxa" w:w="80"/>
              <w:right w:type="dxa" w:w="100"/>
            </w:tcMar>
          </w:tcPr>
          <w:p>
            <w:pPr>
              <w:jc w:val="left"/>
            </w:pPr>
            <w:r>
              <w:rPr>
                <w:b/>
                <w:bCs/>
                <w:color w:val="FFFFFF"/>
                <w:sz w:val="20"/>
                <w:szCs w:val="20"/>
              </w:rPr>
              <w:t xml:space="preserve">Ecosystem</w:t>
            </w:r>
          </w:p>
        </w:tc>
        <w:tc>
          <w:tcPr>
            <w:tcW w:type="dxa" w:w="3200"/>
            <w:shd w:fill="1F3A5F" w:color="auto" w:val="clear"/>
            <w:tcMar>
              <w:top w:type="dxa" w:w="80"/>
              <w:left w:type="dxa" w:w="100"/>
              <w:bottom w:type="dxa" w:w="80"/>
              <w:right w:type="dxa" w:w="100"/>
            </w:tcMar>
          </w:tcPr>
          <w:p>
            <w:pPr>
              <w:jc w:val="left"/>
            </w:pPr>
            <w:r>
              <w:rPr>
                <w:b/>
                <w:bCs/>
                <w:color w:val="FFFFFF"/>
                <w:sz w:val="20"/>
                <w:szCs w:val="20"/>
              </w:rPr>
              <w:t xml:space="preserve">Component Entries</w:t>
            </w:r>
          </w:p>
        </w:tc>
        <w:tc>
          <w:tcPr>
            <w:tcW w:type="dxa" w:w="2700"/>
            <w:shd w:fill="1F3A5F" w:color="auto" w:val="clear"/>
            <w:tcMar>
              <w:top w:type="dxa" w:w="80"/>
              <w:left w:type="dxa" w:w="100"/>
              <w:bottom w:type="dxa" w:w="80"/>
              <w:right w:type="dxa" w:w="100"/>
            </w:tcMar>
          </w:tcPr>
          <w:p>
            <w:pPr>
              <w:jc w:val="left"/>
            </w:pPr>
            <w:r>
              <w:rPr>
                <w:b/>
                <w:bCs/>
                <w:color w:val="FFFFFF"/>
                <w:sz w:val="20"/>
                <w:szCs w:val="20"/>
              </w:rPr>
              <w:t xml:space="preserve">% of Total</w:t>
            </w:r>
          </w:p>
        </w:tc>
      </w:tr>
      <w:tr>
        <w:tc>
          <w:tcPr>
            <w:tcW w:type="dxa" w:w="3200"/>
            <w:tcMar>
              <w:top w:type="dxa" w:w="60"/>
              <w:left w:type="dxa" w:w="100"/>
              <w:bottom w:type="dxa" w:w="60"/>
              <w:right w:type="dxa" w:w="100"/>
            </w:tcMar>
          </w:tcPr>
          <w:p>
            <w:pPr>
              <w:jc w:val="left"/>
            </w:pPr>
            <w:r>
              <w:rPr>
                <w:b w:val="false"/>
                <w:bCs w:val="false"/>
                <w:sz w:val="20"/>
                <w:szCs w:val="20"/>
              </w:rPr>
              <w:t xml:space="preserve">golang</w:t>
            </w:r>
          </w:p>
        </w:tc>
        <w:tc>
          <w:tcPr>
            <w:tcW w:type="dxa" w:w="3200"/>
            <w:tcMar>
              <w:top w:type="dxa" w:w="60"/>
              <w:left w:type="dxa" w:w="100"/>
              <w:bottom w:type="dxa" w:w="60"/>
              <w:right w:type="dxa" w:w="100"/>
            </w:tcMar>
          </w:tcPr>
          <w:p>
            <w:pPr>
              <w:jc w:val="left"/>
            </w:pPr>
            <w:r>
              <w:rPr>
                <w:b w:val="false"/>
                <w:bCs w:val="false"/>
                <w:sz w:val="20"/>
                <w:szCs w:val="20"/>
              </w:rPr>
              <w:t xml:space="preserve">921</w:t>
            </w:r>
          </w:p>
        </w:tc>
        <w:tc>
          <w:tcPr>
            <w:tcW w:type="dxa" w:w="2700"/>
            <w:tcMar>
              <w:top w:type="dxa" w:w="60"/>
              <w:left w:type="dxa" w:w="100"/>
              <w:bottom w:type="dxa" w:w="60"/>
              <w:right w:type="dxa" w:w="100"/>
            </w:tcMar>
          </w:tcPr>
          <w:p>
            <w:pPr>
              <w:jc w:val="left"/>
            </w:pPr>
            <w:r>
              <w:rPr>
                <w:b w:val="false"/>
                <w:bCs w:val="false"/>
                <w:sz w:val="20"/>
                <w:szCs w:val="20"/>
              </w:rPr>
              <w:t xml:space="preserve">98.8%</w:t>
            </w:r>
          </w:p>
        </w:tc>
      </w:tr>
      <w:tr>
        <w:tc>
          <w:tcPr>
            <w:tcW w:type="dxa" w:w="3200"/>
            <w:tcMar>
              <w:top w:type="dxa" w:w="60"/>
              <w:left w:type="dxa" w:w="100"/>
              <w:bottom w:type="dxa" w:w="60"/>
              <w:right w:type="dxa" w:w="100"/>
            </w:tcMar>
          </w:tcPr>
          <w:p>
            <w:pPr>
              <w:jc w:val="left"/>
            </w:pPr>
            <w:r>
              <w:rPr>
                <w:b w:val="false"/>
                <w:bCs w:val="false"/>
                <w:sz w:val="20"/>
                <w:szCs w:val="20"/>
              </w:rPr>
              <w:t xml:space="preserve">github</w:t>
            </w:r>
          </w:p>
        </w:tc>
        <w:tc>
          <w:tcPr>
            <w:tcW w:type="dxa" w:w="3200"/>
            <w:tcMar>
              <w:top w:type="dxa" w:w="60"/>
              <w:left w:type="dxa" w:w="100"/>
              <w:bottom w:type="dxa" w:w="60"/>
              <w:right w:type="dxa" w:w="100"/>
            </w:tcMar>
          </w:tcPr>
          <w:p>
            <w:pPr>
              <w:jc w:val="left"/>
            </w:pPr>
            <w:r>
              <w:rPr>
                <w:b w:val="false"/>
                <w:bCs w:val="false"/>
                <w:sz w:val="20"/>
                <w:szCs w:val="20"/>
              </w:rPr>
              <w:t xml:space="preserve">9</w:t>
            </w:r>
          </w:p>
        </w:tc>
        <w:tc>
          <w:tcPr>
            <w:tcW w:type="dxa" w:w="2700"/>
            <w:tcMar>
              <w:top w:type="dxa" w:w="60"/>
              <w:left w:type="dxa" w:w="100"/>
              <w:bottom w:type="dxa" w:w="60"/>
              <w:right w:type="dxa" w:w="100"/>
            </w:tcMar>
          </w:tcPr>
          <w:p>
            <w:pPr>
              <w:jc w:val="left"/>
            </w:pPr>
            <w:r>
              <w:rPr>
                <w:b w:val="false"/>
                <w:bCs w:val="false"/>
                <w:sz w:val="20"/>
                <w:szCs w:val="20"/>
              </w:rPr>
              <w:t xml:space="preserve">1.0%</w:t>
            </w:r>
          </w:p>
        </w:tc>
      </w:tr>
      <w:tr>
        <w:tc>
          <w:tcPr>
            <w:tcW w:type="dxa" w:w="3200"/>
            <w:tcMar>
              <w:top w:type="dxa" w:w="60"/>
              <w:left w:type="dxa" w:w="100"/>
              <w:bottom w:type="dxa" w:w="60"/>
              <w:right w:type="dxa" w:w="100"/>
            </w:tcMar>
          </w:tcPr>
          <w:p>
            <w:pPr>
              <w:jc w:val="left"/>
            </w:pPr>
            <w:r>
              <w:rPr>
                <w:b w:val="false"/>
                <w:bCs w:val="false"/>
                <w:sz w:val="20"/>
                <w:szCs w:val="20"/>
              </w:rPr>
              <w:t xml:space="preserve">npm</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r>
        <w:tc>
          <w:tcPr>
            <w:tcW w:type="dxa" w:w="3200"/>
            <w:tcMar>
              <w:top w:type="dxa" w:w="60"/>
              <w:left w:type="dxa" w:w="100"/>
              <w:bottom w:type="dxa" w:w="60"/>
              <w:right w:type="dxa" w:w="100"/>
            </w:tcMar>
          </w:tcPr>
          <w:p>
            <w:pPr>
              <w:jc w:val="left"/>
            </w:pPr>
            <w:r>
              <w:rPr>
                <w:b w:val="false"/>
                <w:bCs w:val="false"/>
                <w:sz w:val="20"/>
                <w:szCs w:val="20"/>
              </w:rPr>
              <w:t xml:space="preserve">maven</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bl>
    <w:p>
      <w:pPr>
        <w:spacing w:after="160"/>
      </w:pPr>
      <w:r>
        <w:t xml:space="preserve">Golang modules make up the overwhelming majority of the inventory, consistent with ops-master being a Go application. The npm and Maven entries (1 each) and the 9 GitHub-sourced entries likely represent embedded tooling, build assets, or vendored non-Go resources rather than the application's primary stack.</w:t>
      </w:r>
    </w:p>
    <w:p>
      <w:pPr>
        <w:pStyle w:val="Heading1"/>
        <w:spacing w:after="160" w:before="320"/>
      </w:pPr>
      <w:r>
        <w:t xml:space="preserve">3. License Compliance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700"/>
      </w:tblGrid>
      <w:tr>
        <w:trPr>
          <w:tblHeader/>
        </w:trPr>
        <w:tc>
          <w:tcPr>
            <w:tcW w:type="dxa" w:w="3200"/>
            <w:shd w:fill="1F3A5F" w:color="auto" w:val="clear"/>
            <w:tcMar>
              <w:top w:type="dxa" w:w="80"/>
              <w:left w:type="dxa" w:w="100"/>
              <w:bottom w:type="dxa" w:w="80"/>
              <w:right w:type="dxa" w:w="100"/>
            </w:tcMar>
          </w:tcPr>
          <w:p>
            <w:pPr>
              <w:jc w:val="left"/>
            </w:pPr>
            <w:r>
              <w:rPr>
                <w:b/>
                <w:bCs/>
                <w:color w:val="FFFFFF"/>
                <w:sz w:val="20"/>
                <w:szCs w:val="20"/>
              </w:rPr>
              <w:t xml:space="preserve">License (SPDX)</w:t>
            </w:r>
          </w:p>
        </w:tc>
        <w:tc>
          <w:tcPr>
            <w:tcW w:type="dxa" w:w="3200"/>
            <w:shd w:fill="1F3A5F" w:color="auto" w:val="clear"/>
            <w:tcMar>
              <w:top w:type="dxa" w:w="80"/>
              <w:left w:type="dxa" w:w="100"/>
              <w:bottom w:type="dxa" w:w="80"/>
              <w:right w:type="dxa" w:w="100"/>
            </w:tcMar>
          </w:tcPr>
          <w:p>
            <w:pPr>
              <w:jc w:val="left"/>
            </w:pPr>
            <w:r>
              <w:rPr>
                <w:b/>
                <w:bCs/>
                <w:color w:val="FFFFFF"/>
                <w:sz w:val="20"/>
                <w:szCs w:val="20"/>
              </w:rPr>
              <w:t xml:space="preserve">Component Entries</w:t>
            </w:r>
          </w:p>
        </w:tc>
        <w:tc>
          <w:tcPr>
            <w:tcW w:type="dxa" w:w="2700"/>
            <w:shd w:fill="1F3A5F" w:color="auto" w:val="clear"/>
            <w:tcMar>
              <w:top w:type="dxa" w:w="80"/>
              <w:left w:type="dxa" w:w="100"/>
              <w:bottom w:type="dxa" w:w="80"/>
              <w:right w:type="dxa" w:w="100"/>
            </w:tcMar>
          </w:tcPr>
          <w:p>
            <w:pPr>
              <w:jc w:val="left"/>
            </w:pPr>
            <w:r>
              <w:rPr>
                <w:b/>
                <w:bCs/>
                <w:color w:val="FFFFFF"/>
                <w:sz w:val="20"/>
                <w:szCs w:val="20"/>
              </w:rPr>
              <w:t xml:space="preserve">% of Total</w:t>
            </w:r>
          </w:p>
        </w:tc>
      </w:tr>
      <w:tr>
        <w:tc>
          <w:tcPr>
            <w:tcW w:type="dxa" w:w="3200"/>
            <w:tcMar>
              <w:top w:type="dxa" w:w="60"/>
              <w:left w:type="dxa" w:w="100"/>
              <w:bottom w:type="dxa" w:w="60"/>
              <w:right w:type="dxa" w:w="100"/>
            </w:tcMar>
          </w:tcPr>
          <w:p>
            <w:pPr>
              <w:jc w:val="left"/>
            </w:pPr>
            <w:r>
              <w:rPr>
                <w:b w:val="false"/>
                <w:bCs w:val="false"/>
                <w:sz w:val="20"/>
                <w:szCs w:val="20"/>
              </w:rPr>
              <w:t xml:space="preserve">BSD-3-Clause</w:t>
            </w:r>
          </w:p>
        </w:tc>
        <w:tc>
          <w:tcPr>
            <w:tcW w:type="dxa" w:w="3200"/>
            <w:tcMar>
              <w:top w:type="dxa" w:w="60"/>
              <w:left w:type="dxa" w:w="100"/>
              <w:bottom w:type="dxa" w:w="60"/>
              <w:right w:type="dxa" w:w="100"/>
            </w:tcMar>
          </w:tcPr>
          <w:p>
            <w:pPr>
              <w:jc w:val="left"/>
            </w:pPr>
            <w:r>
              <w:rPr>
                <w:b w:val="false"/>
                <w:bCs w:val="false"/>
                <w:sz w:val="20"/>
                <w:szCs w:val="20"/>
              </w:rPr>
              <w:t xml:space="preserve">390</w:t>
            </w:r>
          </w:p>
        </w:tc>
        <w:tc>
          <w:tcPr>
            <w:tcW w:type="dxa" w:w="2700"/>
            <w:tcMar>
              <w:top w:type="dxa" w:w="60"/>
              <w:left w:type="dxa" w:w="100"/>
              <w:bottom w:type="dxa" w:w="60"/>
              <w:right w:type="dxa" w:w="100"/>
            </w:tcMar>
          </w:tcPr>
          <w:p>
            <w:pPr>
              <w:jc w:val="left"/>
            </w:pPr>
            <w:r>
              <w:rPr>
                <w:b w:val="false"/>
                <w:bCs w:val="false"/>
                <w:sz w:val="20"/>
                <w:szCs w:val="20"/>
              </w:rPr>
              <w:t xml:space="preserve">41.8%</w:t>
            </w:r>
          </w:p>
        </w:tc>
      </w:tr>
      <w:tr>
        <w:tc>
          <w:tcPr>
            <w:tcW w:type="dxa" w:w="3200"/>
            <w:tcMar>
              <w:top w:type="dxa" w:w="60"/>
              <w:left w:type="dxa" w:w="100"/>
              <w:bottom w:type="dxa" w:w="60"/>
              <w:right w:type="dxa" w:w="100"/>
            </w:tcMar>
          </w:tcPr>
          <w:p>
            <w:pPr>
              <w:jc w:val="left"/>
            </w:pPr>
            <w:r>
              <w:rPr>
                <w:b w:val="false"/>
                <w:bCs w:val="false"/>
                <w:sz w:val="20"/>
                <w:szCs w:val="20"/>
              </w:rPr>
              <w:t xml:space="preserve">Apache-2.0</w:t>
            </w:r>
          </w:p>
        </w:tc>
        <w:tc>
          <w:tcPr>
            <w:tcW w:type="dxa" w:w="3200"/>
            <w:tcMar>
              <w:top w:type="dxa" w:w="60"/>
              <w:left w:type="dxa" w:w="100"/>
              <w:bottom w:type="dxa" w:w="60"/>
              <w:right w:type="dxa" w:w="100"/>
            </w:tcMar>
          </w:tcPr>
          <w:p>
            <w:pPr>
              <w:jc w:val="left"/>
            </w:pPr>
            <w:r>
              <w:rPr>
                <w:b w:val="false"/>
                <w:bCs w:val="false"/>
                <w:sz w:val="20"/>
                <w:szCs w:val="20"/>
              </w:rPr>
              <w:t xml:space="preserve">342</w:t>
            </w:r>
          </w:p>
        </w:tc>
        <w:tc>
          <w:tcPr>
            <w:tcW w:type="dxa" w:w="2700"/>
            <w:tcMar>
              <w:top w:type="dxa" w:w="60"/>
              <w:left w:type="dxa" w:w="100"/>
              <w:bottom w:type="dxa" w:w="60"/>
              <w:right w:type="dxa" w:w="100"/>
            </w:tcMar>
          </w:tcPr>
          <w:p>
            <w:pPr>
              <w:jc w:val="left"/>
            </w:pPr>
            <w:r>
              <w:rPr>
                <w:b w:val="false"/>
                <w:bCs w:val="false"/>
                <w:sz w:val="20"/>
                <w:szCs w:val="20"/>
              </w:rPr>
              <w:t xml:space="preserve">36.7%</w:t>
            </w:r>
          </w:p>
        </w:tc>
      </w:tr>
      <w:tr>
        <w:tc>
          <w:tcPr>
            <w:tcW w:type="dxa" w:w="3200"/>
            <w:tcMar>
              <w:top w:type="dxa" w:w="60"/>
              <w:left w:type="dxa" w:w="100"/>
              <w:bottom w:type="dxa" w:w="60"/>
              <w:right w:type="dxa" w:w="100"/>
            </w:tcMar>
          </w:tcPr>
          <w:p>
            <w:pPr>
              <w:jc w:val="left"/>
            </w:pPr>
            <w:r>
              <w:rPr>
                <w:b w:val="false"/>
                <w:bCs w:val="false"/>
                <w:sz w:val="20"/>
                <w:szCs w:val="20"/>
              </w:rPr>
              <w:t xml:space="preserve">MIT</w:t>
            </w:r>
          </w:p>
        </w:tc>
        <w:tc>
          <w:tcPr>
            <w:tcW w:type="dxa" w:w="3200"/>
            <w:tcMar>
              <w:top w:type="dxa" w:w="60"/>
              <w:left w:type="dxa" w:w="100"/>
              <w:bottom w:type="dxa" w:w="60"/>
              <w:right w:type="dxa" w:w="100"/>
            </w:tcMar>
          </w:tcPr>
          <w:p>
            <w:pPr>
              <w:jc w:val="left"/>
            </w:pPr>
            <w:r>
              <w:rPr>
                <w:b w:val="false"/>
                <w:bCs w:val="false"/>
                <w:sz w:val="20"/>
                <w:szCs w:val="20"/>
              </w:rPr>
              <w:t xml:space="preserve">180</w:t>
            </w:r>
          </w:p>
        </w:tc>
        <w:tc>
          <w:tcPr>
            <w:tcW w:type="dxa" w:w="2700"/>
            <w:tcMar>
              <w:top w:type="dxa" w:w="60"/>
              <w:left w:type="dxa" w:w="100"/>
              <w:bottom w:type="dxa" w:w="60"/>
              <w:right w:type="dxa" w:w="100"/>
            </w:tcMar>
          </w:tcPr>
          <w:p>
            <w:pPr>
              <w:jc w:val="left"/>
            </w:pPr>
            <w:r>
              <w:rPr>
                <w:b w:val="false"/>
                <w:bCs w:val="false"/>
                <w:sz w:val="20"/>
                <w:szCs w:val="20"/>
              </w:rPr>
              <w:t xml:space="preserve">19.3%</w:t>
            </w:r>
          </w:p>
        </w:tc>
      </w:tr>
      <w:tr>
        <w:tc>
          <w:tcPr>
            <w:tcW w:type="dxa" w:w="3200"/>
            <w:tcMar>
              <w:top w:type="dxa" w:w="60"/>
              <w:left w:type="dxa" w:w="100"/>
              <w:bottom w:type="dxa" w:w="60"/>
              <w:right w:type="dxa" w:w="100"/>
            </w:tcMar>
          </w:tcPr>
          <w:p>
            <w:pPr>
              <w:jc w:val="left"/>
            </w:pPr>
            <w:r>
              <w:rPr>
                <w:b w:val="false"/>
                <w:bCs w:val="false"/>
                <w:sz w:val="20"/>
                <w:szCs w:val="20"/>
              </w:rPr>
              <w:t xml:space="preserve">MPL-2.0</w:t>
            </w:r>
          </w:p>
        </w:tc>
        <w:tc>
          <w:tcPr>
            <w:tcW w:type="dxa" w:w="3200"/>
            <w:tcMar>
              <w:top w:type="dxa" w:w="60"/>
              <w:left w:type="dxa" w:w="100"/>
              <w:bottom w:type="dxa" w:w="60"/>
              <w:right w:type="dxa" w:w="100"/>
            </w:tcMar>
          </w:tcPr>
          <w:p>
            <w:pPr>
              <w:jc w:val="left"/>
            </w:pPr>
            <w:r>
              <w:rPr>
                <w:b w:val="false"/>
                <w:bCs w:val="false"/>
                <w:sz w:val="20"/>
                <w:szCs w:val="20"/>
              </w:rPr>
              <w:t xml:space="preserve">21</w:t>
            </w:r>
          </w:p>
        </w:tc>
        <w:tc>
          <w:tcPr>
            <w:tcW w:type="dxa" w:w="2700"/>
            <w:tcMar>
              <w:top w:type="dxa" w:w="60"/>
              <w:left w:type="dxa" w:w="100"/>
              <w:bottom w:type="dxa" w:w="60"/>
              <w:right w:type="dxa" w:w="100"/>
            </w:tcMar>
          </w:tcPr>
          <w:p>
            <w:pPr>
              <w:jc w:val="left"/>
            </w:pPr>
            <w:r>
              <w:rPr>
                <w:b w:val="false"/>
                <w:bCs w:val="false"/>
                <w:sz w:val="20"/>
                <w:szCs w:val="20"/>
              </w:rPr>
              <w:t xml:space="preserve">2.3%</w:t>
            </w:r>
          </w:p>
        </w:tc>
      </w:tr>
      <w:tr>
        <w:tc>
          <w:tcPr>
            <w:tcW w:type="dxa" w:w="3200"/>
            <w:tcMar>
              <w:top w:type="dxa" w:w="60"/>
              <w:left w:type="dxa" w:w="100"/>
              <w:bottom w:type="dxa" w:w="60"/>
              <w:right w:type="dxa" w:w="100"/>
            </w:tcMar>
          </w:tcPr>
          <w:p>
            <w:pPr>
              <w:jc w:val="left"/>
            </w:pPr>
            <w:r>
              <w:rPr>
                <w:b w:val="false"/>
                <w:bCs w:val="false"/>
                <w:sz w:val="20"/>
                <w:szCs w:val="20"/>
              </w:rPr>
              <w:t xml:space="preserve">BSD-2-Clause</w:t>
            </w:r>
          </w:p>
        </w:tc>
        <w:tc>
          <w:tcPr>
            <w:tcW w:type="dxa" w:w="3200"/>
            <w:tcMar>
              <w:top w:type="dxa" w:w="60"/>
              <w:left w:type="dxa" w:w="100"/>
              <w:bottom w:type="dxa" w:w="60"/>
              <w:right w:type="dxa" w:w="100"/>
            </w:tcMar>
          </w:tcPr>
          <w:p>
            <w:pPr>
              <w:jc w:val="left"/>
            </w:pPr>
            <w:r>
              <w:rPr>
                <w:b w:val="false"/>
                <w:bCs w:val="false"/>
                <w:sz w:val="20"/>
                <w:szCs w:val="20"/>
              </w:rPr>
              <w:t xml:space="preserve">16</w:t>
            </w:r>
          </w:p>
        </w:tc>
        <w:tc>
          <w:tcPr>
            <w:tcW w:type="dxa" w:w="2700"/>
            <w:tcMar>
              <w:top w:type="dxa" w:w="60"/>
              <w:left w:type="dxa" w:w="100"/>
              <w:bottom w:type="dxa" w:w="60"/>
              <w:right w:type="dxa" w:w="100"/>
            </w:tcMar>
          </w:tcPr>
          <w:p>
            <w:pPr>
              <w:jc w:val="left"/>
            </w:pPr>
            <w:r>
              <w:rPr>
                <w:b w:val="false"/>
                <w:bCs w:val="false"/>
                <w:sz w:val="20"/>
                <w:szCs w:val="20"/>
              </w:rPr>
              <w:t xml:space="preserve">1.7%</w:t>
            </w:r>
          </w:p>
        </w:tc>
      </w:tr>
      <w:tr>
        <w:tc>
          <w:tcPr>
            <w:tcW w:type="dxa" w:w="3200"/>
            <w:tcMar>
              <w:top w:type="dxa" w:w="60"/>
              <w:left w:type="dxa" w:w="100"/>
              <w:bottom w:type="dxa" w:w="60"/>
              <w:right w:type="dxa" w:w="100"/>
            </w:tcMar>
          </w:tcPr>
          <w:p>
            <w:pPr>
              <w:jc w:val="left"/>
            </w:pPr>
            <w:r>
              <w:rPr>
                <w:b w:val="false"/>
                <w:bCs w:val="false"/>
                <w:sz w:val="20"/>
                <w:szCs w:val="20"/>
              </w:rPr>
              <w:t xml:space="preserve">ISC</w:t>
            </w:r>
          </w:p>
        </w:tc>
        <w:tc>
          <w:tcPr>
            <w:tcW w:type="dxa" w:w="3200"/>
            <w:tcMar>
              <w:top w:type="dxa" w:w="60"/>
              <w:left w:type="dxa" w:w="100"/>
              <w:bottom w:type="dxa" w:w="60"/>
              <w:right w:type="dxa" w:w="100"/>
            </w:tcMar>
          </w:tcPr>
          <w:p>
            <w:pPr>
              <w:jc w:val="left"/>
            </w:pPr>
            <w:r>
              <w:rPr>
                <w:b w:val="false"/>
                <w:bCs w:val="false"/>
                <w:sz w:val="20"/>
                <w:szCs w:val="20"/>
              </w:rPr>
              <w:t xml:space="preserve">4</w:t>
            </w:r>
          </w:p>
        </w:tc>
        <w:tc>
          <w:tcPr>
            <w:tcW w:type="dxa" w:w="2700"/>
            <w:tcMar>
              <w:top w:type="dxa" w:w="60"/>
              <w:left w:type="dxa" w:w="100"/>
              <w:bottom w:type="dxa" w:w="60"/>
              <w:right w:type="dxa" w:w="100"/>
            </w:tcMar>
          </w:tcPr>
          <w:p>
            <w:pPr>
              <w:jc w:val="left"/>
            </w:pPr>
            <w:r>
              <w:rPr>
                <w:b w:val="false"/>
                <w:bCs w:val="false"/>
                <w:sz w:val="20"/>
                <w:szCs w:val="20"/>
              </w:rPr>
              <w:t xml:space="preserve">0.4%</w:t>
            </w:r>
          </w:p>
        </w:tc>
      </w:tr>
      <w:tr>
        <w:tc>
          <w:tcPr>
            <w:tcW w:type="dxa" w:w="3200"/>
            <w:tcMar>
              <w:top w:type="dxa" w:w="60"/>
              <w:left w:type="dxa" w:w="100"/>
              <w:bottom w:type="dxa" w:w="60"/>
              <w:right w:type="dxa" w:w="100"/>
            </w:tcMar>
          </w:tcPr>
          <w:p>
            <w:pPr>
              <w:jc w:val="left"/>
            </w:pPr>
            <w:r>
              <w:rPr>
                <w:b w:val="false"/>
                <w:bCs w:val="false"/>
                <w:sz w:val="20"/>
                <w:szCs w:val="20"/>
              </w:rPr>
              <w:t xml:space="preserve">CC0-1.0</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r>
        <w:tc>
          <w:tcPr>
            <w:tcW w:type="dxa" w:w="3200"/>
            <w:tcMar>
              <w:top w:type="dxa" w:w="60"/>
              <w:left w:type="dxa" w:w="100"/>
              <w:bottom w:type="dxa" w:w="60"/>
              <w:right w:type="dxa" w:w="100"/>
            </w:tcMar>
          </w:tcPr>
          <w:p>
            <w:pPr>
              <w:jc w:val="left"/>
            </w:pPr>
            <w:r>
              <w:rPr>
                <w:b w:val="false"/>
                <w:bCs w:val="false"/>
                <w:sz w:val="20"/>
                <w:szCs w:val="20"/>
              </w:rPr>
              <w:t xml:space="preserve">GooglePatentClause</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r>
        <w:tc>
          <w:tcPr>
            <w:tcW w:type="dxa" w:w="3200"/>
            <w:tcMar>
              <w:top w:type="dxa" w:w="60"/>
              <w:left w:type="dxa" w:w="100"/>
              <w:bottom w:type="dxa" w:w="60"/>
              <w:right w:type="dxa" w:w="100"/>
            </w:tcMar>
          </w:tcPr>
          <w:p>
            <w:pPr>
              <w:jc w:val="left"/>
            </w:pPr>
            <w:r>
              <w:rPr>
                <w:b w:val="false"/>
                <w:bCs w:val="false"/>
                <w:sz w:val="20"/>
                <w:szCs w:val="20"/>
              </w:rPr>
              <w:t xml:space="preserve">UPL-1.0</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r>
        <w:tc>
          <w:tcPr>
            <w:tcW w:type="dxa" w:w="3200"/>
            <w:tcMar>
              <w:top w:type="dxa" w:w="60"/>
              <w:left w:type="dxa" w:w="100"/>
              <w:bottom w:type="dxa" w:w="60"/>
              <w:right w:type="dxa" w:w="100"/>
            </w:tcMar>
          </w:tcPr>
          <w:p>
            <w:pPr>
              <w:jc w:val="left"/>
            </w:pPr>
            <w:r>
              <w:rPr>
                <w:b w:val="false"/>
                <w:bCs w:val="false"/>
                <w:sz w:val="20"/>
                <w:szCs w:val="20"/>
              </w:rPr>
              <w:t xml:space="preserve">CC-BY-SA-4.0</w:t>
            </w:r>
          </w:p>
        </w:tc>
        <w:tc>
          <w:tcPr>
            <w:tcW w:type="dxa" w:w="3200"/>
            <w:tcMar>
              <w:top w:type="dxa" w:w="60"/>
              <w:left w:type="dxa" w:w="100"/>
              <w:bottom w:type="dxa" w:w="60"/>
              <w:right w:type="dxa" w:w="100"/>
            </w:tcMar>
          </w:tcPr>
          <w:p>
            <w:pPr>
              <w:jc w:val="left"/>
            </w:pPr>
            <w:r>
              <w:rPr>
                <w:b w:val="false"/>
                <w:bCs w:val="false"/>
                <w:sz w:val="20"/>
                <w:szCs w:val="20"/>
              </w:rPr>
              <w:t xml:space="preserve">1</w:t>
            </w:r>
          </w:p>
        </w:tc>
        <w:tc>
          <w:tcPr>
            <w:tcW w:type="dxa" w:w="2700"/>
            <w:tcMar>
              <w:top w:type="dxa" w:w="60"/>
              <w:left w:type="dxa" w:w="100"/>
              <w:bottom w:type="dxa" w:w="60"/>
              <w:right w:type="dxa" w:w="100"/>
            </w:tcMar>
          </w:tcPr>
          <w:p>
            <w:pPr>
              <w:jc w:val="left"/>
            </w:pPr>
            <w:r>
              <w:rPr>
                <w:b w:val="false"/>
                <w:bCs w:val="false"/>
                <w:sz w:val="20"/>
                <w:szCs w:val="20"/>
              </w:rPr>
              <w:t xml:space="preserve">0.1%</w:t>
            </w:r>
          </w:p>
        </w:tc>
      </w:tr>
    </w:tbl>
    <w:p>
      <w:pPr>
        <w:pStyle w:val="Heading2"/>
        <w:spacing w:after="120" w:before="260"/>
      </w:pPr>
      <w:r>
        <w:t xml:space="preserve">Observations</w:t>
      </w:r>
    </w:p>
    <w:p>
      <w:pPr>
        <w:pStyle w:val="ListParagraph"/>
        <w:numPr>
          <w:ilvl w:val="0"/>
          <w:numId w:val="1"/>
        </w:numPr>
        <w:spacing w:after="80"/>
      </w:pPr>
      <w:r>
        <w:t xml:space="preserve">Permissive licenses dominate: BSD-3-Clause (390), Apache-2.0 (342) and MIT (180) cover the large majority of components — low legal/compliance risk.</w:t>
      </w:r>
    </w:p>
    <w:p>
      <w:pPr>
        <w:pStyle w:val="ListParagraph"/>
        <w:numPr>
          <w:ilvl w:val="0"/>
          <w:numId w:val="1"/>
        </w:numPr>
        <w:spacing w:after="80"/>
      </w:pPr>
      <w:r>
        <w:t xml:space="preserve">Weak-copyleft MPL-2.0 appears on 21 components. MPL-2.0 is file-level copyleft and generally safe to combine with proprietary code, but modified MPL-2.0 files must remain source-available — worth a one-time confirmation that no MPL-2.0 sources have been modified in-tree.</w:t>
      </w:r>
    </w:p>
    <w:p>
      <w:pPr>
        <w:pStyle w:val="ListParagraph"/>
        <w:numPr>
          <w:ilvl w:val="0"/>
          <w:numId w:val="1"/>
        </w:numPr>
        <w:spacing w:after="80"/>
      </w:pPr>
      <w:r>
        <w:t xml:space="preserve">No strong-copyleft licenses (GPL, LGPL, AGPL) were identified in this SBOM.</w:t>
      </w:r>
    </w:p>
    <w:p>
      <w:pPr>
        <w:pStyle w:val="ListParagraph"/>
        <w:numPr>
          <w:ilvl w:val="0"/>
          <w:numId w:val="1"/>
        </w:numPr>
        <w:spacing w:after="80"/>
      </w:pPr>
      <w:r>
        <w:t xml:space="preserve">Unusual/edge-case entries worth reviewing: CC-BY-SA-4.0, GooglePatentClause, UPL-1.0, CC0-1.0. In particular, a CC-BY-SA-4.0-licensed entry is atypical for a Go dependency tree (Creative Commons licenses are normally used for content/documentation, not code) and merits a manual look to confirm correct license identification.</w:t>
      </w:r>
    </w:p>
    <w:p>
      <w:pPr>
        <w:pStyle w:val="Heading1"/>
        <w:spacing w:after="160" w:before="320"/>
      </w:pPr>
      <w:r>
        <w:t xml:space="preserve">4. Dependency Version Sprawl</w:t>
      </w:r>
    </w:p>
    <w:p>
      <w:pPr>
        <w:spacing w:after="160"/>
      </w:pPr>
      <w:r>
        <w:t xml:space="preserve">The same package name resolving to many different versions across the tree usually means multiple modules require it independently and Go has not (or could not) collapse them to one build version in this SBOM's view. This inflates the SBOM, complicates patch tracking, and can mask which version actually ships in the compiled binary.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rPr>
          <w:tblHeader/>
        </w:trPr>
        <w:tc>
          <w:tcPr>
            <w:tcW w:type="dxa" w:w="6300"/>
            <w:shd w:fill="1F3A5F" w:color="auto" w:val="clear"/>
            <w:tcMar>
              <w:top w:type="dxa" w:w="80"/>
              <w:left w:type="dxa" w:w="100"/>
              <w:bottom w:type="dxa" w:w="80"/>
              <w:right w:type="dxa" w:w="100"/>
            </w:tcMar>
          </w:tcPr>
          <w:p>
            <w:pPr>
              <w:jc w:val="left"/>
            </w:pPr>
            <w:r>
              <w:rPr>
                <w:b/>
                <w:bCs/>
                <w:color w:val="FFFFFF"/>
                <w:sz w:val="20"/>
                <w:szCs w:val="20"/>
              </w:rPr>
              <w:t xml:space="preserve">Package</w:t>
            </w:r>
          </w:p>
        </w:tc>
        <w:tc>
          <w:tcPr>
            <w:tcW w:type="dxa" w:w="2800"/>
            <w:shd w:fill="1F3A5F" w:color="auto" w:val="clear"/>
            <w:tcMar>
              <w:top w:type="dxa" w:w="80"/>
              <w:left w:type="dxa" w:w="100"/>
              <w:bottom w:type="dxa" w:w="80"/>
              <w:right w:type="dxa" w:w="100"/>
            </w:tcMar>
          </w:tcPr>
          <w:p>
            <w:pPr>
              <w:jc w:val="left"/>
            </w:pPr>
            <w:r>
              <w:rPr>
                <w:b/>
                <w:bCs/>
                <w:color w:val="FFFFFF"/>
                <w:sz w:val="20"/>
                <w:szCs w:val="20"/>
              </w:rPr>
              <w:t xml:space="preserve">Distinct Versions Present</w:t>
            </w:r>
          </w:p>
        </w:tc>
      </w:tr>
      <w:tr>
        <w:tc>
          <w:tcPr>
            <w:tcW w:type="dxa" w:w="6300"/>
            <w:shd w:fill="FBE7E6" w:color="auto" w:val="clear"/>
            <w:tcMar>
              <w:top w:type="dxa" w:w="60"/>
              <w:left w:type="dxa" w:w="100"/>
              <w:bottom w:type="dxa" w:w="60"/>
              <w:right w:type="dxa" w:w="100"/>
            </w:tcMar>
          </w:tcPr>
          <w:p>
            <w:pPr>
              <w:jc w:val="left"/>
            </w:pPr>
            <w:r>
              <w:rPr>
                <w:b w:val="false"/>
                <w:bCs w:val="false"/>
                <w:color w:val="B3261E"/>
                <w:sz w:val="20"/>
                <w:szCs w:val="20"/>
              </w:rPr>
              <w:t xml:space="preserve">golang.org/x/sys</w:t>
            </w:r>
          </w:p>
        </w:tc>
        <w:tc>
          <w:tcPr>
            <w:tcW w:type="dxa" w:w="2800"/>
            <w:shd w:fill="FBE7E6" w:color="auto" w:val="clear"/>
            <w:tcMar>
              <w:top w:type="dxa" w:w="60"/>
              <w:left w:type="dxa" w:w="100"/>
              <w:bottom w:type="dxa" w:w="60"/>
              <w:right w:type="dxa" w:w="100"/>
            </w:tcMar>
          </w:tcPr>
          <w:p>
            <w:pPr>
              <w:jc w:val="left"/>
            </w:pPr>
            <w:r>
              <w:rPr>
                <w:b w:val="false"/>
                <w:bCs w:val="false"/>
                <w:color w:val="B3261E"/>
                <w:sz w:val="20"/>
                <w:szCs w:val="20"/>
              </w:rPr>
              <w:t xml:space="preserve">64</w:t>
            </w:r>
          </w:p>
        </w:tc>
      </w:tr>
      <w:tr>
        <w:tc>
          <w:tcPr>
            <w:tcW w:type="dxa" w:w="6300"/>
            <w:shd w:fill="FBE7E6" w:color="auto" w:val="clear"/>
            <w:tcMar>
              <w:top w:type="dxa" w:w="60"/>
              <w:left w:type="dxa" w:w="100"/>
              <w:bottom w:type="dxa" w:w="60"/>
              <w:right w:type="dxa" w:w="100"/>
            </w:tcMar>
          </w:tcPr>
          <w:p>
            <w:pPr>
              <w:jc w:val="left"/>
            </w:pPr>
            <w:r>
              <w:rPr>
                <w:b w:val="false"/>
                <w:bCs w:val="false"/>
                <w:color w:val="B3261E"/>
                <w:sz w:val="20"/>
                <w:szCs w:val="20"/>
              </w:rPr>
              <w:t xml:space="preserve">golang.org/x/tools</w:t>
            </w:r>
          </w:p>
        </w:tc>
        <w:tc>
          <w:tcPr>
            <w:tcW w:type="dxa" w:w="2800"/>
            <w:shd w:fill="FBE7E6" w:color="auto" w:val="clear"/>
            <w:tcMar>
              <w:top w:type="dxa" w:w="60"/>
              <w:left w:type="dxa" w:w="100"/>
              <w:bottom w:type="dxa" w:w="60"/>
              <w:right w:type="dxa" w:w="100"/>
            </w:tcMar>
          </w:tcPr>
          <w:p>
            <w:pPr>
              <w:jc w:val="left"/>
            </w:pPr>
            <w:r>
              <w:rPr>
                <w:b w:val="false"/>
                <w:bCs w:val="false"/>
                <w:color w:val="B3261E"/>
                <w:sz w:val="20"/>
                <w:szCs w:val="20"/>
              </w:rPr>
              <w:t xml:space="preserve">53</w:t>
            </w:r>
          </w:p>
        </w:tc>
      </w:tr>
      <w:tr>
        <w:tc>
          <w:tcPr>
            <w:tcW w:type="dxa" w:w="6300"/>
            <w:shd w:fill="FBE7E6" w:color="auto" w:val="clear"/>
            <w:tcMar>
              <w:top w:type="dxa" w:w="60"/>
              <w:left w:type="dxa" w:w="100"/>
              <w:bottom w:type="dxa" w:w="60"/>
              <w:right w:type="dxa" w:w="100"/>
            </w:tcMar>
          </w:tcPr>
          <w:p>
            <w:pPr>
              <w:jc w:val="left"/>
            </w:pPr>
            <w:r>
              <w:rPr>
                <w:b w:val="false"/>
                <w:bCs w:val="false"/>
                <w:color w:val="B3261E"/>
                <w:sz w:val="20"/>
                <w:szCs w:val="20"/>
              </w:rPr>
              <w:t xml:space="preserve">google.golang.org/genproto</w:t>
            </w:r>
          </w:p>
        </w:tc>
        <w:tc>
          <w:tcPr>
            <w:tcW w:type="dxa" w:w="2800"/>
            <w:shd w:fill="FBE7E6" w:color="auto" w:val="clear"/>
            <w:tcMar>
              <w:top w:type="dxa" w:w="60"/>
              <w:left w:type="dxa" w:w="100"/>
              <w:bottom w:type="dxa" w:w="60"/>
              <w:right w:type="dxa" w:w="100"/>
            </w:tcMar>
          </w:tcPr>
          <w:p>
            <w:pPr>
              <w:jc w:val="left"/>
            </w:pPr>
            <w:r>
              <w:rPr>
                <w:b w:val="false"/>
                <w:bCs w:val="false"/>
                <w:color w:val="B3261E"/>
                <w:sz w:val="20"/>
                <w:szCs w:val="20"/>
              </w:rPr>
              <w:t xml:space="preserve">38</w:t>
            </w:r>
          </w:p>
        </w:tc>
      </w:tr>
      <w:tr>
        <w:tc>
          <w:tcPr>
            <w:tcW w:type="dxa" w:w="6300"/>
            <w:shd w:fill="FEF3E2" w:color="auto" w:val="clear"/>
            <w:tcMar>
              <w:top w:type="dxa" w:w="60"/>
              <w:left w:type="dxa" w:w="100"/>
              <w:bottom w:type="dxa" w:w="60"/>
              <w:right w:type="dxa" w:w="100"/>
            </w:tcMar>
          </w:tcPr>
          <w:p>
            <w:pPr>
              <w:jc w:val="left"/>
            </w:pPr>
            <w:r>
              <w:rPr>
                <w:b w:val="false"/>
                <w:bCs w:val="false"/>
                <w:color w:val="B45309"/>
                <w:sz w:val="20"/>
                <w:szCs w:val="20"/>
              </w:rPr>
              <w:t xml:space="preserve">golang.org/x/net</w:t>
            </w:r>
          </w:p>
        </w:tc>
        <w:tc>
          <w:tcPr>
            <w:tcW w:type="dxa" w:w="2800"/>
            <w:shd w:fill="FEF3E2" w:color="auto" w:val="clear"/>
            <w:tcMar>
              <w:top w:type="dxa" w:w="60"/>
              <w:left w:type="dxa" w:w="100"/>
              <w:bottom w:type="dxa" w:w="60"/>
              <w:right w:type="dxa" w:w="100"/>
            </w:tcMar>
          </w:tcPr>
          <w:p>
            <w:pPr>
              <w:jc w:val="left"/>
            </w:pPr>
            <w:r>
              <w:rPr>
                <w:b w:val="false"/>
                <w:bCs w:val="false"/>
                <w:color w:val="B45309"/>
                <w:sz w:val="20"/>
                <w:szCs w:val="20"/>
              </w:rPr>
              <w:t xml:space="preserve">38</w:t>
            </w:r>
          </w:p>
        </w:tc>
      </w:tr>
      <w:tr>
        <w:tc>
          <w:tcPr>
            <w:tcW w:type="dxa" w:w="6300"/>
            <w:shd w:fill="FEF3E2" w:color="auto" w:val="clear"/>
            <w:tcMar>
              <w:top w:type="dxa" w:w="60"/>
              <w:left w:type="dxa" w:w="100"/>
              <w:bottom w:type="dxa" w:w="60"/>
              <w:right w:type="dxa" w:w="100"/>
            </w:tcMar>
          </w:tcPr>
          <w:p>
            <w:pPr>
              <w:jc w:val="left"/>
            </w:pPr>
            <w:r>
              <w:rPr>
                <w:b w:val="false"/>
                <w:bCs w:val="false"/>
                <w:color w:val="B45309"/>
                <w:sz w:val="20"/>
                <w:szCs w:val="20"/>
              </w:rPr>
              <w:t xml:space="preserve">cloud.google.com/go</w:t>
            </w:r>
          </w:p>
        </w:tc>
        <w:tc>
          <w:tcPr>
            <w:tcW w:type="dxa" w:w="2800"/>
            <w:shd w:fill="FEF3E2" w:color="auto" w:val="clear"/>
            <w:tcMar>
              <w:top w:type="dxa" w:w="60"/>
              <w:left w:type="dxa" w:w="100"/>
              <w:bottom w:type="dxa" w:w="60"/>
              <w:right w:type="dxa" w:w="100"/>
            </w:tcMar>
          </w:tcPr>
          <w:p>
            <w:pPr>
              <w:jc w:val="left"/>
            </w:pPr>
            <w:r>
              <w:rPr>
                <w:b w:val="false"/>
                <w:bCs w:val="false"/>
                <w:color w:val="B45309"/>
                <w:sz w:val="20"/>
                <w:szCs w:val="20"/>
              </w:rPr>
              <w:t xml:space="preserve">23</w:t>
            </w:r>
          </w:p>
        </w:tc>
      </w:tr>
      <w:tr>
        <w:tc>
          <w:tcPr>
            <w:tcW w:type="dxa" w:w="6300"/>
            <w:shd w:fill="FEF3E2" w:color="auto" w:val="clear"/>
            <w:tcMar>
              <w:top w:type="dxa" w:w="60"/>
              <w:left w:type="dxa" w:w="100"/>
              <w:bottom w:type="dxa" w:w="60"/>
              <w:right w:type="dxa" w:w="100"/>
            </w:tcMar>
          </w:tcPr>
          <w:p>
            <w:pPr>
              <w:jc w:val="left"/>
            </w:pPr>
            <w:r>
              <w:rPr>
                <w:b w:val="false"/>
                <w:bCs w:val="false"/>
                <w:color w:val="B45309"/>
                <w:sz w:val="20"/>
                <w:szCs w:val="20"/>
              </w:rPr>
              <w:t xml:space="preserve">google.golang.org/api</w:t>
            </w:r>
          </w:p>
        </w:tc>
        <w:tc>
          <w:tcPr>
            <w:tcW w:type="dxa" w:w="2800"/>
            <w:shd w:fill="FEF3E2" w:color="auto" w:val="clear"/>
            <w:tcMar>
              <w:top w:type="dxa" w:w="60"/>
              <w:left w:type="dxa" w:w="100"/>
              <w:bottom w:type="dxa" w:w="60"/>
              <w:right w:type="dxa" w:w="100"/>
            </w:tcMar>
          </w:tcPr>
          <w:p>
            <w:pPr>
              <w:jc w:val="left"/>
            </w:pPr>
            <w:r>
              <w:rPr>
                <w:b w:val="false"/>
                <w:bCs w:val="false"/>
                <w:color w:val="B45309"/>
                <w:sz w:val="20"/>
                <w:szCs w:val="20"/>
              </w:rPr>
              <w:t xml:space="preserve">23</w:t>
            </w:r>
          </w:p>
        </w:tc>
      </w:tr>
      <w:tr>
        <w:tc>
          <w:tcPr>
            <w:tcW w:type="dxa" w:w="6300"/>
            <w:tcMar>
              <w:top w:type="dxa" w:w="60"/>
              <w:left w:type="dxa" w:w="100"/>
              <w:bottom w:type="dxa" w:w="60"/>
              <w:right w:type="dxa" w:w="100"/>
            </w:tcMar>
          </w:tcPr>
          <w:p>
            <w:pPr>
              <w:jc w:val="left"/>
            </w:pPr>
            <w:r>
              <w:rPr>
                <w:b w:val="false"/>
                <w:bCs w:val="false"/>
                <w:sz w:val="20"/>
                <w:szCs w:val="20"/>
              </w:rPr>
              <w:t xml:space="preserve">google.golang.org/grpc</w:t>
            </w:r>
          </w:p>
        </w:tc>
        <w:tc>
          <w:tcPr>
            <w:tcW w:type="dxa" w:w="2800"/>
            <w:tcMar>
              <w:top w:type="dxa" w:w="60"/>
              <w:left w:type="dxa" w:w="100"/>
              <w:bottom w:type="dxa" w:w="60"/>
              <w:right w:type="dxa" w:w="100"/>
            </w:tcMar>
          </w:tcPr>
          <w:p>
            <w:pPr>
              <w:jc w:val="left"/>
            </w:pPr>
            <w:r>
              <w:rPr>
                <w:b w:val="false"/>
                <w:bCs w:val="false"/>
                <w:sz w:val="20"/>
                <w:szCs w:val="20"/>
              </w:rPr>
              <w:t xml:space="preserve">21</w:t>
            </w:r>
          </w:p>
        </w:tc>
      </w:tr>
      <w:tr>
        <w:tc>
          <w:tcPr>
            <w:tcW w:type="dxa" w:w="6300"/>
            <w:tcMar>
              <w:top w:type="dxa" w:w="60"/>
              <w:left w:type="dxa" w:w="100"/>
              <w:bottom w:type="dxa" w:w="60"/>
              <w:right w:type="dxa" w:w="100"/>
            </w:tcMar>
          </w:tcPr>
          <w:p>
            <w:pPr>
              <w:jc w:val="left"/>
            </w:pPr>
            <w:r>
              <w:rPr>
                <w:b w:val="false"/>
                <w:bCs w:val="false"/>
                <w:sz w:val="20"/>
                <w:szCs w:val="20"/>
              </w:rPr>
              <w:t xml:space="preserve">golang.org/x/crypto</w:t>
            </w:r>
          </w:p>
        </w:tc>
        <w:tc>
          <w:tcPr>
            <w:tcW w:type="dxa" w:w="2800"/>
            <w:tcMar>
              <w:top w:type="dxa" w:w="60"/>
              <w:left w:type="dxa" w:w="100"/>
              <w:bottom w:type="dxa" w:w="60"/>
              <w:right w:type="dxa" w:w="100"/>
            </w:tcMar>
          </w:tcPr>
          <w:p>
            <w:pPr>
              <w:jc w:val="left"/>
            </w:pPr>
            <w:r>
              <w:rPr>
                <w:b w:val="false"/>
                <w:bCs w:val="false"/>
                <w:sz w:val="20"/>
                <w:szCs w:val="20"/>
              </w:rPr>
              <w:t xml:space="preserve">19</w:t>
            </w:r>
          </w:p>
        </w:tc>
      </w:tr>
      <w:tr>
        <w:tc>
          <w:tcPr>
            <w:tcW w:type="dxa" w:w="6300"/>
            <w:tcMar>
              <w:top w:type="dxa" w:w="60"/>
              <w:left w:type="dxa" w:w="100"/>
              <w:bottom w:type="dxa" w:w="60"/>
              <w:right w:type="dxa" w:w="100"/>
            </w:tcMar>
          </w:tcPr>
          <w:p>
            <w:pPr>
              <w:jc w:val="left"/>
            </w:pPr>
            <w:r>
              <w:rPr>
                <w:b w:val="false"/>
                <w:bCs w:val="false"/>
                <w:sz w:val="20"/>
                <w:szCs w:val="20"/>
              </w:rPr>
              <w:t xml:space="preserve">github.com/golang/protobuf</w:t>
            </w:r>
          </w:p>
        </w:tc>
        <w:tc>
          <w:tcPr>
            <w:tcW w:type="dxa" w:w="2800"/>
            <w:tcMar>
              <w:top w:type="dxa" w:w="60"/>
              <w:left w:type="dxa" w:w="100"/>
              <w:bottom w:type="dxa" w:w="60"/>
              <w:right w:type="dxa" w:w="100"/>
            </w:tcMar>
          </w:tcPr>
          <w:p>
            <w:pPr>
              <w:jc w:val="left"/>
            </w:pPr>
            <w:r>
              <w:rPr>
                <w:b w:val="false"/>
                <w:bCs w:val="false"/>
                <w:sz w:val="20"/>
                <w:szCs w:val="20"/>
              </w:rPr>
              <w:t xml:space="preserve">18</w:t>
            </w:r>
          </w:p>
        </w:tc>
      </w:tr>
      <w:tr>
        <w:tc>
          <w:tcPr>
            <w:tcW w:type="dxa" w:w="6300"/>
            <w:tcMar>
              <w:top w:type="dxa" w:w="60"/>
              <w:left w:type="dxa" w:w="100"/>
              <w:bottom w:type="dxa" w:w="60"/>
              <w:right w:type="dxa" w:w="100"/>
            </w:tcMar>
          </w:tcPr>
          <w:p>
            <w:pPr>
              <w:jc w:val="left"/>
            </w:pPr>
            <w:r>
              <w:rPr>
                <w:b w:val="false"/>
                <w:bCs w:val="false"/>
                <w:sz w:val="20"/>
                <w:szCs w:val="20"/>
              </w:rPr>
              <w:t xml:space="preserve">google.golang.org/protobuf</w:t>
            </w:r>
          </w:p>
        </w:tc>
        <w:tc>
          <w:tcPr>
            <w:tcW w:type="dxa" w:w="2800"/>
            <w:tcMar>
              <w:top w:type="dxa" w:w="60"/>
              <w:left w:type="dxa" w:w="100"/>
              <w:bottom w:type="dxa" w:w="60"/>
              <w:right w:type="dxa" w:w="100"/>
            </w:tcMar>
          </w:tcPr>
          <w:p>
            <w:pPr>
              <w:jc w:val="left"/>
            </w:pPr>
            <w:r>
              <w:rPr>
                <w:b w:val="false"/>
                <w:bCs w:val="false"/>
                <w:sz w:val="20"/>
                <w:szCs w:val="20"/>
              </w:rPr>
              <w:t xml:space="preserve">14</w:t>
            </w:r>
          </w:p>
        </w:tc>
      </w:tr>
    </w:tbl>
    <w:p>
      <w:pPr>
        <w:spacing w:after="160"/>
      </w:pPr>
      <w:r>
        <w:rPr>
          <w:i/>
          <w:iCs/>
        </w:rPr>
        <w:t xml:space="preserve">Overall, 96 of 363 unique package names (26.4%) have more than one version present in the SBOM.</w:t>
      </w:r>
    </w:p>
    <w:p>
      <w:pPr>
        <w:pStyle w:val="Heading1"/>
        <w:spacing w:after="160" w:before="320"/>
      </w:pPr>
      <w:r>
        <w:t xml:space="preserve">5. Publisher / Namespace Concentration</w:t>
      </w:r>
    </w:p>
    <w:p>
      <w:pPr>
        <w:spacing w:after="160"/>
      </w:pPr>
      <w:r>
        <w:t xml:space="preserve">Top publishers by number of component entries attributed to them: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300"/>
        <w:gridCol w:w="2800"/>
      </w:tblGrid>
      <w:tr>
        <w:trPr>
          <w:tblHeader/>
        </w:trPr>
        <w:tc>
          <w:tcPr>
            <w:tcW w:type="dxa" w:w="6300"/>
            <w:shd w:fill="1F3A5F" w:color="auto" w:val="clear"/>
            <w:tcMar>
              <w:top w:type="dxa" w:w="80"/>
              <w:left w:type="dxa" w:w="100"/>
              <w:bottom w:type="dxa" w:w="80"/>
              <w:right w:type="dxa" w:w="100"/>
            </w:tcMar>
          </w:tcPr>
          <w:p>
            <w:pPr>
              <w:jc w:val="left"/>
            </w:pPr>
            <w:r>
              <w:rPr>
                <w:b/>
                <w:bCs/>
                <w:color w:val="FFFFFF"/>
                <w:sz w:val="20"/>
                <w:szCs w:val="20"/>
              </w:rPr>
              <w:t xml:space="preserve">Publisher / Namespace</w:t>
            </w:r>
          </w:p>
        </w:tc>
        <w:tc>
          <w:tcPr>
            <w:tcW w:type="dxa" w:w="2800"/>
            <w:shd w:fill="1F3A5F" w:color="auto" w:val="clear"/>
            <w:tcMar>
              <w:top w:type="dxa" w:w="80"/>
              <w:left w:type="dxa" w:w="100"/>
              <w:bottom w:type="dxa" w:w="80"/>
              <w:right w:type="dxa" w:w="100"/>
            </w:tcMar>
          </w:tcPr>
          <w:p>
            <w:pPr>
              <w:jc w:val="left"/>
            </w:pPr>
            <w:r>
              <w:rPr>
                <w:b/>
                <w:bCs/>
                <w:color w:val="FFFFFF"/>
                <w:sz w:val="20"/>
                <w:szCs w:val="20"/>
              </w:rPr>
              <w:t xml:space="preserve">Component Entries</w:t>
            </w:r>
          </w:p>
        </w:tc>
      </w:tr>
      <w:tr>
        <w:tc>
          <w:tcPr>
            <w:tcW w:type="dxa" w:w="6300"/>
            <w:tcMar>
              <w:top w:type="dxa" w:w="60"/>
              <w:left w:type="dxa" w:w="100"/>
              <w:bottom w:type="dxa" w:w="60"/>
              <w:right w:type="dxa" w:w="100"/>
            </w:tcMar>
          </w:tcPr>
          <w:p>
            <w:pPr>
              <w:jc w:val="left"/>
            </w:pPr>
            <w:r>
              <w:rPr>
                <w:b w:val="false"/>
                <w:bCs w:val="false"/>
                <w:sz w:val="20"/>
                <w:szCs w:val="20"/>
              </w:rPr>
              <w:t xml:space="preserve">golang.org/x</w:t>
            </w:r>
          </w:p>
        </w:tc>
        <w:tc>
          <w:tcPr>
            <w:tcW w:type="dxa" w:w="2800"/>
            <w:tcMar>
              <w:top w:type="dxa" w:w="60"/>
              <w:left w:type="dxa" w:w="100"/>
              <w:bottom w:type="dxa" w:w="60"/>
              <w:right w:type="dxa" w:w="100"/>
            </w:tcMar>
          </w:tcPr>
          <w:p>
            <w:pPr>
              <w:jc w:val="left"/>
            </w:pPr>
            <w:r>
              <w:rPr>
                <w:b w:val="false"/>
                <w:bCs w:val="false"/>
                <w:sz w:val="20"/>
                <w:szCs w:val="20"/>
              </w:rPr>
              <w:t xml:space="preserve">255</w:t>
            </w:r>
          </w:p>
        </w:tc>
      </w:tr>
      <w:tr>
        <w:tc>
          <w:tcPr>
            <w:tcW w:type="dxa" w:w="6300"/>
            <w:tcMar>
              <w:top w:type="dxa" w:w="60"/>
              <w:left w:type="dxa" w:w="100"/>
              <w:bottom w:type="dxa" w:w="60"/>
              <w:right w:type="dxa" w:w="100"/>
            </w:tcMar>
          </w:tcPr>
          <w:p>
            <w:pPr>
              <w:jc w:val="left"/>
            </w:pPr>
            <w:r>
              <w:rPr>
                <w:b w:val="false"/>
                <w:bCs w:val="false"/>
                <w:sz w:val="20"/>
                <w:szCs w:val="20"/>
              </w:rPr>
              <w:t xml:space="preserve">google.golang.org</w:t>
            </w:r>
          </w:p>
        </w:tc>
        <w:tc>
          <w:tcPr>
            <w:tcW w:type="dxa" w:w="2800"/>
            <w:tcMar>
              <w:top w:type="dxa" w:w="60"/>
              <w:left w:type="dxa" w:w="100"/>
              <w:bottom w:type="dxa" w:w="60"/>
              <w:right w:type="dxa" w:w="100"/>
            </w:tcMar>
          </w:tcPr>
          <w:p>
            <w:pPr>
              <w:jc w:val="left"/>
            </w:pPr>
            <w:r>
              <w:rPr>
                <w:b w:val="false"/>
                <w:bCs w:val="false"/>
                <w:sz w:val="20"/>
                <w:szCs w:val="20"/>
              </w:rPr>
              <w:t xml:space="preserve">103</w:t>
            </w:r>
          </w:p>
        </w:tc>
      </w:tr>
      <w:tr>
        <w:tc>
          <w:tcPr>
            <w:tcW w:type="dxa" w:w="6300"/>
            <w:tcMar>
              <w:top w:type="dxa" w:w="60"/>
              <w:left w:type="dxa" w:w="100"/>
              <w:bottom w:type="dxa" w:w="60"/>
              <w:right w:type="dxa" w:w="100"/>
            </w:tcMar>
          </w:tcPr>
          <w:p>
            <w:pPr>
              <w:jc w:val="left"/>
            </w:pPr>
            <w:r>
              <w:rPr>
                <w:b w:val="false"/>
                <w:bCs w:val="false"/>
                <w:sz w:val="20"/>
                <w:szCs w:val="20"/>
              </w:rPr>
              <w:t xml:space="preserve">github.com/google</w:t>
            </w:r>
          </w:p>
        </w:tc>
        <w:tc>
          <w:tcPr>
            <w:tcW w:type="dxa" w:w="2800"/>
            <w:tcMar>
              <w:top w:type="dxa" w:w="60"/>
              <w:left w:type="dxa" w:w="100"/>
              <w:bottom w:type="dxa" w:w="60"/>
              <w:right w:type="dxa" w:w="100"/>
            </w:tcMar>
          </w:tcPr>
          <w:p>
            <w:pPr>
              <w:jc w:val="left"/>
            </w:pPr>
            <w:r>
              <w:rPr>
                <w:b w:val="false"/>
                <w:bCs w:val="false"/>
                <w:sz w:val="20"/>
                <w:szCs w:val="20"/>
              </w:rPr>
              <w:t xml:space="preserve">39</w:t>
            </w:r>
          </w:p>
        </w:tc>
      </w:tr>
      <w:tr>
        <w:tc>
          <w:tcPr>
            <w:tcW w:type="dxa" w:w="6300"/>
            <w:tcMar>
              <w:top w:type="dxa" w:w="60"/>
              <w:left w:type="dxa" w:w="100"/>
              <w:bottom w:type="dxa" w:w="60"/>
              <w:right w:type="dxa" w:w="100"/>
            </w:tcMar>
          </w:tcPr>
          <w:p>
            <w:pPr>
              <w:jc w:val="left"/>
            </w:pPr>
            <w:r>
              <w:rPr>
                <w:b w:val="false"/>
                <w:bCs w:val="false"/>
                <w:sz w:val="20"/>
                <w:szCs w:val="20"/>
              </w:rPr>
              <w:t xml:space="preserve">github.com/golang</w:t>
            </w:r>
          </w:p>
        </w:tc>
        <w:tc>
          <w:tcPr>
            <w:tcW w:type="dxa" w:w="2800"/>
            <w:tcMar>
              <w:top w:type="dxa" w:w="60"/>
              <w:left w:type="dxa" w:w="100"/>
              <w:bottom w:type="dxa" w:w="60"/>
              <w:right w:type="dxa" w:w="100"/>
            </w:tcMar>
          </w:tcPr>
          <w:p>
            <w:pPr>
              <w:jc w:val="left"/>
            </w:pPr>
            <w:r>
              <w:rPr>
                <w:b w:val="false"/>
                <w:bCs w:val="false"/>
                <w:sz w:val="20"/>
                <w:szCs w:val="20"/>
              </w:rPr>
              <w:t xml:space="preserve">32</w:t>
            </w:r>
          </w:p>
        </w:tc>
      </w:tr>
      <w:tr>
        <w:tc>
          <w:tcPr>
            <w:tcW w:type="dxa" w:w="6300"/>
            <w:tcMar>
              <w:top w:type="dxa" w:w="60"/>
              <w:left w:type="dxa" w:w="100"/>
              <w:bottom w:type="dxa" w:w="60"/>
              <w:right w:type="dxa" w:w="100"/>
            </w:tcMar>
          </w:tcPr>
          <w:p>
            <w:pPr>
              <w:jc w:val="left"/>
            </w:pPr>
            <w:r>
              <w:rPr>
                <w:b w:val="false"/>
                <w:bCs w:val="false"/>
                <w:sz w:val="20"/>
                <w:szCs w:val="20"/>
              </w:rPr>
              <w:t xml:space="preserve">cloud.google.com/go</w:t>
            </w:r>
          </w:p>
        </w:tc>
        <w:tc>
          <w:tcPr>
            <w:tcW w:type="dxa" w:w="2800"/>
            <w:tcMar>
              <w:top w:type="dxa" w:w="60"/>
              <w:left w:type="dxa" w:w="100"/>
              <w:bottom w:type="dxa" w:w="60"/>
              <w:right w:type="dxa" w:w="100"/>
            </w:tcMar>
          </w:tcPr>
          <w:p>
            <w:pPr>
              <w:jc w:val="left"/>
            </w:pPr>
            <w:r>
              <w:rPr>
                <w:b w:val="false"/>
                <w:bCs w:val="false"/>
                <w:sz w:val="20"/>
                <w:szCs w:val="20"/>
              </w:rPr>
              <w:t xml:space="preserve">26</w:t>
            </w:r>
          </w:p>
        </w:tc>
      </w:tr>
      <w:tr>
        <w:tc>
          <w:tcPr>
            <w:tcW w:type="dxa" w:w="6300"/>
            <w:tcMar>
              <w:top w:type="dxa" w:w="60"/>
              <w:left w:type="dxa" w:w="100"/>
              <w:bottom w:type="dxa" w:w="60"/>
              <w:right w:type="dxa" w:w="100"/>
            </w:tcMar>
          </w:tcPr>
          <w:p>
            <w:pPr>
              <w:jc w:val="left"/>
            </w:pPr>
            <w:r>
              <w:rPr>
                <w:b w:val="false"/>
                <w:bCs w:val="false"/>
                <w:sz w:val="20"/>
                <w:szCs w:val="20"/>
              </w:rPr>
              <w:t xml:space="preserve">cloud.google.com</w:t>
            </w:r>
          </w:p>
        </w:tc>
        <w:tc>
          <w:tcPr>
            <w:tcW w:type="dxa" w:w="2800"/>
            <w:tcMar>
              <w:top w:type="dxa" w:w="60"/>
              <w:left w:type="dxa" w:w="100"/>
              <w:bottom w:type="dxa" w:w="60"/>
              <w:right w:type="dxa" w:w="100"/>
            </w:tcMar>
          </w:tcPr>
          <w:p>
            <w:pPr>
              <w:jc w:val="left"/>
            </w:pPr>
            <w:r>
              <w:rPr>
                <w:b w:val="false"/>
                <w:bCs w:val="false"/>
                <w:sz w:val="20"/>
                <w:szCs w:val="20"/>
              </w:rPr>
              <w:t xml:space="preserve">23</w:t>
            </w:r>
          </w:p>
        </w:tc>
      </w:tr>
      <w:tr>
        <w:tc>
          <w:tcPr>
            <w:tcW w:type="dxa" w:w="6300"/>
            <w:tcMar>
              <w:top w:type="dxa" w:w="60"/>
              <w:left w:type="dxa" w:w="100"/>
              <w:bottom w:type="dxa" w:w="60"/>
              <w:right w:type="dxa" w:w="100"/>
            </w:tcMar>
          </w:tcPr>
          <w:p>
            <w:pPr>
              <w:jc w:val="left"/>
            </w:pPr>
            <w:r>
              <w:rPr>
                <w:b w:val="false"/>
                <w:bCs w:val="false"/>
                <w:sz w:val="20"/>
                <w:szCs w:val="20"/>
              </w:rPr>
              <w:t xml:space="preserve">gopkg.in</w:t>
            </w:r>
          </w:p>
        </w:tc>
        <w:tc>
          <w:tcPr>
            <w:tcW w:type="dxa" w:w="2800"/>
            <w:tcMar>
              <w:top w:type="dxa" w:w="60"/>
              <w:left w:type="dxa" w:w="100"/>
              <w:bottom w:type="dxa" w:w="60"/>
              <w:right w:type="dxa" w:w="100"/>
            </w:tcMar>
          </w:tcPr>
          <w:p>
            <w:pPr>
              <w:jc w:val="left"/>
            </w:pPr>
            <w:r>
              <w:rPr>
                <w:b w:val="false"/>
                <w:bCs w:val="false"/>
                <w:sz w:val="20"/>
                <w:szCs w:val="20"/>
              </w:rPr>
              <w:t xml:space="preserve">22</w:t>
            </w:r>
          </w:p>
        </w:tc>
      </w:tr>
      <w:tr>
        <w:tc>
          <w:tcPr>
            <w:tcW w:type="dxa" w:w="6300"/>
            <w:tcMar>
              <w:top w:type="dxa" w:w="60"/>
              <w:left w:type="dxa" w:w="100"/>
              <w:bottom w:type="dxa" w:w="60"/>
              <w:right w:type="dxa" w:w="100"/>
            </w:tcMar>
          </w:tcPr>
          <w:p>
            <w:pPr>
              <w:jc w:val="left"/>
            </w:pPr>
            <w:r>
              <w:rPr>
                <w:b w:val="false"/>
                <w:bCs w:val="false"/>
                <w:sz w:val="20"/>
                <w:szCs w:val="20"/>
              </w:rPr>
              <w:t xml:space="preserve">github.com/hashicorp</w:t>
            </w:r>
          </w:p>
        </w:tc>
        <w:tc>
          <w:tcPr>
            <w:tcW w:type="dxa" w:w="2800"/>
            <w:tcMar>
              <w:top w:type="dxa" w:w="60"/>
              <w:left w:type="dxa" w:w="100"/>
              <w:bottom w:type="dxa" w:w="60"/>
              <w:right w:type="dxa" w:w="100"/>
            </w:tcMar>
          </w:tcPr>
          <w:p>
            <w:pPr>
              <w:jc w:val="left"/>
            </w:pPr>
            <w:r>
              <w:rPr>
                <w:b w:val="false"/>
                <w:bCs w:val="false"/>
                <w:sz w:val="20"/>
                <w:szCs w:val="20"/>
              </w:rPr>
              <w:t xml:space="preserve">21</w:t>
            </w:r>
          </w:p>
        </w:tc>
      </w:tr>
      <w:tr>
        <w:tc>
          <w:tcPr>
            <w:tcW w:type="dxa" w:w="6300"/>
            <w:tcMar>
              <w:top w:type="dxa" w:w="60"/>
              <w:left w:type="dxa" w:w="100"/>
              <w:bottom w:type="dxa" w:w="60"/>
              <w:right w:type="dxa" w:w="100"/>
            </w:tcMar>
          </w:tcPr>
          <w:p>
            <w:pPr>
              <w:jc w:val="left"/>
            </w:pPr>
            <w:r>
              <w:rPr>
                <w:b w:val="false"/>
                <w:bCs w:val="false"/>
                <w:sz w:val="20"/>
                <w:szCs w:val="20"/>
              </w:rPr>
              <w:t xml:space="preserve">github.com/stretchr</w:t>
            </w:r>
          </w:p>
        </w:tc>
        <w:tc>
          <w:tcPr>
            <w:tcW w:type="dxa" w:w="2800"/>
            <w:tcMar>
              <w:top w:type="dxa" w:w="60"/>
              <w:left w:type="dxa" w:w="100"/>
              <w:bottom w:type="dxa" w:w="60"/>
              <w:right w:type="dxa" w:w="100"/>
            </w:tcMar>
          </w:tcPr>
          <w:p>
            <w:pPr>
              <w:jc w:val="left"/>
            </w:pPr>
            <w:r>
              <w:rPr>
                <w:b w:val="false"/>
                <w:bCs w:val="false"/>
                <w:sz w:val="20"/>
                <w:szCs w:val="20"/>
              </w:rPr>
              <w:t xml:space="preserve">14</w:t>
            </w:r>
          </w:p>
        </w:tc>
      </w:tr>
      <w:tr>
        <w:tc>
          <w:tcPr>
            <w:tcW w:type="dxa" w:w="6300"/>
            <w:tcMar>
              <w:top w:type="dxa" w:w="60"/>
              <w:left w:type="dxa" w:w="100"/>
              <w:bottom w:type="dxa" w:w="60"/>
              <w:right w:type="dxa" w:w="100"/>
            </w:tcMar>
          </w:tcPr>
          <w:p>
            <w:pPr>
              <w:jc w:val="left"/>
            </w:pPr>
            <w:r>
              <w:rPr>
                <w:b w:val="false"/>
                <w:bCs w:val="false"/>
                <w:sz w:val="20"/>
                <w:szCs w:val="20"/>
              </w:rPr>
              <w:t xml:space="preserve">github.com/aws/aws-sdk-go-v2/service</w:t>
            </w:r>
          </w:p>
        </w:tc>
        <w:tc>
          <w:tcPr>
            <w:tcW w:type="dxa" w:w="2800"/>
            <w:tcMar>
              <w:top w:type="dxa" w:w="60"/>
              <w:left w:type="dxa" w:w="100"/>
              <w:bottom w:type="dxa" w:w="60"/>
              <w:right w:type="dxa" w:w="100"/>
            </w:tcMar>
          </w:tcPr>
          <w:p>
            <w:pPr>
              <w:jc w:val="left"/>
            </w:pPr>
            <w:r>
              <w:rPr>
                <w:b w:val="false"/>
                <w:bCs w:val="false"/>
                <w:sz w:val="20"/>
                <w:szCs w:val="20"/>
              </w:rPr>
              <w:t xml:space="preserve">10</w:t>
            </w:r>
          </w:p>
        </w:tc>
      </w:tr>
    </w:tbl>
    <w:p>
      <w:pPr>
        <w:spacing w:after="160"/>
      </w:pPr>
      <w:r>
        <w:t xml:space="preserve">Concentration in golang.org/x and google.golang.org namespaces reflects heavy reliance on the Go standard-library-adjacent and Google Cloud/gRPC ecosystems — typical for a Kubernetes-adjacent or cloud-native Go service.</w:t>
      </w:r>
    </w:p>
    <w:p>
      <w:pPr>
        <w:pStyle w:val="Heading1"/>
        <w:spacing w:after="160" w:before="320"/>
      </w:pPr>
      <w:r>
        <w:t xml:space="preserve">6. Dependency Graph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3A5F" w:color="auto" w:val="clear"/>
            <w:tcMar>
              <w:top w:type="dxa" w:w="80"/>
              <w:left w:type="dxa" w:w="100"/>
              <w:bottom w:type="dxa" w:w="80"/>
              <w:right w:type="dxa" w:w="100"/>
            </w:tcMar>
          </w:tcPr>
          <w:p>
            <w:pPr>
              <w:jc w:val="left"/>
            </w:pPr>
            <w:r>
              <w:rPr>
                <w:b/>
                <w:bCs/>
                <w:color w:val="FFFFFF"/>
                <w:sz w:val="20"/>
                <w:szCs w:val="20"/>
              </w:rPr>
              <w:t xml:space="preserve">Metric</w:t>
            </w:r>
          </w:p>
        </w:tc>
        <w:tc>
          <w:tcPr>
            <w:tcW w:type="dxa" w:w="4600"/>
            <w:shd w:fill="1F3A5F"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4500"/>
            <w:tcMar>
              <w:top w:type="dxa" w:w="60"/>
              <w:left w:type="dxa" w:w="100"/>
              <w:bottom w:type="dxa" w:w="60"/>
              <w:right w:type="dxa" w:w="100"/>
            </w:tcMar>
          </w:tcPr>
          <w:p>
            <w:pPr>
              <w:jc w:val="left"/>
            </w:pPr>
            <w:r>
              <w:rPr>
                <w:b w:val="false"/>
                <w:bCs w:val="false"/>
                <w:sz w:val="20"/>
                <w:szCs w:val="20"/>
              </w:rPr>
              <w:t xml:space="preserve">Total nodes in dependency graph</w:t>
            </w:r>
          </w:p>
        </w:tc>
        <w:tc>
          <w:tcPr>
            <w:tcW w:type="dxa" w:w="4600"/>
            <w:tcMar>
              <w:top w:type="dxa" w:w="60"/>
              <w:left w:type="dxa" w:w="100"/>
              <w:bottom w:type="dxa" w:w="60"/>
              <w:right w:type="dxa" w:w="100"/>
            </w:tcMar>
          </w:tcPr>
          <w:p>
            <w:pPr>
              <w:jc w:val="left"/>
            </w:pPr>
            <w:r>
              <w:rPr>
                <w:b w:val="false"/>
                <w:bCs w:val="false"/>
                <w:sz w:val="20"/>
                <w:szCs w:val="20"/>
              </w:rPr>
              <w:t xml:space="preserve">933</w:t>
            </w:r>
          </w:p>
        </w:tc>
      </w:tr>
      <w:tr>
        <w:tc>
          <w:tcPr>
            <w:tcW w:type="dxa" w:w="4500"/>
            <w:tcMar>
              <w:top w:type="dxa" w:w="60"/>
              <w:left w:type="dxa" w:w="100"/>
              <w:bottom w:type="dxa" w:w="60"/>
              <w:right w:type="dxa" w:w="100"/>
            </w:tcMar>
          </w:tcPr>
          <w:p>
            <w:pPr>
              <w:jc w:val="left"/>
            </w:pPr>
            <w:r>
              <w:rPr>
                <w:b w:val="false"/>
                <w:bCs w:val="false"/>
                <w:sz w:val="20"/>
                <w:szCs w:val="20"/>
              </w:rPr>
              <w:t xml:space="preserve">Direct dependencies of root component</w:t>
            </w:r>
          </w:p>
        </w:tc>
        <w:tc>
          <w:tcPr>
            <w:tcW w:type="dxa" w:w="4600"/>
            <w:tcMar>
              <w:top w:type="dxa" w:w="60"/>
              <w:left w:type="dxa" w:w="100"/>
              <w:bottom w:type="dxa" w:w="60"/>
              <w:right w:type="dxa" w:w="100"/>
            </w:tcMar>
          </w:tcPr>
          <w:p>
            <w:pPr>
              <w:jc w:val="left"/>
            </w:pPr>
            <w:r>
              <w:rPr>
                <w:b w:val="false"/>
                <w:bCs w:val="false"/>
                <w:sz w:val="20"/>
                <w:szCs w:val="20"/>
              </w:rPr>
              <w:t xml:space="preserve">0</w:t>
            </w:r>
          </w:p>
        </w:tc>
      </w:tr>
      <w:tr>
        <w:tc>
          <w:tcPr>
            <w:tcW w:type="dxa" w:w="4500"/>
            <w:tcMar>
              <w:top w:type="dxa" w:w="60"/>
              <w:left w:type="dxa" w:w="100"/>
              <w:bottom w:type="dxa" w:w="60"/>
              <w:right w:type="dxa" w:w="100"/>
            </w:tcMar>
          </w:tcPr>
          <w:p>
            <w:pPr>
              <w:jc w:val="left"/>
            </w:pPr>
            <w:r>
              <w:rPr>
                <w:b w:val="false"/>
                <w:bCs w:val="false"/>
                <w:sz w:val="20"/>
                <w:szCs w:val="20"/>
              </w:rPr>
              <w:t xml:space="preserve">Root component bom-ref</w:t>
            </w:r>
          </w:p>
        </w:tc>
        <w:tc>
          <w:tcPr>
            <w:tcW w:type="dxa" w:w="4600"/>
            <w:tcMar>
              <w:top w:type="dxa" w:w="60"/>
              <w:left w:type="dxa" w:w="100"/>
              <w:bottom w:type="dxa" w:w="60"/>
              <w:right w:type="dxa" w:w="100"/>
            </w:tcMar>
          </w:tcPr>
          <w:p>
            <w:pPr>
              <w:jc w:val="left"/>
            </w:pPr>
            <w:r>
              <w:rPr>
                <w:b w:val="false"/>
                <w:bCs w:val="false"/>
                <w:sz w:val="20"/>
                <w:szCs w:val="20"/>
              </w:rPr>
              <w:t xml:space="preserve">BomRef.so63vf3e3dg.dmh0rpmgh8o</w:t>
            </w:r>
          </w:p>
        </w:tc>
      </w:tr>
    </w:tbl>
    <w:p>
      <w:pPr>
        <w:spacing w:after="160"/>
      </w:pPr>
      <w:r>
        <w:t xml:space="preserve">The root component's dependsOn list is empty in this SBOM, meaning the direct/transitive relationship for the application itself is not encoded — only inter-package edges are present (933 dependency nodes for 932 components). This is typical of scanner-generated (rather than build-tool-generated) SBOMs and does not affect the inventory/license figures above, but it means depth-of-dependency and "is this a direct or transitive dependency" questions cannot be answered from this file alone.</w:t>
      </w:r>
    </w:p>
    <w:p>
      <w:pPr>
        <w:pStyle w:val="Heading1"/>
        <w:spacing w:after="160" w:before="320"/>
      </w:pPr>
      <w:r>
        <w:t xml:space="preserve">7. Vulnerability Coverage — Not Included</w:t>
      </w:r>
    </w:p>
    <w:p>
      <w:pPr>
        <w:spacing w:after="160"/>
      </w:pPr>
      <w:r>
        <w:t xml:space="preserve">This CycloneDX document contains no "vulnerabilities" array. It is a component/license inventory only, not a security scan result. To get CVE and advisory coverage for these 363 packages, this SBOM should be run through a vulnerability matcher such as OSV-Scanner, Grype, or Dependency-Track against the same file — no further action was taken here.</w:t>
      </w:r>
    </w:p>
    <w:p>
      <w:pPr>
        <w:pStyle w:val="Heading1"/>
        <w:spacing w:after="160" w:before="320"/>
      </w:pPr>
      <w:r>
        <w:t xml:space="preserve">8. Recommendations</w:t>
      </w:r>
    </w:p>
    <w:p>
      <w:pPr>
        <w:pStyle w:val="ListParagraph"/>
        <w:numPr>
          <w:ilvl w:val="0"/>
          <w:numId w:val="1"/>
        </w:numPr>
        <w:spacing w:after="80"/>
      </w:pPr>
      <w:r>
        <w:t xml:space="preserve">Run this SBOM through a vulnerability scanner (OSV-Scanner / Grype / Dependency-Track) to layer CVE data on top of this inventory.</w:t>
      </w:r>
    </w:p>
    <w:p>
      <w:pPr>
        <w:pStyle w:val="ListParagraph"/>
        <w:numPr>
          <w:ilvl w:val="0"/>
          <w:numId w:val="1"/>
        </w:numPr>
        <w:spacing w:after="80"/>
      </w:pPr>
      <w:r>
        <w:t xml:space="preserve">Investigate why 96 packages resolve to multiple versions — run "go mod graph" / "go mod why" on the highest-sprawl packages (golang.org/x/sys, golang.org/x/tools, google.golang.org/genproto) to identify which requirers pin old versions.</w:t>
      </w:r>
    </w:p>
    <w:p>
      <w:pPr>
        <w:pStyle w:val="ListParagraph"/>
        <w:numPr>
          <w:ilvl w:val="0"/>
          <w:numId w:val="1"/>
        </w:numPr>
        <w:spacing w:after="80"/>
      </w:pPr>
      <w:r>
        <w:t xml:space="preserve">Confirm the CC-BY-SA-4.0 and GooglePatentClause license identifications manually — both are uncommon for library code and may indicate a mis-attributed license on the underlying package.</w:t>
      </w:r>
    </w:p>
    <w:p>
      <w:pPr>
        <w:pStyle w:val="ListParagraph"/>
        <w:numPr>
          <w:ilvl w:val="0"/>
          <w:numId w:val="1"/>
        </w:numPr>
        <w:spacing w:after="80"/>
      </w:pPr>
      <w:r>
        <w:t xml:space="preserve">Re-run SCANOSS (or equivalent) periodically and diff against this baseline to track inventory and license drift over time.</w:t>
      </w:r>
    </w:p>
    <w:p>
      <w:pPr>
        <w:spacing w:before="300"/>
        <w:jc w:val="center"/>
      </w:pPr>
      <w:r>
        <w:rPr>
          <w:i/>
          <w:iCs/>
          <w:color w:val="6B7280"/>
        </w:rPr>
        <w:t xml:space="preserve">— End of automated report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2026-07-13T05:08:45.073Z</dcterms:created>
  <dcterms:modified xsi:type="dcterms:W3CDTF">2026-07-13T05:08:45.095Z</dcterms:modified>
</cp:coreProperties>
</file>

<file path=docProps/custom.xml><?xml version="1.0" encoding="utf-8"?>
<Properties xmlns="http://schemas.openxmlformats.org/officeDocument/2006/custom-properties" xmlns:vt="http://schemas.openxmlformats.org/officeDocument/2006/docPropsVTypes"/>
</file>