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1E3A5F"/>
          <w:sz w:val="44"/>
          <w:szCs w:val="44"/>
        </w:rPr>
        <w:t xml:space="preserve">Trader Behavior &amp; Market Sentiment</w:t>
      </w:r>
    </w:p>
    <w:p>
      <w:pPr>
        <w:spacing w:after="300"/>
        <w:jc w:val="center"/>
      </w:pPr>
      <w:r>
        <w:rPr>
          <w:b/>
          <w:bCs/>
          <w:color w:val="2563EB"/>
          <w:sz w:val="26"/>
          <w:szCs w:val="26"/>
        </w:rPr>
        <w:t xml:space="preserve">An Analysis of Hyperliquid Trading Performance Against the Bitcoin Fear &amp; Greed Index</w:t>
      </w:r>
    </w:p>
    <w:p>
      <w:pPr>
        <w:spacing w:after="600"/>
        <w:jc w:val="center"/>
      </w:pPr>
      <w:r>
        <w:rPr>
          <w:i/>
          <w:iCs/>
          <w:color w:val="6B7280"/>
          <w:sz w:val="20"/>
          <w:szCs w:val="20"/>
        </w:rPr>
        <w:t xml:space="preserve">PrimeTrade.ai Data Science Assignment  |  Prepared by Candidate Submission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4"/>
          <w:szCs w:val="24"/>
        </w:rPr>
        <w:t xml:space="preserve">Executive Summary</w:t>
      </w:r>
    </w:p>
    <w:p>
      <w:pPr>
        <w:spacing w:after="160" w:line="300"/>
      </w:pPr>
      <w:r>
        <w:rPr>
          <w:sz w:val="21"/>
          <w:szCs w:val="21"/>
        </w:rPr>
        <w:t xml:space="preserve">This report examines whether Bitcoin market sentiment (Fear &amp; Greed Index) is associated with measurable differences in trader performance on Hyperliquid, using ~211,000 trade records from 32 accounts spanning May 2023 to May 2025, merged with the daily sentiment classification.</w:t>
      </w:r>
    </w:p>
    <w:p>
      <w:pPr>
        <w:spacing w:after="160" w:line="300"/>
      </w:pPr>
      <w:r>
        <w:rPr>
          <w:sz w:val="21"/>
          <w:szCs w:val="21"/>
        </w:rPr>
        <w:t xml:space="preserve">The headline finding is a non-linear, 'W-shaped' relationship: traders perform best during Fear and Extreme Greed, and worst during Extreme Fear and (plain) Greed. Overall trading activity — trade count, volume, and number of active accounts — rises as sentiment falls, indicating traders are more active, not less, during fearful markets. The single largest loss events in the dataset cluster on Greed days, pointing to overconfidence-driven risk-taking as a key failure mode.</w:t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b/>
          <w:bCs/>
          <w:color w:val="1E3A5F"/>
          <w:sz w:val="30"/>
          <w:szCs w:val="30"/>
        </w:rPr>
        <w:t xml:space="preserve">1. Dataset Overview</w:t>
      </w:r>
    </w:p>
    <w:p>
      <w:pPr>
        <w:spacing w:after="160" w:line="300"/>
      </w:pPr>
      <w:r>
        <w:rPr>
          <w:sz w:val="21"/>
          <w:szCs w:val="21"/>
        </w:rPr>
        <w:t xml:space="preserve">Two datasets were merged on calendar date: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1"/>
          <w:szCs w:val="21"/>
        </w:rPr>
        <w:t xml:space="preserve">Bitcoin Fear &amp; Greed Index: daily sentiment score (0–100) and classification (Extreme Fear, Fear, Neutral, Greed, Extreme Greed), Feb 2018 – May 2025.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1"/>
          <w:szCs w:val="21"/>
        </w:rPr>
        <w:t xml:space="preserve">Hyperliquid Trader Data: 211,224 individual trade executions across 32 accounts and 246 coins, with execution price, size, side, direction, closed PnL, and fees.</w:t>
      </w:r>
    </w:p>
    <w:p>
      <w:pPr>
        <w:spacing w:after="160" w:line="300"/>
      </w:pPr>
      <w:r>
        <w:rPr>
          <w:sz w:val="21"/>
          <w:szCs w:val="21"/>
        </w:rPr>
        <w:t xml:space="preserve">Date coverage between the two datasets was effectively complete — only 1 of 480 trading days in the trader dataset lacked a matching sentiment record. Roughly half of all trade rows (50.6%) record a Closed PnL of exactly zero; these are position-opening trades (Open Long / Open Short), so performance metrics below focus on the ~104,000 realized (PnL ≠ 0) trades unless otherwise noted.</w:t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b/>
          <w:bCs/>
          <w:color w:val="1E3A5F"/>
          <w:sz w:val="30"/>
          <w:szCs w:val="30"/>
        </w:rPr>
        <w:t xml:space="preserve">2. Performance by Market Sentiment</w:t>
      </w:r>
    </w:p>
    <w:p>
      <w:pPr>
        <w:spacing w:after="250" w:before="150"/>
        <w:jc w:val="center"/>
      </w:pPr>
      <w:r>
        <w:drawing>
          <wp:inline distT="0" distB="0" distL="0" distR="0">
            <wp:extent cx="57150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7280"/>
          <w:sz w:val="18"/>
          <w:szCs w:val="18"/>
        </w:rPr>
        <w:t xml:space="preserve">Figure 1: Average realized PnL, win rate, total volume and average position size across the five sentiment regimes.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1300"/>
        <w:gridCol w:w="1100"/>
        <w:gridCol w:w="1000"/>
        <w:gridCol w:w="1000"/>
        <w:gridCol w:w="1200"/>
      </w:tblGrid>
      <w:tr>
        <w:trPr>
          <w:tblHeader/>
        </w:trPr>
        <w:tc>
          <w:tcPr>
            <w:tcW w:type="dxa" w:w="1600"/>
            <w:shd w:fill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Sentiment</w:t>
            </w:r>
          </w:p>
        </w:tc>
        <w:tc>
          <w:tcPr>
            <w:tcW w:type="dxa" w:w="1000"/>
            <w:shd w:fill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Trades</w:t>
            </w:r>
          </w:p>
        </w:tc>
        <w:tc>
          <w:tcPr>
            <w:tcW w:type="dxa" w:w="1000"/>
            <w:shd w:fill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Win Rate</w:t>
            </w:r>
          </w:p>
        </w:tc>
        <w:tc>
          <w:tcPr>
            <w:tcW w:type="dxa" w:w="1300"/>
            <w:shd w:fill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 PnL/Trade</w:t>
            </w:r>
          </w:p>
        </w:tc>
        <w:tc>
          <w:tcPr>
            <w:tcW w:type="dxa" w:w="1100"/>
            <w:shd w:fill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 PnL</w:t>
            </w:r>
          </w:p>
        </w:tc>
        <w:tc>
          <w:tcPr>
            <w:tcW w:type="dxa" w:w="1000"/>
            <w:shd w:fill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  <w:tc>
          <w:tcPr>
            <w:tcW w:type="dxa" w:w="1000"/>
            <w:shd w:fill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 Size</w:t>
            </w:r>
          </w:p>
        </w:tc>
        <w:tc>
          <w:tcPr>
            <w:tcW w:type="dxa" w:w="1200"/>
            <w:shd w:fill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Profit Factor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sz w:val="19"/>
                <w:szCs w:val="19"/>
              </w:rPr>
              <w:t xml:space="preserve">Extreme Fear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9"/>
                <w:szCs w:val="19"/>
              </w:rPr>
              <w:t xml:space="preserve">21,400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9"/>
                <w:szCs w:val="19"/>
              </w:rPr>
              <w:t xml:space="preserve">76.2%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sz w:val="19"/>
                <w:szCs w:val="19"/>
              </w:rPr>
              <w:t xml:space="preserve">$34.54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>$739K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9"/>
                <w:szCs w:val="19"/>
              </w:rPr>
              <w:t xml:space="preserve">$114M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9"/>
                <w:szCs w:val="19"/>
              </w:rPr>
              <w:t xml:space="preserve">$5,350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9"/>
                <w:szCs w:val="19"/>
              </w:rPr>
              <w:t xml:space="preserve">2.16</w:t>
            </w:r>
          </w:p>
        </w:tc>
      </w:tr>
      <w:tr>
        <w:tc>
          <w:tcPr>
            <w:tcW w:type="dxa" w:w="1600"/>
            <w:shd w:fill="F1F5F9" w:val="clear"/>
          </w:tcPr>
          <w:p>
            <w:r>
              <w:rPr>
                <w:sz w:val="19"/>
                <w:szCs w:val="19"/>
              </w:rPr>
              <w:t xml:space="preserve">Fear</w:t>
            </w:r>
          </w:p>
        </w:tc>
        <w:tc>
          <w:tcPr>
            <w:tcW w:type="dxa" w:w="1000"/>
            <w:shd w:fill="F1F5F9" w:val="clear"/>
          </w:tcPr>
          <w:p>
            <w:r>
              <w:rPr>
                <w:sz w:val="19"/>
                <w:szCs w:val="19"/>
              </w:rPr>
              <w:t xml:space="preserve">61,837</w:t>
            </w:r>
          </w:p>
        </w:tc>
        <w:tc>
          <w:tcPr>
            <w:tcW w:type="dxa" w:w="1000"/>
            <w:shd w:fill="F1F5F9" w:val="clear"/>
          </w:tcPr>
          <w:p>
            <w:r>
              <w:rPr>
                <w:sz w:val="19"/>
                <w:szCs w:val="19"/>
              </w:rPr>
              <w:t xml:space="preserve">87.3%</w:t>
            </w:r>
          </w:p>
        </w:tc>
        <w:tc>
          <w:tcPr>
            <w:tcW w:type="dxa" w:w="1300"/>
            <w:shd w:fill="F1F5F9" w:val="clear"/>
          </w:tcPr>
          <w:p>
            <w:r>
              <w:rPr>
                <w:sz w:val="19"/>
                <w:szCs w:val="19"/>
              </w:rPr>
              <w:t xml:space="preserve">$54.29</w:t>
            </w:r>
          </w:p>
        </w:tc>
        <w:tc>
          <w:tcPr>
            <w:tcW w:type="dxa" w:w="1100"/>
            <w:shd w:fill="F1F5F9" w:val="clear"/>
          </w:tcPr>
          <w:p>
            <w:r>
              <w:rPr>
                <w:sz w:val="19"/>
                <w:szCs w:val="19"/>
              </w:rPr>
              <w:t xml:space="preserve">$3.36M</w:t>
            </w:r>
          </w:p>
        </w:tc>
        <w:tc>
          <w:tcPr>
            <w:tcW w:type="dxa" w:w="1000"/>
            <w:shd w:fill="F1F5F9" w:val="clear"/>
          </w:tcPr>
          <w:p>
            <w:r>
              <w:rPr>
                <w:sz w:val="19"/>
                <w:szCs w:val="19"/>
              </w:rPr>
              <w:t xml:space="preserve">$483M</w:t>
            </w:r>
          </w:p>
        </w:tc>
        <w:tc>
          <w:tcPr>
            <w:tcW w:type="dxa" w:w="1000"/>
            <w:shd w:fill="F1F5F9" w:val="clear"/>
          </w:tcPr>
          <w:p>
            <w:r>
              <w:rPr>
                <w:sz w:val="19"/>
                <w:szCs w:val="19"/>
              </w:rPr>
              <w:t xml:space="preserve">$7,816</w:t>
            </w:r>
          </w:p>
        </w:tc>
        <w:tc>
          <w:tcPr>
            <w:tcW w:type="dxa" w:w="1200"/>
            <w:shd w:fill="F1F5F9" w:val="clear"/>
          </w:tcPr>
          <w:p>
            <w:r>
              <w:rPr>
                <w:sz w:val="19"/>
                <w:szCs w:val="19"/>
              </w:rPr>
              <w:t xml:space="preserve">6.66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sz w:val="19"/>
                <w:szCs w:val="19"/>
              </w:rPr>
              <w:t xml:space="preserve">Neutral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9"/>
                <w:szCs w:val="19"/>
              </w:rPr>
              <w:t xml:space="preserve">37,686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9"/>
                <w:szCs w:val="19"/>
              </w:rPr>
              <w:t xml:space="preserve">82.4%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sz w:val="19"/>
                <w:szCs w:val="19"/>
              </w:rPr>
              <w:t xml:space="preserve">$34.31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>$1.29M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9"/>
                <w:szCs w:val="19"/>
              </w:rPr>
              <w:t xml:space="preserve">$180M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9"/>
                <w:szCs w:val="19"/>
              </w:rPr>
              <w:t xml:space="preserve">$4,783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9"/>
                <w:szCs w:val="19"/>
              </w:rPr>
              <w:t xml:space="preserve">4.32</w:t>
            </w:r>
          </w:p>
        </w:tc>
      </w:tr>
      <w:tr>
        <w:tc>
          <w:tcPr>
            <w:tcW w:type="dxa" w:w="1600"/>
            <w:shd w:fill="F1F5F9" w:val="clear"/>
          </w:tcPr>
          <w:p>
            <w:r>
              <w:rPr>
                <w:sz w:val="19"/>
                <w:szCs w:val="19"/>
              </w:rPr>
              <w:t xml:space="preserve">Greed</w:t>
            </w:r>
          </w:p>
        </w:tc>
        <w:tc>
          <w:tcPr>
            <w:tcW w:type="dxa" w:w="1000"/>
            <w:shd w:fill="F1F5F9" w:val="clear"/>
          </w:tcPr>
          <w:p>
            <w:r>
              <w:rPr>
                <w:sz w:val="19"/>
                <w:szCs w:val="19"/>
              </w:rPr>
              <w:t xml:space="preserve">50,303</w:t>
            </w:r>
          </w:p>
        </w:tc>
        <w:tc>
          <w:tcPr>
            <w:tcW w:type="dxa" w:w="1000"/>
            <w:shd w:fill="F1F5F9" w:val="clear"/>
          </w:tcPr>
          <w:p>
            <w:r>
              <w:rPr>
                <w:sz w:val="19"/>
                <w:szCs w:val="19"/>
              </w:rPr>
              <w:t xml:space="preserve">76.9%</w:t>
            </w:r>
          </w:p>
        </w:tc>
        <w:tc>
          <w:tcPr>
            <w:tcW w:type="dxa" w:w="1300"/>
            <w:shd w:fill="F1F5F9" w:val="clear"/>
          </w:tcPr>
          <w:p>
            <w:r>
              <w:rPr>
                <w:sz w:val="19"/>
                <w:szCs w:val="19"/>
              </w:rPr>
              <w:t xml:space="preserve">$42.74</w:t>
            </w:r>
          </w:p>
        </w:tc>
        <w:tc>
          <w:tcPr>
            <w:tcW w:type="dxa" w:w="1100"/>
            <w:shd w:fill="F1F5F9" w:val="clear"/>
          </w:tcPr>
          <w:p>
            <w:r>
              <w:rPr>
                <w:sz w:val="19"/>
                <w:szCs w:val="19"/>
              </w:rPr>
              <w:t xml:space="preserve">$2.15M</w:t>
            </w:r>
          </w:p>
        </w:tc>
        <w:tc>
          <w:tcPr>
            <w:tcW w:type="dxa" w:w="1000"/>
            <w:shd w:fill="F1F5F9" w:val="clear"/>
          </w:tcPr>
          <w:p>
            <w:r>
              <w:rPr>
                <w:sz w:val="19"/>
                <w:szCs w:val="19"/>
              </w:rPr>
              <w:t xml:space="preserve">$289M</w:t>
            </w:r>
          </w:p>
        </w:tc>
        <w:tc>
          <w:tcPr>
            <w:tcW w:type="dxa" w:w="1000"/>
            <w:shd w:fill="F1F5F9" w:val="clear"/>
          </w:tcPr>
          <w:p>
            <w:r>
              <w:rPr>
                <w:sz w:val="19"/>
                <w:szCs w:val="19"/>
              </w:rPr>
              <w:t xml:space="preserve">$5,737</w:t>
            </w:r>
          </w:p>
        </w:tc>
        <w:tc>
          <w:tcPr>
            <w:tcW w:type="dxa" w:w="1200"/>
            <w:shd w:fill="F1F5F9" w:val="clear"/>
          </w:tcPr>
          <w:p>
            <w:r>
              <w:rPr>
                <w:sz w:val="19"/>
                <w:szCs w:val="19"/>
              </w:rPr>
              <w:t xml:space="preserve">3.03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sz w:val="19"/>
                <w:szCs w:val="19"/>
              </w:rPr>
              <w:t xml:space="preserve">Extreme Greed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9"/>
                <w:szCs w:val="19"/>
              </w:rPr>
              <w:t xml:space="preserve">39,992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9"/>
                <w:szCs w:val="19"/>
              </w:rPr>
              <w:t xml:space="preserve">89.2%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sz w:val="19"/>
                <w:szCs w:val="19"/>
              </w:rPr>
              <w:t xml:space="preserve">$67.89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>$2.72M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9"/>
                <w:szCs w:val="19"/>
              </w:rPr>
              <w:t xml:space="preserve">$125M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9"/>
                <w:szCs w:val="19"/>
              </w:rPr>
              <w:t xml:space="preserve">$3,112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9"/>
                <w:szCs w:val="19"/>
              </w:rPr>
              <w:t xml:space="preserve">11.03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/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Key observations: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1"/>
          <w:szCs w:val="21"/>
        </w:rPr>
        <w:t xml:space="preserve">Best regimes: Extreme Greed (89.2% win rate, profit factor 11.0) and Fear (87.3% win rate, profit factor 6.7) produced the strongest and most consistent trader outcomes.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1"/>
          <w:szCs w:val="21"/>
        </w:rPr>
        <w:t xml:space="preserve">Weakest regimes: Extreme Fear (76.2%) and plain Greed (76.9%) had the lowest win rates and profit factors — both roughly a third of the Extreme Greed figure.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1"/>
          <w:szCs w:val="21"/>
        </w:rPr>
        <w:t xml:space="preserve">Fear days saw the largest average position size ($7,816) and by far the highest trading volume ($483M, ~35% of total volume) despite being only one of five categories — traders lean in hardest during fear, and it pays off on average.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1"/>
          <w:szCs w:val="21"/>
        </w:rPr>
        <w:t xml:space="preserve">Extreme Greed trades are the smallest on average ($3,112) yet the most reliably profitable, suggesting disciplined, smaller-size trend-following rather than reckless leverage-chasing at euphoric tops.</w:t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b/>
          <w:bCs/>
          <w:color w:val="1E3A5F"/>
          <w:sz w:val="30"/>
          <w:szCs w:val="30"/>
        </w:rPr>
        <w:t xml:space="preserve">3. Sentiment vs. Trading Activity Over Time</w:t>
      </w:r>
    </w:p>
    <w:p>
      <w:pPr>
        <w:spacing w:after="250" w:before="150"/>
        <w:jc w:val="center"/>
      </w:pPr>
      <w:r>
        <w:drawing>
          <wp:inline distT="0" distB="0" distL="0" distR="0">
            <wp:extent cx="5905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7280"/>
          <w:sz w:val="18"/>
          <w:szCs w:val="18"/>
        </w:rPr>
        <w:t xml:space="preserve">Figure 2: 7-day rolling Fear &amp; Greed Index (blue, left axis) vs 7-day rolling daily realized PnL (red, right axis).</w:t>
      </w:r>
    </w:p>
    <w:p>
      <w:pPr>
        <w:spacing w:after="160" w:line="300"/>
      </w:pPr>
      <w:r>
        <w:rPr>
          <w:sz w:val="21"/>
          <w:szCs w:val="21"/>
        </w:rPr>
        <w:t xml:space="preserve">Daily-level correlations between the sentiment score and activity metrics are consistently negative: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200"/>
      </w:tblGrid>
      <w:tr>
        <w:trPr>
          <w:tblHeader/>
        </w:trPr>
        <w:tc>
          <w:tcPr>
            <w:tcW w:type="dxa" w:w="5000"/>
            <w:shd w:fill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200"/>
            <w:shd w:fill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Correlation with Sentiment Value</w:t>
            </w:r>
          </w:p>
        </w:tc>
      </w:tr>
      <w:tr>
        <w:tc>
          <w:tcPr>
            <w:tcW w:type="dxa" w:w="5000"/>
            <w:shd w:fill="FFFFFF" w:val="clear"/>
          </w:tcPr>
          <w:p>
            <w:r>
              <w:rPr>
                <w:sz w:val="19"/>
                <w:szCs w:val="19"/>
              </w:rPr>
              <w:t xml:space="preserve">Daily trade count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19"/>
                <w:szCs w:val="19"/>
              </w:rPr>
              <w:t xml:space="preserve">-0.245</w:t>
            </w:r>
          </w:p>
        </w:tc>
      </w:tr>
      <w:tr>
        <w:tc>
          <w:tcPr>
            <w:tcW w:type="dxa" w:w="5000"/>
            <w:shd w:fill="F1F5F9" w:val="clear"/>
          </w:tcPr>
          <w:p>
            <w:r>
              <w:rPr>
                <w:sz w:val="19"/>
                <w:szCs w:val="19"/>
              </w:rPr>
              <w:t xml:space="preserve">Daily volume</w:t>
            </w:r>
          </w:p>
        </w:tc>
        <w:tc>
          <w:tcPr>
            <w:tcW w:type="dxa" w:w="4200"/>
            <w:shd w:fill="F1F5F9" w:val="clear"/>
          </w:tcPr>
          <w:p>
            <w:r>
              <w:rPr>
                <w:sz w:val="19"/>
                <w:szCs w:val="19"/>
              </w:rPr>
              <w:t xml:space="preserve">-0.264</w:t>
            </w:r>
          </w:p>
        </w:tc>
      </w:tr>
      <w:tr>
        <w:tc>
          <w:tcPr>
            <w:tcW w:type="dxa" w:w="5000"/>
            <w:shd w:fill="FFFFFF" w:val="clear"/>
          </w:tcPr>
          <w:p>
            <w:r>
              <w:rPr>
                <w:sz w:val="19"/>
                <w:szCs w:val="19"/>
              </w:rPr>
              <w:t xml:space="preserve">Active accounts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19"/>
                <w:szCs w:val="19"/>
              </w:rPr>
              <w:t xml:space="preserve">-0.278</w:t>
            </w:r>
          </w:p>
        </w:tc>
      </w:tr>
      <w:tr>
        <w:tc>
          <w:tcPr>
            <w:tcW w:type="dxa" w:w="5000"/>
            <w:shd w:fill="F1F5F9" w:val="clear"/>
          </w:tcPr>
          <w:p>
            <w:r>
              <w:rPr>
                <w:sz w:val="19"/>
                <w:szCs w:val="19"/>
              </w:rPr>
              <w:t xml:space="preserve">Daily total PnL</w:t>
            </w:r>
          </w:p>
        </w:tc>
        <w:tc>
          <w:tcPr>
            <w:tcW w:type="dxa" w:w="4200"/>
            <w:shd w:fill="F1F5F9" w:val="clear"/>
          </w:tcPr>
          <w:p>
            <w:r>
              <w:rPr>
                <w:sz w:val="19"/>
                <w:szCs w:val="19"/>
              </w:rPr>
              <w:t xml:space="preserve">-0.083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/>
      </w:r>
    </w:p>
    <w:p>
      <w:pPr>
        <w:spacing w:after="160" w:line="300"/>
      </w:pPr>
      <w:r>
        <w:rPr>
          <w:sz w:val="21"/>
          <w:szCs w:val="21"/>
        </w:rPr>
        <w:t xml:space="preserve">Trading activity (volume, trade count, and number of active accounts) rises as sentiment falls toward Fear/Extreme Fear. This is consistent with fear-driven markets prompting more frequent repositioning, while daily aggregate PnL shows only a weak relationship with sentiment — the strong pattern only emerges once regimes are separated into the five discrete buckets (Section 2), because the relationship is non-linear (W-shaped) rather than a simple trend.</w:t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b/>
          <w:bCs/>
          <w:color w:val="1E3A5F"/>
          <w:sz w:val="30"/>
          <w:szCs w:val="30"/>
        </w:rPr>
        <w:t xml:space="preserve">4. Risk Behavior: Profit Factor, Direction Bias &amp; Tail Events</w:t>
      </w:r>
    </w:p>
    <w:p>
      <w:pPr>
        <w:spacing w:after="250" w:before="150"/>
        <w:jc w:val="center"/>
      </w:pPr>
      <w:r>
        <w:drawing>
          <wp:inline distT="0" distB="0" distL="0" distR="0">
            <wp:extent cx="5905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7280"/>
          <w:sz w:val="18"/>
          <w:szCs w:val="18"/>
        </w:rPr>
        <w:t xml:space="preserve">Figure 3: Profit factor (left) and Buy/Sell trade mix (right) by sentiment regime.</w:t>
      </w:r>
    </w:p>
    <w:p>
      <w:pPr>
        <w:spacing w:after="160" w:line="300"/>
      </w:pPr>
      <w:r>
        <w:rPr>
          <w:sz w:val="21"/>
          <w:szCs w:val="21"/>
        </w:rPr>
        <w:t xml:space="preserve">The profit factor chart sharpens the same W-shaped pattern seen in win rates: Extreme Greed (11.0) and Fear (6.7) are dramatically more favorable than Extreme Fear (2.2) or Greed (3.0), meaning that for every $1 lost in the weak regimes, only $2–3 was won back on average, versus $6–11 in the strong regimes.</w:t>
      </w:r>
    </w:p>
    <w:p>
      <w:pPr>
        <w:spacing w:after="160" w:line="300"/>
      </w:pPr>
      <w:r>
        <w:rPr>
          <w:sz w:val="21"/>
          <w:szCs w:val="21"/>
        </w:rPr>
        <w:t xml:space="preserve">Sell-side trades modestly increase as sentiment shifts from Extreme Fear (48.9% sell) to Extreme Greed (55.1% sell) — consistent with traders taking profit / fading strength into greedy markets and buying more into fear.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Tail-risk events are concentrated in Greed conditions: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1"/>
          <w:szCs w:val="21"/>
        </w:rPr>
        <w:t xml:space="preserve">The single largest loss in the dataset (–$117,990 on ETH) occurred on a Greed day (Dec 6, 2024).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1"/>
          <w:szCs w:val="21"/>
        </w:rPr>
        <w:t xml:space="preserve">A single account lost over $184,000 across four TRUMP trades — including the dataset's only forced liquidation — all on one Greed day (Apr 23, 2025), a textbook overconfidence/over-leverage blowup.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1"/>
          <w:szCs w:val="21"/>
        </w:rPr>
        <w:t xml:space="preserve">By contrast, six of the ten largest single-trade gains occurred during Fear or Extreme Fear, reinforcing that contrarian entries during fear were disproportionately rewarded.</w:t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b/>
          <w:bCs/>
          <w:color w:val="1E3A5F"/>
          <w:sz w:val="30"/>
          <w:szCs w:val="30"/>
        </w:rPr>
        <w:t xml:space="preserve">5. Trader &amp; Market Composition</w:t>
      </w:r>
    </w:p>
    <w:p>
      <w:pPr>
        <w:spacing w:after="160" w:line="300"/>
      </w:pPr>
      <w:r>
        <w:rPr>
          <w:sz w:val="21"/>
          <w:szCs w:val="21"/>
        </w:rPr>
        <w:t xml:space="preserve">32 unique accounts traded 246 different coins. BTC alone accounted for $644M of the ~$1.19B total volume (54%), followed by HYPE ($142M), SOL ($125M) and ETH ($118M) — the market is heavily BTC-led with a long tail of altcoin speculation.</w:t>
      </w:r>
    </w:p>
    <w:p>
      <w:pPr>
        <w:spacing w:after="160" w:line="300"/>
      </w:pPr>
      <w:r>
        <w:rPr>
          <w:sz w:val="21"/>
          <w:szCs w:val="21"/>
        </w:rPr>
        <w:t xml:space="preserve">Profitability was broad but not universal: of the 32 accounts, between 21 and 27 were net-profitable in any given sentiment regime (roughly 65–85%), with Greed and Fear regimes having the highest count of profitable accounts (27 and 26) and Extreme Fear/Neutral the lowest (21 each) — again pointing to Extreme Fear and (to a lesser extent) plain Greed as the regimes where more traders struggle.</w:t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b/>
          <w:bCs/>
          <w:color w:val="1E3A5F"/>
          <w:sz w:val="30"/>
          <w:szCs w:val="30"/>
        </w:rPr>
        <w:t xml:space="preserve">6. Strategic Recommendations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1"/>
          <w:szCs w:val="21"/>
        </w:rPr>
        <w:t xml:space="preserve">Lean into Fear, size normally into Extreme Fear: Fear days combine high win rate, high profit factor, and the largest average position sizes — the data supports treating Fear as a favorable, not merely 'brave', entry regime. Extreme Fear, however, has the weakest profit factor of all regimes (2.16) — capitulation days warrant smaller size and wider stops, not maximum conviction.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1"/>
          <w:szCs w:val="21"/>
        </w:rPr>
        <w:t xml:space="preserve">Treat 'Greed' (non-extreme) as the highest-risk regime for overconfidence: it hosts the largest single loss and the only liquidation in the dataset, alongside a below-average win rate. Position-size discipline and stricter stop-losses are most valuable specifically here — not at extreme euphoria, where traders in this dataset were actually more disciplined (smallest average size, highest win rate).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1"/>
          <w:szCs w:val="21"/>
        </w:rPr>
        <w:t xml:space="preserve">Use Extreme Greed for trend-following with tight risk: the 89.2% win rate and 11.0 profit factor with the smallest average size suggest a 'ride the trend, take profit fast' approach is working well and should be preserved, not abandoned, as euphoria builds.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1"/>
          <w:szCs w:val="21"/>
        </w:rPr>
        <w:t xml:space="preserve">Watch activity spikes as a contrarian signal: since trade count and active-account participation rise as sentiment falls, an unusual spike in trading activity may itself be a leading indicator of a fear regime, useful for tactical positioning ahead of the official index update.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1"/>
          <w:szCs w:val="21"/>
        </w:rPr>
        <w:t xml:space="preserve">Add per-account leverage/position-limit monitoring: a small number of accounts drove the largest tail losses. A concentration or leverage-limit alert during Greed conditions specifically would likely have prevented the worst drawdown event in this dataset.</w:t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b/>
          <w:bCs/>
          <w:color w:val="1E3A5F"/>
          <w:sz w:val="30"/>
          <w:szCs w:val="30"/>
        </w:rPr>
        <w:t xml:space="preserve">7. Methodology Notes &amp; Limitations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1"/>
          <w:szCs w:val="21"/>
        </w:rPr>
        <w:t xml:space="preserve">Closed PnL of exactly $0 was treated as a position-opening event (not a losing trade) and excluded from win-rate/profit-factor calculations; including these zero rows in an 'all trades' PnL sum is still valid and shown separately in Section 2.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1"/>
          <w:szCs w:val="21"/>
        </w:rPr>
        <w:t xml:space="preserve">Only one explicit liquidation event is tagged in the 'Direction' field; actual forced-close events may be under-represented if the exchange records them under generic Close Long/Close Short entries.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1"/>
          <w:szCs w:val="21"/>
        </w:rPr>
        <w:t xml:space="preserve">The dataset covers 32 accounts only — likely proprietary or invited trader wallets rather than the full Hyperliquid user base — so findings describe this cohort's behavior, not the broader market.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1"/>
          <w:szCs w:val="21"/>
        </w:rPr>
        <w:t xml:space="preserve">Correlation figures in Section 3 are daily-level Pearson correlations on aggregated data; the discrete-regime breakdown in Section 2 is the more informative view given the non-linear relationship observed.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8ed974b2dbc55193480537250dd1f4dd37aebbe.png"/><Relationship Id="rId8" Type="http://schemas.openxmlformats.org/officeDocument/2006/relationships/image" Target="media/0a36538af4e57d7f7d98c51735d367fa0d63343a.png"/><Relationship Id="rId9" Type="http://schemas.openxmlformats.org/officeDocument/2006/relationships/image" Target="media/5b3e99b27984f1b97d45419327929c2d7e0ad5d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2026-07-01T05:36:53.946Z</dcterms:created>
  <dcterms:modified xsi:type="dcterms:W3CDTF">2026-07-01T05:36:53.946Z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