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4C20" w14:textId="0106DD21" w:rsidR="00E40D8C" w:rsidRDefault="00E40D8C" w:rsidP="00E40D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M. Gayathri</w:t>
      </w:r>
    </w:p>
    <w:p w14:paraId="1B169899" w14:textId="0BDBC30C" w:rsidR="00E40D8C" w:rsidRPr="00E40D8C" w:rsidRDefault="00E40D8C" w:rsidP="00E40D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0D8C">
        <w:rPr>
          <w:rFonts w:ascii="Times New Roman" w:hAnsi="Times New Roman" w:cs="Times New Roman"/>
          <w:b/>
          <w:bCs/>
          <w:sz w:val="24"/>
          <w:szCs w:val="24"/>
        </w:rPr>
        <w:t>Task 4: Summary Report</w:t>
      </w:r>
    </w:p>
    <w:p w14:paraId="4CE8ED10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D8C">
        <w:rPr>
          <w:rFonts w:ascii="Times New Roman" w:hAnsi="Times New Roman" w:cs="Times New Roman"/>
          <w:b/>
          <w:bCs/>
          <w:sz w:val="24"/>
          <w:szCs w:val="24"/>
        </w:rPr>
        <w:t>Key EDA Findings (with visualization)</w:t>
      </w:r>
    </w:p>
    <w:p w14:paraId="61887D75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 xml:space="preserve">Exploratory Data Analysis of the curated dataset (42 molecules) revealed clear differences between active and inactive compounds. The pIC50 distribution histogram showed a reasonable spread of activity values, supporting robust downstream analysis. Bar plots indicated a balanced representation of bioactivity classes. Boxplots and scatter plots (MW vs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LogP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) highlighted that active compounds tend to occupy a distinct chemical space, particularly in terms of molecular weight and lipophilicity. Mann–Whitney U statistical tests confirmed that pIC50, Molecular Weight (MW), and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LogP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 differ significantly between active and inactive molecules (p &lt; 0.05), while hydrogen bond donors and acceptors were not statistically significant.</w:t>
      </w:r>
    </w:p>
    <w:p w14:paraId="14E32C78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D8C">
        <w:rPr>
          <w:rFonts w:ascii="Times New Roman" w:hAnsi="Times New Roman" w:cs="Times New Roman"/>
          <w:b/>
          <w:bCs/>
          <w:sz w:val="24"/>
          <w:szCs w:val="24"/>
        </w:rPr>
        <w:t>Lipinski and 2D Descriptor Statistics</w:t>
      </w:r>
    </w:p>
    <w:p w14:paraId="765BD3F3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 xml:space="preserve">Lipinski descriptors (MW,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LogP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NumHDonors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NumHAcceptors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) were calculated to assess drug-likeness. Most compounds complied with Lipinski’s Rule of Five, indicating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favorable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 oral drug-like properties.</w:t>
      </w:r>
    </w:p>
    <w:p w14:paraId="3BDEF71B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 xml:space="preserve">In addition, 1,444 two-dimensional (2D) molecular descriptors were generated, capturing topological, constitutional, and physicochemical properties of the molecules, providing a rich feature space for QSAR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>.</w:t>
      </w:r>
    </w:p>
    <w:p w14:paraId="58D75BCE" w14:textId="77777777" w:rsidR="00E40D8C" w:rsidRPr="00E40D8C" w:rsidRDefault="00E40D8C" w:rsidP="00E40D8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>Fingerprint Calculation: Tool and Method</w:t>
      </w:r>
    </w:p>
    <w:p w14:paraId="1C83FF2D" w14:textId="77777777" w:rsidR="00E40D8C" w:rsidRPr="00E40D8C" w:rsidRDefault="00E40D8C" w:rsidP="00E40D8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>Fingerprint type used: PubChem fingerprints</w:t>
      </w:r>
    </w:p>
    <w:p w14:paraId="6E2D5A33" w14:textId="77777777" w:rsidR="00E40D8C" w:rsidRPr="00E40D8C" w:rsidRDefault="00E40D8C" w:rsidP="00E40D8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 xml:space="preserve">Tool/method: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PaDELPy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 (Python wrapper for </w:t>
      </w:r>
      <w:proofErr w:type="spellStart"/>
      <w:r w:rsidRPr="00E40D8C">
        <w:rPr>
          <w:rFonts w:ascii="Times New Roman" w:hAnsi="Times New Roman" w:cs="Times New Roman"/>
          <w:sz w:val="24"/>
          <w:szCs w:val="24"/>
        </w:rPr>
        <w:t>PaDEL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>-Descriptor)</w:t>
      </w:r>
    </w:p>
    <w:p w14:paraId="20F7C4C2" w14:textId="77777777" w:rsidR="00E40D8C" w:rsidRPr="00E40D8C" w:rsidRDefault="00E40D8C" w:rsidP="00E40D8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>Number of fingerprint features: 881 bits per molecule</w:t>
      </w:r>
    </w:p>
    <w:p w14:paraId="38686556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0D8C">
        <w:rPr>
          <w:rFonts w:ascii="Times New Roman" w:hAnsi="Times New Roman" w:cs="Times New Roman"/>
          <w:b/>
          <w:bCs/>
          <w:sz w:val="24"/>
          <w:szCs w:val="24"/>
        </w:rPr>
        <w:t>Rationale for Method Selection</w:t>
      </w:r>
    </w:p>
    <w:p w14:paraId="7D53498C" w14:textId="77777777" w:rsidR="00E40D8C" w:rsidRPr="00E40D8C" w:rsidRDefault="00E40D8C" w:rsidP="00E40D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0D8C">
        <w:rPr>
          <w:rFonts w:ascii="Times New Roman" w:hAnsi="Times New Roman" w:cs="Times New Roman"/>
          <w:sz w:val="24"/>
          <w:szCs w:val="24"/>
        </w:rPr>
        <w:t>PaDELPy</w:t>
      </w:r>
      <w:proofErr w:type="spellEnd"/>
      <w:r w:rsidRPr="00E40D8C">
        <w:rPr>
          <w:rFonts w:ascii="Times New Roman" w:hAnsi="Times New Roman" w:cs="Times New Roman"/>
          <w:sz w:val="24"/>
          <w:szCs w:val="24"/>
        </w:rPr>
        <w:t xml:space="preserve"> was selected because it is:</w:t>
      </w:r>
    </w:p>
    <w:p w14:paraId="5B37E00A" w14:textId="77777777" w:rsidR="00E40D8C" w:rsidRPr="00E40D8C" w:rsidRDefault="00E40D8C" w:rsidP="00E40D8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>Well-established and reproducible in cheminformatics research</w:t>
      </w:r>
    </w:p>
    <w:p w14:paraId="70D4A712" w14:textId="53C92F7D" w:rsidR="00E40D8C" w:rsidRPr="00E40D8C" w:rsidRDefault="00E40D8C" w:rsidP="00E40D8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>Capable of generating standardized PubChem fingerprints, which are widely used and comparable across studies</w:t>
      </w:r>
    </w:p>
    <w:p w14:paraId="291A45D7" w14:textId="77777777" w:rsidR="00E40D8C" w:rsidRPr="00E40D8C" w:rsidRDefault="00E40D8C" w:rsidP="00E40D8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t>Easily integrated with Python-based ML workflows</w:t>
      </w:r>
    </w:p>
    <w:p w14:paraId="5EC66F0E" w14:textId="4FC179EE" w:rsidR="00742FAD" w:rsidRPr="00E40D8C" w:rsidRDefault="00E40D8C" w:rsidP="00E40D8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0D8C">
        <w:rPr>
          <w:rFonts w:ascii="Times New Roman" w:hAnsi="Times New Roman" w:cs="Times New Roman"/>
          <w:sz w:val="24"/>
          <w:szCs w:val="24"/>
        </w:rPr>
        <w:lastRenderedPageBreak/>
        <w:t>Suitable for small-to-medium datasets, providing high-dimensional binary features that effectively encode structural information for QSAR and classification models</w:t>
      </w:r>
    </w:p>
    <w:sectPr w:rsidR="00742FAD" w:rsidRPr="00E40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968F8"/>
    <w:multiLevelType w:val="hybridMultilevel"/>
    <w:tmpl w:val="9CFCE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2734B"/>
    <w:multiLevelType w:val="hybridMultilevel"/>
    <w:tmpl w:val="84BCC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286331">
    <w:abstractNumId w:val="0"/>
  </w:num>
  <w:num w:numId="2" w16cid:durableId="48478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1B"/>
    <w:rsid w:val="00055CDC"/>
    <w:rsid w:val="00742FAD"/>
    <w:rsid w:val="009E641B"/>
    <w:rsid w:val="00E40D8C"/>
    <w:rsid w:val="00FE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09F6"/>
  <w15:chartTrackingRefBased/>
  <w15:docId w15:val="{666FFF1E-61BE-4E9C-8D53-6A805EB2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</dc:creator>
  <cp:keywords/>
  <dc:description/>
  <cp:lastModifiedBy>Gayathri M</cp:lastModifiedBy>
  <cp:revision>2</cp:revision>
  <dcterms:created xsi:type="dcterms:W3CDTF">2026-02-22T11:21:00Z</dcterms:created>
  <dcterms:modified xsi:type="dcterms:W3CDTF">2026-02-22T11:22:00Z</dcterms:modified>
</cp:coreProperties>
</file>