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Cambria" w:cs="Cambria" w:eastAsia="Cambria" w:hAnsi="Cambria"/>
          <w:color w:val="000000"/>
          <w:sz w:val="48"/>
          <w:szCs w:val="48"/>
        </w:rPr>
      </w:pPr>
      <w:r w:rsidDel="00000000" w:rsidR="00000000" w:rsidRPr="00000000">
        <w:rPr>
          <w:rFonts w:ascii="Cambria" w:cs="Cambria" w:eastAsia="Cambria" w:hAnsi="Cambria"/>
          <w:color w:val="000000"/>
          <w:sz w:val="48"/>
          <w:szCs w:val="48"/>
          <w:rtl w:val="0"/>
        </w:rPr>
        <w:t xml:space="preserve">Avery Carlock</w:t>
      </w:r>
    </w:p>
    <w:p w:rsidR="00000000" w:rsidDel="00000000" w:rsidP="00000000" w:rsidRDefault="00000000" w:rsidRPr="00000000" w14:paraId="00000001">
      <w:pPr>
        <w:spacing w:after="0" w:line="240" w:lineRule="auto"/>
        <w:contextualSpacing w:val="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2515 Sweeping Meadows Ln.    |    Cedar Hill, Texas 75104      |     (864) 525-0828     |     </w:t>
      </w:r>
      <w:hyperlink r:id="rId6">
        <w:r w:rsidDel="00000000" w:rsidR="00000000" w:rsidRPr="00000000">
          <w:rPr>
            <w:rFonts w:ascii="Cambria" w:cs="Cambria" w:eastAsia="Cambria" w:hAnsi="Cambria"/>
            <w:color w:val="0000ff"/>
            <w:u w:val="single"/>
            <w:rtl w:val="0"/>
          </w:rPr>
          <w:t xml:space="preserve">averycarlock@gmail.com</w:t>
        </w:r>
      </w:hyperlink>
      <w:r w:rsidDel="00000000" w:rsidR="00000000" w:rsidRPr="00000000">
        <w:rPr>
          <w:rtl w:val="0"/>
        </w:rPr>
      </w:r>
    </w:p>
    <w:p w:rsidR="00000000" w:rsidDel="00000000" w:rsidP="00000000" w:rsidRDefault="00000000" w:rsidRPr="00000000" w14:paraId="00000002">
      <w:pPr>
        <w:spacing w:before="0" w:line="240" w:lineRule="auto"/>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3">
      <w:pPr>
        <w:pStyle w:val="Title"/>
        <w:contextualSpacing w:val="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Professional Objective</w:t>
      </w:r>
    </w:p>
    <w:p w:rsidR="00000000" w:rsidDel="00000000" w:rsidP="00000000" w:rsidRDefault="00000000" w:rsidRPr="00000000" w14:paraId="00000004">
      <w:pPr>
        <w:spacing w:after="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To obtain a position as a Certified Surgical Technologist and Central Sterile Processing Tech while continuing to learn and excel in the medical field. Aspires to improve overall efficiency for operating room staff members by applying thorough understanding, haste, and critical thinking while ensuring each patient experiences the best quality care.  </w:t>
      </w:r>
    </w:p>
    <w:p w:rsidR="00000000" w:rsidDel="00000000" w:rsidP="00000000" w:rsidRDefault="00000000" w:rsidRPr="00000000" w14:paraId="00000005">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6">
      <w:pPr>
        <w:spacing w:after="0" w:before="0" w:line="240" w:lineRule="auto"/>
        <w:contextualSpacing w:val="0"/>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Education &amp; Certifications </w:t>
      </w:r>
    </w:p>
    <w:p w:rsidR="00000000" w:rsidDel="00000000" w:rsidP="00000000" w:rsidRDefault="00000000" w:rsidRPr="00000000" w14:paraId="00000007">
      <w:pP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Sterile Processing Technician                                                                                                  University of Texas Arlington-2018</w:t>
      </w:r>
    </w:p>
    <w:p w:rsidR="00000000" w:rsidDel="00000000" w:rsidP="00000000" w:rsidRDefault="00000000" w:rsidRPr="00000000" w14:paraId="00000008">
      <w:pP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CSPDT (in progress)                                                                                                                                             CBSPD- 2018-Present</w:t>
      </w:r>
    </w:p>
    <w:p w:rsidR="00000000" w:rsidDel="00000000" w:rsidP="00000000" w:rsidRDefault="00000000" w:rsidRPr="00000000" w14:paraId="00000009">
      <w:pPr>
        <w:spacing w:after="0" w:before="0" w:line="288"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Associate of Applied Science in Surgical Technology</w:t>
        <w:tab/>
        <w:tab/>
        <w:tab/>
        <w:tab/>
        <w:t xml:space="preserve">            Concorde Career College – 2018</w:t>
      </w:r>
    </w:p>
    <w:p w:rsidR="00000000" w:rsidDel="00000000" w:rsidP="00000000" w:rsidRDefault="00000000" w:rsidRPr="00000000" w14:paraId="0000000A">
      <w:pPr>
        <w:spacing w:after="0" w:before="0" w:line="288"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Certified Surgical Technologist [#182378] </w:t>
        <w:tab/>
        <w:t xml:space="preserve"> </w:t>
        <w:tab/>
        <w:tab/>
        <w:tab/>
        <w:tab/>
        <w:tab/>
        <w:tab/>
        <w:t xml:space="preserve">              NBSTSA – 2018</w:t>
      </w:r>
    </w:p>
    <w:p w:rsidR="00000000" w:rsidDel="00000000" w:rsidP="00000000" w:rsidRDefault="00000000" w:rsidRPr="00000000" w14:paraId="0000000B">
      <w:pPr>
        <w:spacing w:after="0" w:before="0" w:line="288"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Basic Life Support Certification</w:t>
        <w:tab/>
        <w:tab/>
        <w:tab/>
        <w:tab/>
        <w:tab/>
        <w:tab/>
        <w:t xml:space="preserve">     American Heart Association – 2018</w:t>
      </w:r>
    </w:p>
    <w:p w:rsidR="00000000" w:rsidDel="00000000" w:rsidP="00000000" w:rsidRDefault="00000000" w:rsidRPr="00000000" w14:paraId="0000000C">
      <w:pPr>
        <w:spacing w:after="0" w:before="0" w:line="288"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Certification in Specialty Robotic Surgery</w:t>
        <w:tab/>
        <w:tab/>
        <w:tab/>
        <w:tab/>
        <w:t xml:space="preserve">                   Di Vinci Surgical Community – 2018</w:t>
      </w:r>
    </w:p>
    <w:p w:rsidR="00000000" w:rsidDel="00000000" w:rsidP="00000000" w:rsidRDefault="00000000" w:rsidRPr="00000000" w14:paraId="0000000D">
      <w:pPr>
        <w:spacing w:after="0" w:before="0" w:line="288"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License in Cosmetology </w:t>
        <w:tab/>
        <w:tab/>
        <w:t xml:space="preserve">               </w:t>
        <w:tab/>
        <w:tab/>
        <w:t xml:space="preserve">            Tint School of Makeup and Cosmetology – 2016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Skills &amp; Attributes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Timeliness • Organization • Attention to detail • Team Player • Equipment Preparation and Troubleshooting • Aseptic Technique • OR Accountability • Sharp Safety • Patient Safety • CSPD/SPD Duties • Materials and Case Cart Management • </w:t>
      </w:r>
      <w:r w:rsidDel="00000000" w:rsidR="00000000" w:rsidRPr="00000000">
        <w:rPr>
          <w:rFonts w:ascii="Cambria" w:cs="Cambria" w:eastAsia="Cambria" w:hAnsi="Cambria"/>
          <w:color w:val="000000"/>
          <w:rtl w:val="0"/>
        </w:rPr>
        <w:t xml:space="preserve">OR setup •  Equipment setup and Operation • Functions efficiently in stressful situations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sz w:val="20"/>
          <w:szCs w:val="20"/>
        </w:rPr>
      </w:pPr>
      <w:r w:rsidDel="00000000" w:rsidR="00000000" w:rsidRPr="00000000">
        <w:rPr>
          <w:rFonts w:ascii="Cambria" w:cs="Cambria" w:eastAsia="Cambria" w:hAnsi="Cambria"/>
          <w:b w:val="1"/>
          <w:color w:val="000000"/>
          <w:sz w:val="26"/>
          <w:szCs w:val="26"/>
          <w:rtl w:val="0"/>
        </w:rPr>
        <w:t xml:space="preserve">Experience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CST/Surgical Technologist Intern</w:t>
        <w:tab/>
        <w:tab/>
        <w:tab/>
        <w:tab/>
        <w:tab/>
        <w:tab/>
        <w:tab/>
        <w:tab/>
        <w:t xml:space="preserve">  </w:t>
      </w:r>
      <w:r w:rsidDel="00000000" w:rsidR="00000000" w:rsidRPr="00000000">
        <w:rPr>
          <w:rFonts w:ascii="Cambria" w:cs="Cambria" w:eastAsia="Cambria" w:hAnsi="Cambria"/>
          <w:color w:val="000000"/>
          <w:rtl w:val="0"/>
        </w:rPr>
        <w:t xml:space="preserve">Dec 2017 – May 2018</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Medical City Fort Worth (Plaza Medical Center) </w:t>
        <w:tab/>
        <w:tab/>
        <w:tab/>
        <w:tab/>
        <w:tab/>
        <w:tab/>
        <w:t xml:space="preserve">      </w:t>
        <w:tab/>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sz w:val="20"/>
          <w:szCs w:val="20"/>
        </w:rPr>
      </w:pPr>
      <w:r w:rsidDel="00000000" w:rsidR="00000000" w:rsidRPr="00000000">
        <w:rPr>
          <w:rFonts w:ascii="Cambria" w:cs="Cambria" w:eastAsia="Cambria" w:hAnsi="Cambria"/>
          <w:color w:val="000000"/>
          <w:rtl w:val="0"/>
        </w:rPr>
        <w:t xml:space="preserve">Fort Worth, Texas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Participated in over 600 hours of clinical externship. First scrubbed in cases ranging from general (Laparoscopic, Robotic and Open) to complex specialties such as Neuro, P. Vasc, GYN, Plastics, Thoracic, Ortho and Robotics.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Proficient in the following specialties including but not limited to General, Neuro, Vascular, Robotics.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Sets up equipment, instruments, and supplies necessary for each procedure based upon surgeons preference.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Creates, observes, and constantly monitors a sterile field in a safe, timely, and efficient manner.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Accurately counts and records all sponges, sharps, and instruments throughout the surgical procedure.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Presented unmatched organization though constant accountability of instruments and maintaining a clean field.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Commended from various staff of the neuro specialty team due to advanced comprehension in the specialty. </w:t>
      </w:r>
    </w:p>
    <w:p w:rsidR="00000000" w:rsidDel="00000000" w:rsidP="00000000" w:rsidRDefault="00000000" w:rsidRPr="00000000" w14:paraId="0000001D">
      <w:pPr>
        <w:spacing w:after="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Cleaned and Disinfected OR suits. </w:t>
      </w:r>
    </w:p>
    <w:p w:rsidR="00000000" w:rsidDel="00000000" w:rsidP="00000000" w:rsidRDefault="00000000" w:rsidRPr="00000000" w14:paraId="0000001E">
      <w:pPr>
        <w:spacing w:after="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Disinfection, Decontamination, and Sterilization of various Surgical Instruments in the CSPD. </w:t>
      </w:r>
    </w:p>
    <w:p w:rsidR="00000000" w:rsidDel="00000000" w:rsidP="00000000" w:rsidRDefault="00000000" w:rsidRPr="00000000" w14:paraId="0000001F">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0">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1">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2">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3">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4">
      <w:pPr>
        <w:spacing w:after="0" w:before="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5">
      <w:pPr>
        <w:spacing w:after="0" w:before="0" w:line="240" w:lineRule="auto"/>
        <w:contextualSpacing w:val="0"/>
        <w:rPr>
          <w:rFonts w:ascii="Cambria" w:cs="Cambria" w:eastAsia="Cambria" w:hAnsi="Cambria"/>
          <w:color w:val="000000"/>
          <w:sz w:val="26"/>
          <w:szCs w:val="26"/>
        </w:rPr>
      </w:pPr>
      <w:r w:rsidDel="00000000" w:rsidR="00000000" w:rsidRPr="00000000">
        <w:rPr>
          <w:rFonts w:ascii="Cambria" w:cs="Cambria" w:eastAsia="Cambria" w:hAnsi="Cambria"/>
          <w:b w:val="1"/>
          <w:color w:val="000000"/>
          <w:sz w:val="26"/>
          <w:szCs w:val="26"/>
          <w:rtl w:val="0"/>
        </w:rPr>
        <w:t xml:space="preserve">Affiliations </w:t>
      </w:r>
      <w:r w:rsidDel="00000000" w:rsidR="00000000" w:rsidRPr="00000000">
        <w:rPr>
          <w:rtl w:val="0"/>
        </w:rPr>
      </w:r>
    </w:p>
    <w:p w:rsidR="00000000" w:rsidDel="00000000" w:rsidP="00000000" w:rsidRDefault="00000000" w:rsidRPr="00000000" w14:paraId="00000026">
      <w:pPr>
        <w:spacing w:after="0"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Association of Surgical Technologists (AST) #182378</w:t>
        <w:tab/>
        <w:tab/>
        <w:tab/>
        <w:tab/>
      </w:r>
    </w:p>
    <w:p w:rsidR="00000000" w:rsidDel="00000000" w:rsidP="00000000" w:rsidRDefault="00000000" w:rsidRPr="00000000" w14:paraId="00000027">
      <w:pPr>
        <w:spacing w:before="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Di Vinci Surgery Community </w:t>
        <w:tab/>
        <w:tab/>
        <w:tab/>
        <w:tab/>
        <w:tab/>
        <w:tab/>
      </w:r>
    </w:p>
    <w:sectPr>
      <w:footerReference r:id="rId7" w:type="default"/>
      <w:pgSz w:h="15840" w:w="12240"/>
      <w:pgMar w:bottom="720" w:top="720" w:left="720" w:right="72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76" w:lineRule="auto"/>
      <w:contextualSpacing w:val="0"/>
      <w:rPr/>
    </w:pPr>
    <w:r w:rsidDel="00000000" w:rsidR="00000000" w:rsidRPr="00000000">
      <w:rPr>
        <w:rtl w:val="0"/>
      </w:rPr>
    </w:r>
  </w:p>
  <w:tbl>
    <w:tblPr>
      <w:tblStyle w:val="Table1"/>
      <w:tblW w:w="95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3168"/>
      <w:gridCol w:w="3168"/>
      <w:tblGridChange w:id="0">
        <w:tblGrid>
          <w:gridCol w:w="3168"/>
          <w:gridCol w:w="3168"/>
          <w:gridCol w:w="316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contextualSpacing w:val="0"/>
            <w:rPr>
              <w:b w:val="0"/>
              <w:color w:val="12606a"/>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contextualSpacing w:val="0"/>
            <w:jc w:val="center"/>
            <w:rPr>
              <w:b w:val="0"/>
              <w:color w:val="12606a"/>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contextualSpacing w:val="0"/>
            <w:jc w:val="right"/>
            <w:rPr>
              <w:b w:val="0"/>
              <w:color w:val="12606a"/>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contextualSpacing w:val="0"/>
      <w:rPr>
        <w:color w:val="12606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color w:val="151c3a"/>
      <w:sz w:val="34"/>
      <w:szCs w:val="34"/>
    </w:rPr>
  </w:style>
  <w:style w:type="paragraph" w:styleId="Heading2">
    <w:name w:val="heading 2"/>
    <w:basedOn w:val="Normal"/>
    <w:next w:val="Normal"/>
    <w:pPr>
      <w:keepNext w:val="1"/>
      <w:keepLines w:val="1"/>
      <w:spacing w:after="0" w:before="80" w:lineRule="auto"/>
    </w:pPr>
    <w:rPr>
      <w:color w:val="12606a"/>
    </w:rPr>
  </w:style>
  <w:style w:type="paragraph" w:styleId="Heading3">
    <w:name w:val="heading 3"/>
    <w:basedOn w:val="Normal"/>
    <w:next w:val="Normal"/>
    <w:pPr>
      <w:keepNext w:val="1"/>
      <w:keepLines w:val="1"/>
      <w:spacing w:after="200" w:lineRule="auto"/>
    </w:pPr>
    <w:rPr>
      <w:color w:val="151c3a"/>
      <w:sz w:val="24"/>
      <w:szCs w:val="24"/>
    </w:rPr>
  </w:style>
  <w:style w:type="paragraph" w:styleId="Heading4">
    <w:name w:val="heading 4"/>
    <w:basedOn w:val="Normal"/>
    <w:next w:val="Normal"/>
    <w:pPr>
      <w:keepNext w:val="1"/>
      <w:keepLines w:val="1"/>
      <w:spacing w:after="0" w:before="40" w:lineRule="auto"/>
    </w:pPr>
    <w:rPr>
      <w:i w:val="1"/>
      <w:color w:val="151c3a"/>
    </w:rPr>
  </w:style>
  <w:style w:type="paragraph" w:styleId="Heading5">
    <w:name w:val="heading 5"/>
    <w:basedOn w:val="Normal"/>
    <w:next w:val="Normal"/>
    <w:pPr>
      <w:keepNext w:val="1"/>
      <w:keepLines w:val="1"/>
      <w:spacing w:after="0" w:before="40" w:lineRule="auto"/>
    </w:pPr>
    <w:rPr>
      <w:color w:val="25c0d5"/>
    </w:rPr>
  </w:style>
  <w:style w:type="paragraph" w:styleId="Heading6">
    <w:name w:val="heading 6"/>
    <w:basedOn w:val="Normal"/>
    <w:next w:val="Normal"/>
    <w:pPr>
      <w:keepNext w:val="1"/>
      <w:keepLines w:val="1"/>
      <w:spacing w:after="0" w:before="40" w:lineRule="auto"/>
    </w:pPr>
    <w:rPr>
      <w:color w:val="25c0d5"/>
    </w:rPr>
  </w:style>
  <w:style w:type="paragraph" w:styleId="Title">
    <w:name w:val="Title"/>
    <w:basedOn w:val="Normal"/>
    <w:next w:val="Normal"/>
    <w:pPr>
      <w:spacing w:after="0" w:line="240" w:lineRule="auto"/>
      <w:contextualSpacing w:val="1"/>
    </w:pPr>
    <w:rPr>
      <w:b w:val="1"/>
      <w:color w:val="151c3a"/>
      <w:sz w:val="68"/>
      <w:szCs w:val="68"/>
    </w:rPr>
  </w:style>
  <w:style w:type="paragraph" w:styleId="Subtitle">
    <w:name w:val="Subtitle"/>
    <w:basedOn w:val="Normal"/>
    <w:next w:val="Normal"/>
    <w:pPr/>
    <w:rPr>
      <w:color w:val="5a5a5a"/>
    </w:rPr>
  </w:style>
  <w:style w:type="table" w:styleId="Table1">
    <w:basedOn w:val="TableNormal"/>
    <w:pPr>
      <w:spacing w:after="0" w:line="240" w:lineRule="auto"/>
    </w:pPr>
    <w:rPr>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verycarlock@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