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Century Gothic" w:eastAsia="Century Gothic" w:hAnsi="Century Gothic" w:cs="Century Gothic"/>
          <w:b/>
          <w:bCs/>
          <w:caps/>
          <w:sz w:val="60"/>
          <w:szCs w:val="60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sz w:val="60"/>
          <w:szCs w:val="60"/>
        </w:rPr>
        <w:t>Tyonna</w:t>
      </w:r>
      <w:r>
        <w:rPr>
          <w:rStyle w:val="span"/>
          <w:rFonts w:ascii="Century Gothic" w:eastAsia="Century Gothic" w:hAnsi="Century Gothic" w:cs="Century Gothic"/>
          <w:sz w:val="60"/>
          <w:szCs w:val="60"/>
        </w:rPr>
        <w:t xml:space="preserve"> </w:t>
      </w:r>
      <w:r>
        <w:rPr>
          <w:rStyle w:val="divnamespanlName"/>
          <w:rFonts w:ascii="Century Gothic" w:eastAsia="Century Gothic" w:hAnsi="Century Gothic" w:cs="Century Gothic"/>
        </w:rPr>
        <w:t>Buckley</w:t>
      </w:r>
    </w:p>
    <w:tbl>
      <w:tblPr>
        <w:tblStyle w:val="divdocumentdivPARAGRAPHCNTC"/>
        <w:tblW w:w="5000" w:type="pct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9360"/>
      </w:tblGrid>
      <w:tr>
        <w:tblPrEx>
          <w:tblW w:w="5000" w:type="pct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rHeight w:val="500"/>
          <w:tblCellSpacing w:w="0" w:type="dxa"/>
        </w:trPr>
        <w:tc>
          <w:tcPr>
            <w:shd w:val="clear" w:color="auto" w:fill="4D6E9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pStyle w:val="divdocumentdivaddressWrapper"/>
              <w:pBdr>
                <w:top w:val="none" w:sz="0" w:space="0" w:color="auto"/>
                <w:left w:val="none" w:sz="0" w:space="5" w:color="auto"/>
                <w:bottom w:val="none" w:sz="0" w:space="0" w:color="auto"/>
                <w:right w:val="none" w:sz="0" w:space="5" w:color="auto"/>
              </w:pBdr>
              <w:spacing w:before="0" w:after="0" w:line="300" w:lineRule="atLeast"/>
              <w:ind w:left="100" w:right="100"/>
              <w:jc w:val="right"/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2525 W Pleasant Run Rd Apt 1-o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,</w:t>
            </w:r>
            <w:r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Lancaster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,</w:t>
            </w:r>
            <w:r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Tx</w:t>
            </w:r>
            <w:r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75146</w:t>
            </w:r>
            <w:r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|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(H)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6823338381</w:t>
            </w:r>
            <w:r>
              <w:rPr>
                <w:rStyle w:val="divaddress"/>
                <w:rFonts w:ascii="Century Gothic" w:eastAsia="Century Gothic" w:hAnsi="Century Gothic" w:cs="Century Gothic"/>
                <w:bdr w:val="none" w:sz="0" w:space="0" w:color="auto"/>
                <w:shd w:val="clear" w:color="auto" w:fill="auto"/>
                <w:vertAlign w:val="baseline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 xml:space="preserve">|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  <w:color w:val="FFFFFF"/>
                <w:sz w:val="22"/>
                <w:szCs w:val="22"/>
              </w:rPr>
              <w:t>Taniriyah23@gmail.com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3" w:color="4D6E92"/>
          <w:right w:val="none" w:sz="0" w:space="0" w:color="auto"/>
        </w:pBdr>
        <w:spacing w:before="280" w:after="100"/>
        <w:ind w:left="0" w:right="0"/>
        <w:rPr>
          <w:rFonts w:ascii="Century Gothic" w:eastAsia="Century Gothic" w:hAnsi="Century Gothic" w:cs="Century Gothic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</w:p>
    <w:p>
      <w:pPr>
        <w:pStyle w:val="p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Accomplished and energetic Customer service Representative with a solid history of achievement in Customer service. Motivated leader with strong organizational and prioritization abilities. Areas of expertise include </w:t>
      </w:r>
      <w:r>
        <w:rPr>
          <w:rStyle w:val="font"/>
          <w:rFonts w:ascii="Century Gothic" w:eastAsia="Century Gothic" w:hAnsi="Century Gothic" w:cs="Century Gothic"/>
          <w:color w:val="4CBFBF"/>
        </w:rPr>
        <w:t>proving excellent customer service to the customers 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, </w:t>
      </w:r>
      <w:r>
        <w:rPr>
          <w:rStyle w:val="font"/>
          <w:rFonts w:ascii="Century Gothic" w:eastAsia="Century Gothic" w:hAnsi="Century Gothic" w:cs="Century Gothic"/>
          <w:color w:val="4CBFBF"/>
        </w:rPr>
        <w:t>active listening 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>and leadership.</w:t>
      </w:r>
    </w:p>
    <w:p>
      <w:pPr>
        <w:pStyle w:val="p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3" w:color="4D6E92"/>
          <w:right w:val="none" w:sz="0" w:space="0" w:color="auto"/>
        </w:pBdr>
        <w:spacing w:before="280" w:after="100"/>
        <w:ind w:left="0" w:right="0"/>
        <w:rPr>
          <w:rFonts w:ascii="Century Gothic" w:eastAsia="Century Gothic" w:hAnsi="Century Gothic" w:cs="Century Gothic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Skills</w:t>
      </w:r>
    </w:p>
    <w:tbl>
      <w:tblPr>
        <w:tblW w:w="10100" w:type="dxa"/>
        <w:jc w:val="left"/>
        <w:tblInd w:w="260" w:type="dxa"/>
        <w:tblCellMar>
          <w:left w:w="108" w:type="dxa"/>
          <w:right w:w="108" w:type="dxa"/>
        </w:tblCellMar>
      </w:tblPr>
      <w:tblGrid>
        <w:gridCol w:w="5118"/>
        <w:gridCol w:w="4982"/>
      </w:tblGrid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Active Listening</w:t>
            </w:r>
          </w:p>
        </w:tc>
        <w:tc>
          <w:tcPr>
            <w:tcW w:w="5050" w:type="dxa"/>
          </w:tcPr>
          <w:p>
            <w:pPr>
              <w:pStyle w:val="divtwocolulli"/>
              <w:numPr>
                <w:ilvl w:val="0"/>
                <w:numId w:val="1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Patience</w:t>
            </w:r>
          </w:p>
        </w:tc>
      </w:tr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2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 Attentiveness</w:t>
            </w:r>
          </w:p>
        </w:tc>
        <w:tc>
          <w:tcPr>
            <w:tcW w:w="5050" w:type="dxa"/>
          </w:tcPr>
          <w:p>
            <w:pPr>
              <w:pStyle w:val="divtwocolulli"/>
              <w:numPr>
                <w:ilvl w:val="0"/>
                <w:numId w:val="2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Time management</w:t>
            </w:r>
          </w:p>
        </w:tc>
      </w:tr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3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Hard worker</w:t>
            </w:r>
          </w:p>
        </w:tc>
        <w:tc>
          <w:tcPr>
            <w:tcW w:w="5050" w:type="dxa"/>
          </w:tcPr>
          <w:p>
            <w:pPr>
              <w:pStyle w:val="divtwocolulli"/>
              <w:numPr>
                <w:ilvl w:val="0"/>
                <w:numId w:val="3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Type 40wph</w:t>
            </w:r>
          </w:p>
        </w:tc>
      </w:tr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4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Clear Communication. </w:t>
            </w:r>
          </w:p>
        </w:tc>
        <w:tc>
          <w:tcPr>
            <w:tcW w:w="5050" w:type="dxa"/>
          </w:tcPr>
          <w:p>
            <w:pPr>
              <w:pStyle w:val="divtwocolulli"/>
              <w:numPr>
                <w:ilvl w:val="0"/>
                <w:numId w:val="4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Interpersonal Skills. </w:t>
            </w:r>
          </w:p>
        </w:tc>
      </w:tr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5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Leadership. • </w:t>
            </w:r>
          </w:p>
        </w:tc>
        <w:tc>
          <w:tcPr>
            <w:tcW w:w="5050" w:type="dxa"/>
          </w:tcPr>
          <w:p>
            <w:pPr>
              <w:pStyle w:val="divtwocolulli"/>
              <w:numPr>
                <w:ilvl w:val="0"/>
                <w:numId w:val="5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Negotiation. </w:t>
            </w:r>
          </w:p>
        </w:tc>
      </w:tr>
      <w:tr>
        <w:tblPrEx>
          <w:tblW w:w="10100" w:type="dxa"/>
          <w:jc w:val="left"/>
          <w:tblInd w:w="260" w:type="dxa"/>
          <w:tblCellMar>
            <w:left w:w="108" w:type="dxa"/>
            <w:right w:w="108" w:type="dxa"/>
          </w:tblCellMar>
        </w:tblPrEx>
        <w:trPr>
          <w:jc w:val="left"/>
        </w:trPr>
        <w:tc>
          <w:tcPr>
            <w:tcW w:w="5050" w:type="dxa"/>
          </w:tcPr>
          <w:p>
            <w:pPr>
              <w:pStyle w:val="divtwocolulli"/>
              <w:numPr>
                <w:ilvl w:val="0"/>
                <w:numId w:val="6"/>
              </w:numPr>
              <w:pBdr>
                <w:left w:val="none" w:sz="0" w:space="6" w:color="auto"/>
              </w:pBdr>
              <w:spacing w:before="0" w:after="0" w:line="360" w:lineRule="atLeast"/>
              <w:ind w:left="330" w:right="0" w:hanging="330"/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</w:pPr>
            <w:r>
              <w:rPr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>Complaint Resolution. Politeness/Etiquette/Tact. Adaptability/Flexibility. Cross Selling/Up Selling. Building Customer Loyalty.</w:t>
            </w:r>
          </w:p>
        </w:tc>
        <w:tc>
          <w:tcPr>
            <w:tcW w:w="5050" w:type="dxa"/>
          </w:tcPr>
          <w:p/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3" w:color="4D6E92"/>
          <w:right w:val="none" w:sz="0" w:space="0" w:color="auto"/>
        </w:pBdr>
        <w:spacing w:before="280" w:after="100"/>
        <w:ind w:left="0" w:right="0"/>
        <w:rPr>
          <w:rFonts w:ascii="Century Gothic" w:eastAsia="Century Gothic" w:hAnsi="Century Gothic" w:cs="Century Gothic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340"/>
        </w:tabs>
        <w:spacing w:before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jobtitle"/>
          <w:rFonts w:ascii="Century Gothic" w:eastAsia="Century Gothic" w:hAnsi="Century Gothic" w:cs="Century Gothic"/>
        </w:rPr>
        <w:t>Customer service Representative</w:t>
      </w:r>
      <w:r>
        <w:rPr>
          <w:rStyle w:val="singlecolumnspanpaddedlinenth-child1"/>
          <w:rFonts w:ascii="Century Gothic" w:eastAsia="Century Gothic" w:hAnsi="Century Gothic" w:cs="Century Gothic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bdr w:val="none" w:sz="0" w:space="0" w:color="auto"/>
        </w:rPr>
        <w:tab/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08/2017</w:t>
      </w:r>
      <w:r>
        <w:rPr>
          <w:rStyle w:val="span"/>
          <w:rFonts w:ascii="Century Gothic" w:eastAsia="Century Gothic" w:hAnsi="Century Gothic" w:cs="Century Gothic"/>
        </w:rPr>
        <w:t xml:space="preserve"> to </w:t>
      </w:r>
      <w:r>
        <w:rPr>
          <w:rStyle w:val="span"/>
          <w:rFonts w:ascii="Century Gothic" w:eastAsia="Century Gothic" w:hAnsi="Century Gothic" w:cs="Century Gothic"/>
        </w:rPr>
        <w:t>05/2018</w:t>
      </w:r>
      <w:r>
        <w:rPr>
          <w:rStyle w:val="singlecolumnspanpaddedlinenth-child1"/>
          <w:rFonts w:ascii="Century Gothic" w:eastAsia="Century Gothic" w:hAnsi="Century Gothic" w:cs="Century Gothic"/>
        </w:rPr>
        <w:t xml:space="preserve"> </w:t>
      </w:r>
    </w:p>
    <w:p>
      <w:pPr>
        <w:pStyle w:val="spanpaddedline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companyname"/>
          <w:rFonts w:ascii="Century Gothic" w:eastAsia="Century Gothic" w:hAnsi="Century Gothic" w:cs="Century Gothic"/>
        </w:rPr>
        <w:t>Teleperformance USA</w:t>
      </w:r>
      <w:r>
        <w:rPr>
          <w:rStyle w:val="span"/>
          <w:rFonts w:ascii="Century Gothic" w:eastAsia="Century Gothic" w:hAnsi="Century Gothic" w:cs="Century Gothic"/>
        </w:rPr>
        <w:t xml:space="preserve"> – </w:t>
      </w:r>
      <w:r>
        <w:rPr>
          <w:rStyle w:val="span"/>
          <w:rFonts w:ascii="Century Gothic" w:eastAsia="Century Gothic" w:hAnsi="Century Gothic" w:cs="Century Gothic"/>
        </w:rPr>
        <w:t>Dallas</w:t>
      </w:r>
      <w:r>
        <w:rPr>
          <w:rStyle w:val="span"/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TX</w:t>
      </w:r>
    </w:p>
    <w:p>
      <w:pPr>
        <w:pStyle w:val="ulli"/>
        <w:numPr>
          <w:ilvl w:val="0"/>
          <w:numId w:val="7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Confer with customers by telephone or in person to provide information about products or services, take or enter orders, cancel accounts, or obtain details of complaints.</w:t>
      </w:r>
    </w:p>
    <w:p>
      <w:pPr>
        <w:pStyle w:val="ulli"/>
        <w:numPr>
          <w:ilvl w:val="0"/>
          <w:numId w:val="8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Keep records of customer interactions or transactions, recording details of inquiries, complaints, or comments, as well as actions taken.</w:t>
      </w:r>
    </w:p>
    <w:p>
      <w:pPr>
        <w:pStyle w:val="ulli"/>
        <w:numPr>
          <w:ilvl w:val="0"/>
          <w:numId w:val="9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Check to ensure that appropriate changes were made to resolve customers' problems.</w:t>
      </w:r>
    </w:p>
    <w:p>
      <w:pPr>
        <w:pStyle w:val="ulli"/>
        <w:numPr>
          <w:ilvl w:val="0"/>
          <w:numId w:val="10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Determine charges for services requested, collect deposits or payments, or arrange for billing.</w:t>
      </w:r>
    </w:p>
    <w:p>
      <w:pPr>
        <w:pStyle w:val="ulli"/>
        <w:numPr>
          <w:ilvl w:val="0"/>
          <w:numId w:val="11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Review insurance policy terms to determine whether a particular loss is covered by insurance.</w:t>
      </w:r>
    </w:p>
    <w:p>
      <w:pPr>
        <w:pStyle w:val="ulli"/>
        <w:numPr>
          <w:ilvl w:val="0"/>
          <w:numId w:val="12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Resolve customers' service or billing complaints by performing activities such as exchanging merchandise, refunding money, or adjusting bills.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340"/>
        </w:tabs>
        <w:spacing w:before="20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jobtitle"/>
          <w:rFonts w:ascii="Century Gothic" w:eastAsia="Century Gothic" w:hAnsi="Century Gothic" w:cs="Century Gothic"/>
        </w:rPr>
        <w:t>Sale associate</w:t>
      </w:r>
      <w:r>
        <w:rPr>
          <w:rStyle w:val="singlecolumnspanpaddedlinenth-child1"/>
          <w:rFonts w:ascii="Century Gothic" w:eastAsia="Century Gothic" w:hAnsi="Century Gothic" w:cs="Century Gothic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bdr w:val="none" w:sz="0" w:space="0" w:color="auto"/>
        </w:rPr>
        <w:tab/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11/2014</w:t>
      </w:r>
      <w:r>
        <w:rPr>
          <w:rStyle w:val="span"/>
          <w:rFonts w:ascii="Century Gothic" w:eastAsia="Century Gothic" w:hAnsi="Century Gothic" w:cs="Century Gothic"/>
        </w:rPr>
        <w:t xml:space="preserve"> to </w:t>
      </w:r>
      <w:r>
        <w:rPr>
          <w:rStyle w:val="span"/>
          <w:rFonts w:ascii="Century Gothic" w:eastAsia="Century Gothic" w:hAnsi="Century Gothic" w:cs="Century Gothic"/>
        </w:rPr>
        <w:t>07/2017</w:t>
      </w:r>
      <w:r>
        <w:rPr>
          <w:rStyle w:val="singlecolumnspanpaddedlinenth-child1"/>
          <w:rFonts w:ascii="Century Gothic" w:eastAsia="Century Gothic" w:hAnsi="Century Gothic" w:cs="Century Gothic"/>
        </w:rPr>
        <w:t xml:space="preserve"> </w:t>
      </w:r>
    </w:p>
    <w:p>
      <w:pPr>
        <w:pStyle w:val="spanpaddedline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companyname"/>
          <w:rFonts w:ascii="Century Gothic" w:eastAsia="Century Gothic" w:hAnsi="Century Gothic" w:cs="Century Gothic"/>
        </w:rPr>
        <w:t>Walmart Supercenter</w:t>
      </w:r>
      <w:r>
        <w:rPr>
          <w:rStyle w:val="span"/>
          <w:rFonts w:ascii="Century Gothic" w:eastAsia="Century Gothic" w:hAnsi="Century Gothic" w:cs="Century Gothic"/>
        </w:rPr>
        <w:t xml:space="preserve"> – </w:t>
      </w:r>
      <w:r>
        <w:rPr>
          <w:rStyle w:val="span"/>
          <w:rFonts w:ascii="Century Gothic" w:eastAsia="Century Gothic" w:hAnsi="Century Gothic" w:cs="Century Gothic"/>
        </w:rPr>
        <w:t>Dallas</w:t>
      </w:r>
      <w:r>
        <w:rPr>
          <w:rStyle w:val="span"/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TX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 Preparing, packaging, and serving deli products to customers.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 Weighing and portioning food items.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Maintaining high standards of hygiene.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 Greeting customers and keeping them happy.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Selecting and packaging products ordered by customers. 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Filling, maintaining and rotating products and displays. </w:t>
      </w:r>
    </w:p>
    <w:p>
      <w:pPr>
        <w:pStyle w:val="ulli"/>
        <w:numPr>
          <w:ilvl w:val="0"/>
          <w:numId w:val="13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Preparing special orders and party trays. Operating cash registers, meat and cheese slicers, oven, fryer, microwave, cutting tools, scale and other Deli equipment.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340"/>
        </w:tabs>
        <w:spacing w:before="20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jobtitle"/>
          <w:rFonts w:ascii="Century Gothic" w:eastAsia="Century Gothic" w:hAnsi="Century Gothic" w:cs="Century Gothic"/>
        </w:rPr>
        <w:t xml:space="preserve">Pharmacy Help Desk </w:t>
      </w:r>
      <w:r>
        <w:rPr>
          <w:rStyle w:val="datesWrapper"/>
          <w:rFonts w:ascii="Century Gothic" w:eastAsia="Century Gothic" w:hAnsi="Century Gothic" w:cs="Century Gothic"/>
          <w:bdr w:val="none" w:sz="0" w:space="0" w:color="auto"/>
        </w:rPr>
        <w:tab/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10/2012</w:t>
      </w:r>
      <w:r>
        <w:rPr>
          <w:rStyle w:val="span"/>
          <w:rFonts w:ascii="Century Gothic" w:eastAsia="Century Gothic" w:hAnsi="Century Gothic" w:cs="Century Gothic"/>
        </w:rPr>
        <w:t xml:space="preserve"> to </w:t>
      </w:r>
      <w:r>
        <w:rPr>
          <w:rStyle w:val="span"/>
          <w:rFonts w:ascii="Century Gothic" w:eastAsia="Century Gothic" w:hAnsi="Century Gothic" w:cs="Century Gothic"/>
        </w:rPr>
        <w:t>05/2014</w:t>
      </w:r>
      <w:r>
        <w:rPr>
          <w:rStyle w:val="singlecolumnspanpaddedlinenth-child1"/>
          <w:rFonts w:ascii="Century Gothic" w:eastAsia="Century Gothic" w:hAnsi="Century Gothic" w:cs="Century Gothic"/>
        </w:rPr>
        <w:t xml:space="preserve"> </w:t>
      </w:r>
    </w:p>
    <w:p>
      <w:pPr>
        <w:pStyle w:val="spanpaddedline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companyname"/>
          <w:rFonts w:ascii="Century Gothic" w:eastAsia="Century Gothic" w:hAnsi="Century Gothic" w:cs="Century Gothic"/>
        </w:rPr>
        <w:t xml:space="preserve">Connextions </w:t>
      </w:r>
      <w:r>
        <w:rPr>
          <w:rStyle w:val="span"/>
          <w:rFonts w:ascii="Century Gothic" w:eastAsia="Century Gothic" w:hAnsi="Century Gothic" w:cs="Century Gothic"/>
        </w:rPr>
        <w:t xml:space="preserve">– </w:t>
      </w:r>
      <w:r>
        <w:rPr>
          <w:rStyle w:val="span"/>
          <w:rFonts w:ascii="Century Gothic" w:eastAsia="Century Gothic" w:hAnsi="Century Gothic" w:cs="Century Gothic"/>
        </w:rPr>
        <w:t>Irving</w:t>
      </w:r>
      <w:r>
        <w:rPr>
          <w:rStyle w:val="span"/>
          <w:rFonts w:ascii="Century Gothic" w:eastAsia="Century Gothic" w:hAnsi="Century Gothic" w:cs="Century Gothic"/>
        </w:rPr>
        <w:t>,</w:t>
      </w:r>
      <w:r>
        <w:rPr>
          <w:rFonts w:ascii="Century Gothic" w:eastAsia="Century Gothic" w:hAnsi="Century Gothic" w:cs="Century Gothic"/>
          <w:bdr w:val="none" w:sz="0" w:space="0" w:color="auto"/>
          <w:vertAlign w:val="baseline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TX</w:t>
      </w:r>
    </w:p>
    <w:p>
      <w:pPr>
        <w:pStyle w:val="ulli"/>
        <w:numPr>
          <w:ilvl w:val="0"/>
          <w:numId w:val="14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Create, maintain, and enter information into databases.</w:t>
      </w:r>
    </w:p>
    <w:p>
      <w:pPr>
        <w:pStyle w:val="ulli"/>
        <w:numPr>
          <w:ilvl w:val="0"/>
          <w:numId w:val="14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Respond to incoming calls from the customer Pharmacist on issues related to the customer prescription status inquiries.</w:t>
      </w:r>
    </w:p>
    <w:p>
      <w:pPr>
        <w:pStyle w:val="ulli"/>
        <w:numPr>
          <w:ilvl w:val="0"/>
          <w:numId w:val="14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 Guide and educate callers on their prescription benefits, use of plan, formulary, premiums and status of orders and claims or inquiries </w:t>
      </w:r>
    </w:p>
    <w:p>
      <w:pPr>
        <w:pStyle w:val="ulli"/>
        <w:numPr>
          <w:ilvl w:val="0"/>
          <w:numId w:val="14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Ask appropriate questions and listen actively while documenting required information in computer systems.</w:t>
      </w:r>
    </w:p>
    <w:p>
      <w:pPr>
        <w:pStyle w:val="ulli"/>
        <w:numPr>
          <w:ilvl w:val="0"/>
          <w:numId w:val="14"/>
        </w:numPr>
        <w:spacing w:before="0" w:after="0" w:line="360" w:lineRule="atLeast"/>
        <w:ind w:left="580" w:right="0" w:hanging="33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Identify issues and communicate solutions and steps to customers, pharmacies and physicians with prescription orders and reorders.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3" w:color="4D6E92"/>
          <w:right w:val="none" w:sz="0" w:space="0" w:color="auto"/>
        </w:pBdr>
        <w:spacing w:before="280" w:after="100"/>
        <w:ind w:left="0" w:right="0"/>
        <w:rPr>
          <w:rFonts w:ascii="Century Gothic" w:eastAsia="Century Gothic" w:hAnsi="Century Gothic" w:cs="Century Gothic"/>
          <w:b/>
          <w:bCs/>
          <w:sz w:val="30"/>
          <w:szCs w:val="30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b/>
          <w:bCs/>
          <w:bdr w:val="none" w:sz="0" w:space="0" w:color="auto"/>
          <w:vertAlign w:val="baseline"/>
        </w:rPr>
        <w:t>Education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340"/>
        </w:tabs>
        <w:spacing w:before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degree"/>
          <w:rFonts w:ascii="Century Gothic" w:eastAsia="Century Gothic" w:hAnsi="Century Gothic" w:cs="Century Gothic"/>
        </w:rPr>
        <w:t>Medical Billing and coding</w:t>
      </w:r>
      <w:r>
        <w:rPr>
          <w:rStyle w:val="span"/>
          <w:rFonts w:ascii="Century Gothic" w:eastAsia="Century Gothic" w:hAnsi="Century Gothic" w:cs="Century Gothic"/>
        </w:rPr>
        <w:t xml:space="preserve">: </w:t>
      </w:r>
      <w:r>
        <w:rPr>
          <w:rStyle w:val="datesWrapper"/>
          <w:rFonts w:ascii="Century Gothic" w:eastAsia="Century Gothic" w:hAnsi="Century Gothic" w:cs="Century Gothic"/>
          <w:bdr w:val="none" w:sz="0" w:space="0" w:color="auto"/>
        </w:rPr>
        <w:tab/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May 2010</w:t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</w:p>
    <w:p>
      <w:pPr>
        <w:pStyle w:val="spanpaddedline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companyname"/>
          <w:rFonts w:ascii="Century Gothic" w:eastAsia="Century Gothic" w:hAnsi="Century Gothic" w:cs="Century Gothic"/>
        </w:rPr>
        <w:t>Remington College - Dallas Campus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 xml:space="preserve">- </w:t>
      </w:r>
      <w:r>
        <w:rPr>
          <w:rStyle w:val="span"/>
          <w:rFonts w:ascii="Century Gothic" w:eastAsia="Century Gothic" w:hAnsi="Century Gothic" w:cs="Century Gothic"/>
        </w:rPr>
        <w:t>Garland</w:t>
      </w:r>
      <w:r>
        <w:rPr>
          <w:rStyle w:val="span"/>
          <w:rFonts w:ascii="Century Gothic" w:eastAsia="Century Gothic" w:hAnsi="Century Gothic" w:cs="Century Gothic"/>
        </w:rPr>
        <w:t xml:space="preserve">, </w:t>
      </w:r>
      <w:r>
        <w:rPr>
          <w:rStyle w:val="span"/>
          <w:rFonts w:ascii="Century Gothic" w:eastAsia="Century Gothic" w:hAnsi="Century Gothic" w:cs="Century Gothic"/>
        </w:rPr>
        <w:t>TX</w:t>
      </w:r>
    </w:p>
    <w:p>
      <w:pPr>
        <w:pStyle w:val="p"/>
        <w:spacing w:before="0" w:after="0" w:line="360" w:lineRule="atLeast"/>
        <w:ind w:left="0" w:right="0"/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"/>
          <w:rFonts w:ascii="Century Gothic" w:eastAsia="Century Gothic" w:hAnsi="Century Gothic" w:cs="Century Gothic"/>
          <w:bdr w:val="none" w:sz="0" w:space="0" w:color="auto"/>
          <w:vertAlign w:val="baseline"/>
        </w:rPr>
        <w:t>Translating information from patient records, treatments, tests, procedures, and diagnoses into the standardized codes used to bill patients and third-party payers such as insurance companies and Medicare.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340"/>
        </w:tabs>
        <w:spacing w:before="20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degree"/>
          <w:rFonts w:ascii="Century Gothic" w:eastAsia="Century Gothic" w:hAnsi="Century Gothic" w:cs="Century Gothic"/>
        </w:rPr>
        <w:t>High School Diploma</w:t>
      </w:r>
      <w:r>
        <w:rPr>
          <w:rStyle w:val="span"/>
          <w:rFonts w:ascii="Century Gothic" w:eastAsia="Century Gothic" w:hAnsi="Century Gothic" w:cs="Century Gothic"/>
        </w:rPr>
        <w:t xml:space="preserve">: </w:t>
      </w:r>
      <w:r>
        <w:rPr>
          <w:rStyle w:val="datesWrapper"/>
          <w:rFonts w:ascii="Century Gothic" w:eastAsia="Century Gothic" w:hAnsi="Century Gothic" w:cs="Century Gothic"/>
          <w:bdr w:val="none" w:sz="0" w:space="0" w:color="auto"/>
        </w:rPr>
        <w:tab/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>Jun 2009</w:t>
      </w:r>
      <w:r>
        <w:rPr>
          <w:rStyle w:val="datesWrapper"/>
          <w:rFonts w:ascii="Century Gothic" w:eastAsia="Century Gothic" w:hAnsi="Century Gothic" w:cs="Century Gothic"/>
        </w:rPr>
        <w:t xml:space="preserve"> </w:t>
      </w:r>
    </w:p>
    <w:p>
      <w:pPr>
        <w:pStyle w:val="spanpaddedline"/>
        <w:spacing w:before="0" w:after="0" w:line="360" w:lineRule="atLeast"/>
        <w:ind w:left="0" w:right="0"/>
        <w:rPr>
          <w:rFonts w:ascii="Century Gothic" w:eastAsia="Century Gothic" w:hAnsi="Century Gothic" w:cs="Century Gothic"/>
          <w:bdr w:val="none" w:sz="0" w:space="0" w:color="auto"/>
          <w:vertAlign w:val="baseline"/>
        </w:rPr>
      </w:pPr>
      <w:r>
        <w:rPr>
          <w:rStyle w:val="spancompanyname"/>
          <w:rFonts w:ascii="Century Gothic" w:eastAsia="Century Gothic" w:hAnsi="Century Gothic" w:cs="Century Gothic"/>
        </w:rPr>
        <w:t>Terrell High School</w:t>
      </w:r>
      <w:r>
        <w:rPr>
          <w:rStyle w:val="span"/>
          <w:rFonts w:ascii="Century Gothic" w:eastAsia="Century Gothic" w:hAnsi="Century Gothic" w:cs="Century Gothic"/>
        </w:rPr>
        <w:t xml:space="preserve"> </w:t>
      </w:r>
      <w:r>
        <w:rPr>
          <w:rStyle w:val="span"/>
          <w:rFonts w:ascii="Century Gothic" w:eastAsia="Century Gothic" w:hAnsi="Century Gothic" w:cs="Century Gothic"/>
        </w:rPr>
        <w:t xml:space="preserve">- </w:t>
      </w:r>
      <w:r>
        <w:rPr>
          <w:rStyle w:val="span"/>
          <w:rFonts w:ascii="Century Gothic" w:eastAsia="Century Gothic" w:hAnsi="Century Gothic" w:cs="Century Gothic"/>
        </w:rPr>
        <w:t>Terrell</w:t>
      </w:r>
      <w:r>
        <w:rPr>
          <w:rStyle w:val="span"/>
          <w:rFonts w:ascii="Century Gothic" w:eastAsia="Century Gothic" w:hAnsi="Century Gothic" w:cs="Century Gothic"/>
        </w:rPr>
        <w:t xml:space="preserve">, </w:t>
      </w:r>
      <w:r>
        <w:rPr>
          <w:rStyle w:val="span"/>
          <w:rFonts w:ascii="Century Gothic" w:eastAsia="Century Gothic" w:hAnsi="Century Gothic" w:cs="Century Gothic"/>
        </w:rPr>
        <w:t>TX</w:t>
      </w:r>
    </w:p>
    <w:sectPr>
      <w:pgMar w:top="440" w:right="940" w:bottom="440" w:left="9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color w:val="333333"/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3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840" w:lineRule="atLeast"/>
      <w:jc w:val="right"/>
    </w:pPr>
    <w:rPr>
      <w:b/>
      <w:bCs/>
      <w:caps/>
      <w:sz w:val="60"/>
      <w:szCs w:val="60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spanlName">
    <w:name w:val="div_name_span_lName"/>
    <w:basedOn w:val="DefaultParagraphFont"/>
    <w:rPr>
      <w:color w:val="4D6E92"/>
    </w:rPr>
  </w:style>
  <w:style w:type="character" w:customStyle="1" w:styleId="divaddress">
    <w:name w:val="div_address"/>
    <w:basedOn w:val="divCharacter"/>
    <w:rPr>
      <w:b/>
      <w:bCs/>
      <w:color w:val="FFFFFF"/>
      <w:sz w:val="22"/>
      <w:szCs w:val="22"/>
      <w:shd w:val="clear" w:color="auto" w:fill="4D6E92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addressWrapper">
    <w:name w:val="div_document_div_addressWrapper"/>
    <w:basedOn w:val="Normal"/>
    <w:pPr>
      <w:pBdr>
        <w:left w:val="none" w:sz="0" w:space="5" w:color="auto"/>
        <w:right w:val="none" w:sz="0" w:space="5" w:color="auto"/>
      </w:pBdr>
    </w:pPr>
  </w:style>
  <w:style w:type="character" w:customStyle="1" w:styleId="divdocumentdivaddressWrapperCharacter">
    <w:name w:val="div_document_div_addressWrapper Character"/>
    <w:basedOn w:val="DefaultParagraphFont"/>
  </w:style>
  <w:style w:type="table" w:customStyle="1" w:styleId="divdocumentdivPARAGRAPHCNTC">
    <w:name w:val="div_document_div_PARAGRAPH_CNTC"/>
    <w:basedOn w:val="TableNormal"/>
    <w:tblPr/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twocolulli">
    <w:name w:val="div_twocol_ul_li"/>
    <w:basedOn w:val="Normal"/>
  </w:style>
  <w:style w:type="character" w:customStyle="1" w:styleId="divtwocolulliCharacter">
    <w:name w:val="div_twocol_ul_li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  <w:pPr>
      <w:pBdr>
        <w:left w:val="none" w:sz="0" w:space="6" w:color="auto"/>
      </w:pBdr>
    </w:pPr>
  </w:style>
  <w:style w:type="character" w:customStyle="1" w:styleId="spandegree">
    <w:name w:val="span_degre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TyonnaBuckley</dc:title>
  <cp:revision>0</cp:revision>
</cp:coreProperties>
</file>