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BD" w:rsidRPr="00DC01BD" w:rsidRDefault="00DC01BD" w:rsidP="003403EA">
      <w:pPr>
        <w:jc w:val="center"/>
        <w:rPr>
          <w:rFonts w:ascii="Tahoma" w:hAnsi="Tahoma" w:cs="Tahoma"/>
          <w:color w:val="000000" w:themeColor="text1"/>
        </w:rPr>
      </w:pPr>
      <w:bookmarkStart w:id="0" w:name="_GoBack"/>
      <w:bookmarkEnd w:id="0"/>
      <w:r w:rsidRPr="00DC01BD">
        <w:rPr>
          <w:rFonts w:ascii="Tahoma" w:hAnsi="Tahoma" w:cs="Tahoma"/>
          <w:color w:val="000000" w:themeColor="text1"/>
        </w:rPr>
        <w:t>Stephanie A. Mills</w:t>
      </w:r>
    </w:p>
    <w:p w:rsidR="00DC01BD" w:rsidRPr="00DC01BD" w:rsidRDefault="00EF11E0" w:rsidP="005501BA">
      <w:pPr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1420 W Main St</w:t>
      </w:r>
    </w:p>
    <w:p w:rsidR="00DC01BD" w:rsidRPr="00DC01BD" w:rsidRDefault="00DC01BD" w:rsidP="005501BA">
      <w:pPr>
        <w:jc w:val="center"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Millsstephanie16@gmail.com</w:t>
      </w:r>
    </w:p>
    <w:p w:rsidR="00DC01BD" w:rsidRPr="00DC01BD" w:rsidRDefault="00DC01BD" w:rsidP="005501BA">
      <w:pPr>
        <w:jc w:val="center"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904-859-1302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Work Experience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</w:p>
    <w:p w:rsidR="00DC01BD" w:rsidRPr="00DC01BD" w:rsidRDefault="004D7725" w:rsidP="00DC01BD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Shared Service</w:t>
      </w:r>
      <w:r w:rsidR="00DC01BD" w:rsidRPr="00DC01BD">
        <w:rPr>
          <w:rFonts w:ascii="Tahoma" w:hAnsi="Tahoma" w:cs="Tahoma"/>
          <w:color w:val="000000" w:themeColor="text1"/>
        </w:rPr>
        <w:t xml:space="preserve"> Atlanta, Georgia</w:t>
      </w:r>
    </w:p>
    <w:p w:rsidR="00DC01BD" w:rsidRPr="00DC01BD" w:rsidRDefault="001D426D" w:rsidP="00DC01BD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Medical </w:t>
      </w:r>
      <w:r w:rsidR="0036693C">
        <w:rPr>
          <w:rFonts w:ascii="Tahoma" w:hAnsi="Tahoma" w:cs="Tahoma"/>
          <w:color w:val="000000" w:themeColor="text1"/>
        </w:rPr>
        <w:t>Billing</w:t>
      </w:r>
      <w:r>
        <w:rPr>
          <w:rFonts w:ascii="Tahoma" w:hAnsi="Tahoma" w:cs="Tahoma"/>
          <w:color w:val="000000" w:themeColor="text1"/>
        </w:rPr>
        <w:t xml:space="preserve"> and</w:t>
      </w:r>
      <w:r w:rsidR="0036693C">
        <w:rPr>
          <w:rFonts w:ascii="Tahoma" w:hAnsi="Tahoma" w:cs="Tahoma"/>
          <w:color w:val="000000" w:themeColor="text1"/>
        </w:rPr>
        <w:t xml:space="preserve"> Collections Feb</w:t>
      </w:r>
      <w:r w:rsidR="00DC01BD" w:rsidRPr="00DC01BD">
        <w:rPr>
          <w:rFonts w:ascii="Tahoma" w:hAnsi="Tahoma" w:cs="Tahoma"/>
          <w:color w:val="000000" w:themeColor="text1"/>
        </w:rPr>
        <w:t xml:space="preserve"> 2017 – </w:t>
      </w:r>
      <w:r w:rsidR="00A81F57">
        <w:rPr>
          <w:rFonts w:ascii="Tahoma" w:hAnsi="Tahoma" w:cs="Tahoma"/>
          <w:color w:val="000000" w:themeColor="text1"/>
        </w:rPr>
        <w:t>June</w:t>
      </w:r>
      <w:r w:rsidR="00DC01BD" w:rsidRPr="00DC01BD">
        <w:rPr>
          <w:rFonts w:ascii="Tahoma" w:hAnsi="Tahoma" w:cs="Tahoma"/>
          <w:color w:val="000000" w:themeColor="text1"/>
        </w:rPr>
        <w:t xml:space="preserve"> 2019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Ensure that claims are billed on a timely basis and are complete and accurate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Monitor postings and all billing to ensure compliance with established company policies and healthcare regulations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Collaborate with the other departments to design, improve and implement effective processes related to billing and collections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Handle actions related to delinquent accounts and minimizes write-offs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Reviews receivables aging, helps to analyze and understand trends and takes actions to improve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Maintain up-to-date expertise and knowledge of compliance, CPT code changes, healthcare billing laws, rules, regulations, and developments necessary for the organization to make informed business decision</w:t>
      </w:r>
    </w:p>
    <w:p w:rsidR="00DC01BD" w:rsidRP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Oversee daily Billing Department functions, including medical coding, charge entry, claims, payment posting, and reimbursement management.</w:t>
      </w:r>
    </w:p>
    <w:p w:rsidR="00DC01BD" w:rsidRDefault="00DC01BD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Analyzes Explanation of Benefits and Remittance Advice and ensures claims processed according to members plans</w:t>
      </w:r>
    </w:p>
    <w:p w:rsidR="00DD58BE" w:rsidRPr="00DC01BD" w:rsidRDefault="00DD58BE" w:rsidP="00DC01BD">
      <w:pPr>
        <w:numPr>
          <w:ilvl w:val="0"/>
          <w:numId w:val="1"/>
        </w:numPr>
        <w:contextualSpacing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Bill claims according to payers guidelines and handle patient billing for self pay patients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McKesson Dallas, TX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Medical Bill</w:t>
      </w:r>
      <w:r w:rsidR="0036693C">
        <w:rPr>
          <w:rFonts w:ascii="Tahoma" w:hAnsi="Tahoma" w:cs="Tahoma"/>
          <w:color w:val="000000" w:themeColor="text1"/>
        </w:rPr>
        <w:t xml:space="preserve">ing </w:t>
      </w:r>
      <w:r w:rsidRPr="00DC01BD">
        <w:rPr>
          <w:rFonts w:ascii="Tahoma" w:hAnsi="Tahoma" w:cs="Tahoma"/>
          <w:color w:val="000000" w:themeColor="text1"/>
        </w:rPr>
        <w:t xml:space="preserve"> July 2013 – Jan 2017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Accurately input procedure and diagnosis codes into billing software to generate invoices.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Used electronic charge capture practices such as billing and account receivables (BAR) system and medical billing clearinghouse accounts to submit codes and invoices on time</w:t>
      </w:r>
      <w:r w:rsidR="006724CE">
        <w:rPr>
          <w:rFonts w:ascii="Tahoma" w:hAnsi="Tahoma" w:cs="Tahoma"/>
          <w:color w:val="000000" w:themeColor="text1"/>
        </w:rPr>
        <w:t xml:space="preserve"> as well as handle patient billing for self pay patients</w:t>
      </w:r>
      <w:r w:rsidRPr="00DC01BD">
        <w:rPr>
          <w:rFonts w:ascii="Tahoma" w:hAnsi="Tahoma" w:cs="Tahoma"/>
          <w:color w:val="000000" w:themeColor="text1"/>
        </w:rPr>
        <w:t>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Follow up on past due invoices and delinquent accounts to reduce number of unpaid and outstanding balances.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Uphold and reinforce compliance with hospital policies and federal regulations such as HIPAA.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Provide administrative support to physicians and interpret medical reports and data to assign ICD-9 and ICD-10 codes; enter diagnosis codes and patient information into billing software.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Update and manage diagnosis lists, coordinate routine documentation and coding audits, and execute qualitative analysis of discharged charges.</w:t>
      </w:r>
    </w:p>
    <w:p w:rsidR="00DC01BD" w:rsidRPr="00DC01BD" w:rsidRDefault="00DC01BD" w:rsidP="00DC01BD">
      <w:pPr>
        <w:numPr>
          <w:ilvl w:val="0"/>
          <w:numId w:val="2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Follow and maintain currency on coding, sequencing, and procedures best practices and updates.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Blue Cross Blue Shield Jacksonville, FL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Medical Records Clerk August 2008 – December 2012</w:t>
      </w:r>
    </w:p>
    <w:p w:rsidR="00DC01BD" w:rsidRPr="00DC01BD" w:rsidRDefault="00DC01BD" w:rsidP="00DC01BD">
      <w:pPr>
        <w:numPr>
          <w:ilvl w:val="0"/>
          <w:numId w:val="3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lastRenderedPageBreak/>
        <w:t>Protect the security of medical records to ensure the confidentiality is maintained</w:t>
      </w:r>
    </w:p>
    <w:p w:rsidR="00DC01BD" w:rsidRPr="00DC01BD" w:rsidRDefault="00DC01BD" w:rsidP="00DC01BD">
      <w:pPr>
        <w:numPr>
          <w:ilvl w:val="0"/>
          <w:numId w:val="3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Review records for completeness, accuracy, and compliance with regulations</w:t>
      </w:r>
    </w:p>
    <w:p w:rsidR="00DC01BD" w:rsidRPr="00DC01BD" w:rsidRDefault="00DC01BD" w:rsidP="00DC01BD">
      <w:pPr>
        <w:numPr>
          <w:ilvl w:val="0"/>
          <w:numId w:val="3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Retrieve patient medical records for physicians, technicians, or other medical personnel</w:t>
      </w:r>
    </w:p>
    <w:p w:rsidR="00DC01BD" w:rsidRPr="00DC01BD" w:rsidRDefault="00DC01BD" w:rsidP="00DC01BD">
      <w:pPr>
        <w:numPr>
          <w:ilvl w:val="0"/>
          <w:numId w:val="3"/>
        </w:numPr>
        <w:contextualSpacing/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Enter data, such as demographics characteristics, history and extent of disease, diagnostic procedures, or treatment into system.</w:t>
      </w:r>
    </w:p>
    <w:p w:rsidR="00DC01BD" w:rsidRPr="00DC01BD" w:rsidRDefault="00DC01BD" w:rsidP="00DC01BD">
      <w:pPr>
        <w:ind w:firstLine="60"/>
        <w:rPr>
          <w:rFonts w:ascii="Tahoma" w:hAnsi="Tahoma" w:cs="Tahoma"/>
          <w:color w:val="000000" w:themeColor="text1"/>
        </w:rPr>
      </w:pP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Education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James Madison High School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High School Diploma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January 2009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Western Governors University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 xml:space="preserve">Bachelors Healthcare Information Management </w:t>
      </w:r>
    </w:p>
    <w:p w:rsidR="00DC01BD" w:rsidRPr="00DC01BD" w:rsidRDefault="00DC01BD" w:rsidP="00DC01BD">
      <w:pPr>
        <w:rPr>
          <w:rFonts w:ascii="Tahoma" w:hAnsi="Tahoma" w:cs="Tahoma"/>
          <w:color w:val="000000" w:themeColor="text1"/>
        </w:rPr>
      </w:pPr>
      <w:r w:rsidRPr="00DC01BD">
        <w:rPr>
          <w:rFonts w:ascii="Tahoma" w:hAnsi="Tahoma" w:cs="Tahoma"/>
          <w:color w:val="000000" w:themeColor="text1"/>
        </w:rPr>
        <w:t>February 2019</w:t>
      </w:r>
    </w:p>
    <w:p w:rsidR="00DC01BD" w:rsidRDefault="00DC01BD"/>
    <w:p w:rsidR="00A5201D" w:rsidRDefault="00A5201D">
      <w:r>
        <w:t xml:space="preserve">CPC Exam – </w:t>
      </w:r>
      <w:r w:rsidR="001D797C">
        <w:t xml:space="preserve">Scheduled </w:t>
      </w:r>
      <w:r>
        <w:t>for</w:t>
      </w:r>
      <w:r w:rsidR="001D797C">
        <w:t xml:space="preserve"> Exam</w:t>
      </w:r>
      <w:r>
        <w:t xml:space="preserve"> 08/10/2019</w:t>
      </w:r>
    </w:p>
    <w:sectPr w:rsidR="00A5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AD1"/>
    <w:multiLevelType w:val="hybridMultilevel"/>
    <w:tmpl w:val="67CA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B50"/>
    <w:multiLevelType w:val="hybridMultilevel"/>
    <w:tmpl w:val="F25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1304A"/>
    <w:multiLevelType w:val="hybridMultilevel"/>
    <w:tmpl w:val="A9D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BD"/>
    <w:rsid w:val="0015114C"/>
    <w:rsid w:val="001D426D"/>
    <w:rsid w:val="001D797C"/>
    <w:rsid w:val="00325762"/>
    <w:rsid w:val="003403EA"/>
    <w:rsid w:val="0036693C"/>
    <w:rsid w:val="003F3E29"/>
    <w:rsid w:val="004D7725"/>
    <w:rsid w:val="004E0615"/>
    <w:rsid w:val="005501BA"/>
    <w:rsid w:val="006724CE"/>
    <w:rsid w:val="00696C63"/>
    <w:rsid w:val="00777556"/>
    <w:rsid w:val="007A0712"/>
    <w:rsid w:val="007C5625"/>
    <w:rsid w:val="00A5201D"/>
    <w:rsid w:val="00A81F57"/>
    <w:rsid w:val="00C1515C"/>
    <w:rsid w:val="00D67288"/>
    <w:rsid w:val="00DC01BD"/>
    <w:rsid w:val="00DD58BE"/>
    <w:rsid w:val="00EF11E0"/>
    <w:rsid w:val="00E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D03F7B-93C5-3545-95BC-B095837B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mills</dc:creator>
  <cp:keywords/>
  <dc:description/>
  <cp:lastModifiedBy>stephanie mills</cp:lastModifiedBy>
  <cp:revision>2</cp:revision>
  <dcterms:created xsi:type="dcterms:W3CDTF">2019-08-11T16:04:00Z</dcterms:created>
  <dcterms:modified xsi:type="dcterms:W3CDTF">2019-08-11T16:04:00Z</dcterms:modified>
</cp:coreProperties>
</file>