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संपत्ति-विशेष निवेश अनुबंध</w:t>
      </w:r>
    </w:p>
    <w:p>
      <w:r>
        <w:t xml:space="preserve">Property-Specific Investment Annexure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2026-01-21T17:45:36.570Z</dcterms:created>
  <dcterms:modified xsi:type="dcterms:W3CDTF">2026-01-21T17:45:36.576Z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