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B8860B"/>
          <w:sz w:val="24"/>
          <w:szCs w:val="24"/>
        </w:rPr>
        <w:t xml:space="preserve">M.TECH PROJECT REPORT</w:t>
      </w:r>
    </w:p>
    <w:p>
      <w:pPr>
        <w:spacing w:after="200" w:before="300"/>
        <w:jc w:val="center"/>
      </w:pPr>
      <w:r>
        <w:rPr>
          <w:b/>
          <w:bCs/>
          <w:color w:val="16213E"/>
          <w:sz w:val="40"/>
          <w:szCs w:val="40"/>
        </w:rPr>
        <w:t xml:space="preserve">Deep Reinforcement Learning for Energy-Optimal</w:t>
      </w:r>
    </w:p>
    <w:p>
      <w:pPr>
        <w:spacing w:after="300"/>
        <w:jc w:val="center"/>
      </w:pPr>
      <w:r>
        <w:rPr>
          <w:b/>
          <w:bCs/>
          <w:color w:val="16213E"/>
          <w:sz w:val="40"/>
          <w:szCs w:val="40"/>
        </w:rPr>
        <w:t xml:space="preserve">Trajectory Planning of UAVs Under Airspace and</w:t>
      </w:r>
    </w:p>
    <w:p>
      <w:pPr>
        <w:spacing w:after="500"/>
        <w:jc w:val="center"/>
      </w:pPr>
      <w:r>
        <w:rPr>
          <w:b/>
          <w:bCs/>
          <w:color w:val="16213E"/>
          <w:sz w:val="40"/>
          <w:szCs w:val="40"/>
        </w:rPr>
        <w:t xml:space="preserve">Environmental Constraints</w:t>
      </w:r>
    </w:p>
    <w:p>
      <w:pPr>
        <w:spacing w:after="800"/>
        <w:jc w:val="center"/>
      </w:pPr>
      <w:r>
        <w:rPr>
          <w:i/>
          <w:iCs/>
          <w:color w:val="555555"/>
          <w:sz w:val="22"/>
          <w:szCs w:val="22"/>
        </w:rPr>
        <w:t xml:space="preserve">Domain: Systems Engineering • Reinforcement Learning • Aerospace</w:t>
      </w:r>
    </w:p>
    <w:p>
      <w:r>
        <w:br w:type="page"/>
      </w:r>
    </w:p>
    <w:p>
      <w:pPr>
        <w:pStyle w:val="Heading1"/>
        <w:spacing w:after="160" w:before="320"/>
      </w:pPr>
      <w:r>
        <w:rPr>
          <w:b/>
          <w:bCs/>
          <w:color w:val="16213E"/>
          <w:sz w:val="30"/>
          <w:szCs w:val="30"/>
        </w:rPr>
        <w:t xml:space="preserve">Abstract</w:t>
      </w:r>
    </w:p>
    <w:p>
      <w:pPr>
        <w:spacing w:after="160"/>
        <w:jc w:val="both"/>
      </w:pPr>
      <w:r>
        <w:rPr>
          <w:sz w:val="22"/>
          <w:szCs w:val="22"/>
        </w:rPr>
        <w:t xml:space="preserve">Fixed climb–cruise–descent flight profiles do not adapt to real-time wind conditions or airspace layout, leaving fuel and energy savings unrealized. Classical trajectory re-optimization is accurate but computationally expensive to re-solve for every new scenario, limiting its use for real-time replanning. This project develops a Deep Reinforcement Learning (DRL) based trajectory planning framework that learns a single adaptive policy for energy-efficient UAV flight profile generation. A Soft Actor-Critic (SAC) or DDPG agent is trained on a custom point-mass energy dynamics environment (built on the OpenAP open-source aircraft performance library) to generate climb–cruise–descent trajectories that minimize fuel consumption while respecting static no-fly zones, altitude limits, and wind disturbance. Performance is benchmarked against a classical dynamic-programming (DP) optimal-control baseline, with results analyzed via fuel-vs-time Pareto trade-off curves and robustness to out-of-distribution conditions. As of this report, the custom Gymnasium environment and the classical DP baseline have been implemented and verified (Weeks 1–4 of a 12-week plan); DRL agent training and full evaluation are the next phase.</w:t>
      </w:r>
    </w:p>
    <w:p>
      <w:pPr>
        <w:pStyle w:val="Heading1"/>
        <w:spacing w:after="160" w:before="320"/>
      </w:pPr>
      <w:r>
        <w:rPr>
          <w:b/>
          <w:bCs/>
          <w:color w:val="16213E"/>
          <w:sz w:val="30"/>
          <w:szCs w:val="30"/>
        </w:rPr>
        <w:t xml:space="preserve">1. Introduction &amp; Motivation</w:t>
      </w:r>
    </w:p>
    <w:p>
      <w:pPr>
        <w:spacing w:after="160"/>
        <w:jc w:val="both"/>
      </w:pPr>
      <w:r>
        <w:rPr>
          <w:sz w:val="22"/>
          <w:szCs w:val="22"/>
        </w:rPr>
        <w:t xml:space="preserve">Fuel is the single largest recurring cost and emissions driver in aerial operations. UAVs and aircraft operate under strict fuel or battery budgets, where every kilogram of fuel or percentage of charge directly shapes mission range and payload capacity. In current practice, flight profiles are largely fixed and manually defined — they do not adapt to live wind fields or the specific airspace layout of a given mission, leaving realizable fuel savings on the table.</w:t>
      </w:r>
    </w:p>
    <w:p>
      <w:pPr>
        <w:spacing w:after="160"/>
        <w:jc w:val="both"/>
      </w:pPr>
      <w:r>
        <w:rPr>
          <w:sz w:val="22"/>
          <w:szCs w:val="22"/>
        </w:rPr>
        <w:t xml:space="preserve">A natural alternative is classical trajectory optimization (e.g., dynamic programming or optimal control), which can compute a fuel-optimal path for a known, static environment. However, this approach must be re-solved from scratch whenever wind conditions or no-fly-zone layouts change, making it impractical for real-time, adaptive replanning.</w:t>
      </w:r>
    </w:p>
    <w:p>
      <w:pPr>
        <w:spacing w:after="160"/>
        <w:jc w:val="both"/>
      </w:pPr>
      <w:r>
        <w:rPr>
          <w:sz w:val="22"/>
          <w:szCs w:val="22"/>
        </w:rPr>
        <w:t xml:space="preserve">This project investigates whether a Deep Reinforcement Learning agent can learn a single adaptive control policy that generalizes across varying wind and constraint conditions — offering near-optimal fuel efficiency with fast inference, rather than repeated slow re-optimization.</w:t>
      </w:r>
    </w:p>
    <w:p>
      <w:pPr>
        <w:pStyle w:val="Heading1"/>
        <w:spacing w:after="160" w:before="320"/>
      </w:pPr>
      <w:r>
        <w:rPr>
          <w:b/>
          <w:bCs/>
          <w:color w:val="16213E"/>
          <w:sz w:val="30"/>
          <w:szCs w:val="30"/>
        </w:rPr>
        <w:t xml:space="preserve">2. Literature Survey</w:t>
      </w:r>
    </w:p>
    <w:p>
      <w:pPr>
        <w:spacing w:after="160"/>
        <w:jc w:val="both"/>
      </w:pPr>
      <w:r>
        <w:rPr>
          <w:sz w:val="22"/>
          <w:szCs w:val="22"/>
        </w:rPr>
        <w:t xml:space="preserve">Five papers were surveyed to position this project relative to existing work in DRL-based aerial trajectory and energy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6213E" w:val="clear"/>
            <w:tcMar>
              <w:top w:type="dxa" w:w="100"/>
              <w:left w:type="dxa" w:w="120"/>
              <w:bottom w:type="dxa" w:w="100"/>
              <w:right w:type="dxa" w:w="120"/>
            </w:tcMar>
          </w:tcPr>
          <w:p>
            <w:r>
              <w:rPr>
                <w:b/>
                <w:bCs/>
                <w:color w:val="FFFFFF"/>
                <w:sz w:val="20"/>
                <w:szCs w:val="20"/>
              </w:rPr>
              <w:t xml:space="preserve">#</w:t>
            </w:r>
          </w:p>
        </w:tc>
        <w:tc>
          <w:tcPr>
            <w:tcW w:type="dxa" w:w="4200"/>
            <w:shd w:fill="16213E" w:val="clear"/>
            <w:tcMar>
              <w:top w:type="dxa" w:w="100"/>
              <w:left w:type="dxa" w:w="120"/>
              <w:bottom w:type="dxa" w:w="100"/>
              <w:right w:type="dxa" w:w="120"/>
            </w:tcMar>
          </w:tcPr>
          <w:p>
            <w:r>
              <w:rPr>
                <w:b/>
                <w:bCs/>
                <w:color w:val="FFFFFF"/>
                <w:sz w:val="20"/>
                <w:szCs w:val="20"/>
              </w:rPr>
              <w:t xml:space="preserve">Paper</w:t>
            </w:r>
          </w:p>
        </w:tc>
        <w:tc>
          <w:tcPr>
            <w:tcW w:type="dxa" w:w="1800"/>
            <w:shd w:fill="16213E" w:val="clear"/>
            <w:tcMar>
              <w:top w:type="dxa" w:w="100"/>
              <w:left w:type="dxa" w:w="120"/>
              <w:bottom w:type="dxa" w:w="100"/>
              <w:right w:type="dxa" w:w="120"/>
            </w:tcMar>
          </w:tcPr>
          <w:p>
            <w:r>
              <w:rPr>
                <w:b/>
                <w:bCs/>
                <w:color w:val="FFFFFF"/>
                <w:sz w:val="20"/>
                <w:szCs w:val="20"/>
              </w:rPr>
              <w:t xml:space="preserve">Source / Year</w:t>
            </w:r>
          </w:p>
        </w:tc>
        <w:tc>
          <w:tcPr>
            <w:tcW w:type="dxa" w:w="2860"/>
            <w:shd w:fill="16213E" w:val="clear"/>
            <w:tcMar>
              <w:top w:type="dxa" w:w="100"/>
              <w:left w:type="dxa" w:w="120"/>
              <w:bottom w:type="dxa" w:w="100"/>
              <w:right w:type="dxa" w:w="120"/>
            </w:tcMar>
          </w:tcPr>
          <w:p>
            <w:r>
              <w:rPr>
                <w:b/>
                <w:bCs/>
                <w:color w:val="FFFFFF"/>
                <w:sz w:val="20"/>
                <w:szCs w:val="20"/>
              </w:rPr>
              <w:t xml:space="preserve">Relevance</w:t>
            </w:r>
          </w:p>
        </w:tc>
      </w:tr>
      <w:tr>
        <w:tc>
          <w:tcPr>
            <w:tcW w:type="dxa" w:w="500"/>
            <w:shd w:fill="F2F2F2" w:val="clear"/>
            <w:tcMar>
              <w:top w:type="dxa" w:w="100"/>
              <w:left w:type="dxa" w:w="120"/>
              <w:bottom w:type="dxa" w:w="100"/>
              <w:right w:type="dxa" w:w="120"/>
            </w:tcMar>
          </w:tcPr>
          <w:p>
            <w:r>
              <w:rPr>
                <w:color w:val="000000"/>
                <w:sz w:val="20"/>
                <w:szCs w:val="20"/>
              </w:rPr>
              <w:t xml:space="preserve">[1]</w:t>
            </w:r>
          </w:p>
        </w:tc>
        <w:tc>
          <w:tcPr>
            <w:tcW w:type="dxa" w:w="4200"/>
            <w:shd w:fill="F2F2F2" w:val="clear"/>
            <w:tcMar>
              <w:top w:type="dxa" w:w="100"/>
              <w:left w:type="dxa" w:w="120"/>
              <w:bottom w:type="dxa" w:w="100"/>
              <w:right w:type="dxa" w:w="120"/>
            </w:tcMar>
          </w:tcPr>
          <w:p>
            <w:r>
              <w:rPr>
                <w:color w:val="000000"/>
                <w:sz w:val="20"/>
                <w:szCs w:val="20"/>
              </w:rPr>
              <w:t xml:space="preserve">Fuel- and Noise-Minimal Departure Trajectory Using Deep Reinforcement Learning with Aircraft Dynamics and Topography Constraints</w:t>
            </w:r>
          </w:p>
        </w:tc>
        <w:tc>
          <w:tcPr>
            <w:tcW w:type="dxa" w:w="1800"/>
            <w:shd w:fill="F2F2F2" w:val="clear"/>
            <w:tcMar>
              <w:top w:type="dxa" w:w="100"/>
              <w:left w:type="dxa" w:w="120"/>
              <w:bottom w:type="dxa" w:w="100"/>
              <w:right w:type="dxa" w:w="120"/>
            </w:tcMar>
          </w:tcPr>
          <w:p>
            <w:r>
              <w:rPr>
                <w:color w:val="000000"/>
                <w:sz w:val="20"/>
                <w:szCs w:val="20"/>
              </w:rPr>
              <w:t xml:space="preserve">Transportation Engineering (ScienceDirect), 2025</w:t>
            </w:r>
          </w:p>
        </w:tc>
        <w:tc>
          <w:tcPr>
            <w:tcW w:type="dxa" w:w="2860"/>
            <w:shd w:fill="F2F2F2" w:val="clear"/>
            <w:tcMar>
              <w:top w:type="dxa" w:w="100"/>
              <w:left w:type="dxa" w:w="120"/>
              <w:bottom w:type="dxa" w:w="100"/>
              <w:right w:type="dxa" w:w="120"/>
            </w:tcMar>
          </w:tcPr>
          <w:p>
            <w:r>
              <w:rPr>
                <w:color w:val="000000"/>
                <w:sz w:val="20"/>
                <w:szCs w:val="20"/>
              </w:rPr>
              <w:t xml:space="preserve">Base paper — closest match in problem structure</w:t>
            </w:r>
          </w:p>
        </w:tc>
      </w:tr>
      <w:tr>
        <w:tc>
          <w:tcPr>
            <w:tcW w:type="dxa" w:w="500"/>
            <w:shd w:fill="FFFFFF" w:val="clear"/>
            <w:tcMar>
              <w:top w:type="dxa" w:w="100"/>
              <w:left w:type="dxa" w:w="120"/>
              <w:bottom w:type="dxa" w:w="100"/>
              <w:right w:type="dxa" w:w="120"/>
            </w:tcMar>
          </w:tcPr>
          <w:p>
            <w:r>
              <w:rPr>
                <w:color w:val="000000"/>
                <w:sz w:val="20"/>
                <w:szCs w:val="20"/>
              </w:rPr>
              <w:t xml:space="preserve">[2]</w:t>
            </w:r>
          </w:p>
        </w:tc>
        <w:tc>
          <w:tcPr>
            <w:tcW w:type="dxa" w:w="4200"/>
            <w:shd w:fill="FFFFFF" w:val="clear"/>
            <w:tcMar>
              <w:top w:type="dxa" w:w="100"/>
              <w:left w:type="dxa" w:w="120"/>
              <w:bottom w:type="dxa" w:w="100"/>
              <w:right w:type="dxa" w:w="120"/>
            </w:tcMar>
          </w:tcPr>
          <w:p>
            <w:r>
              <w:rPr>
                <w:color w:val="000000"/>
                <w:sz w:val="20"/>
                <w:szCs w:val="20"/>
              </w:rPr>
              <w:t xml:space="preserve">Deep Reinforcement Learning for Trajectory Generation and Optimisation of UAVs</w:t>
            </w:r>
          </w:p>
        </w:tc>
        <w:tc>
          <w:tcPr>
            <w:tcW w:type="dxa" w:w="1800"/>
            <w:shd w:fill="FFFFFF" w:val="clear"/>
            <w:tcMar>
              <w:top w:type="dxa" w:w="100"/>
              <w:left w:type="dxa" w:w="120"/>
              <w:bottom w:type="dxa" w:w="100"/>
              <w:right w:type="dxa" w:w="120"/>
            </w:tcMar>
          </w:tcPr>
          <w:p>
            <w:r>
              <w:rPr>
                <w:color w:val="000000"/>
                <w:sz w:val="20"/>
                <w:szCs w:val="20"/>
              </w:rPr>
              <w:t xml:space="preserve">KU Leuven (DDPG, quadcopter)</w:t>
            </w:r>
          </w:p>
        </w:tc>
        <w:tc>
          <w:tcPr>
            <w:tcW w:type="dxa" w:w="2860"/>
            <w:shd w:fill="FFFFFF" w:val="clear"/>
            <w:tcMar>
              <w:top w:type="dxa" w:w="100"/>
              <w:left w:type="dxa" w:w="120"/>
              <w:bottom w:type="dxa" w:w="100"/>
              <w:right w:type="dxa" w:w="120"/>
            </w:tcMar>
          </w:tcPr>
          <w:p>
            <w:r>
              <w:rPr>
                <w:color w:val="000000"/>
                <w:sz w:val="20"/>
                <w:szCs w:val="20"/>
              </w:rPr>
              <w:t xml:space="preserve">Continuous-control DRL for UAV trajectories</w:t>
            </w:r>
          </w:p>
        </w:tc>
      </w:tr>
      <w:tr>
        <w:tc>
          <w:tcPr>
            <w:tcW w:type="dxa" w:w="500"/>
            <w:shd w:fill="F2F2F2" w:val="clear"/>
            <w:tcMar>
              <w:top w:type="dxa" w:w="100"/>
              <w:left w:type="dxa" w:w="120"/>
              <w:bottom w:type="dxa" w:w="100"/>
              <w:right w:type="dxa" w:w="120"/>
            </w:tcMar>
          </w:tcPr>
          <w:p>
            <w:r>
              <w:rPr>
                <w:color w:val="000000"/>
                <w:sz w:val="20"/>
                <w:szCs w:val="20"/>
              </w:rPr>
              <w:t xml:space="preserve">[3]</w:t>
            </w:r>
          </w:p>
        </w:tc>
        <w:tc>
          <w:tcPr>
            <w:tcW w:type="dxa" w:w="4200"/>
            <w:shd w:fill="F2F2F2" w:val="clear"/>
            <w:tcMar>
              <w:top w:type="dxa" w:w="100"/>
              <w:left w:type="dxa" w:w="120"/>
              <w:bottom w:type="dxa" w:w="100"/>
              <w:right w:type="dxa" w:w="120"/>
            </w:tcMar>
          </w:tcPr>
          <w:p>
            <w:r>
              <w:rPr>
                <w:color w:val="000000"/>
                <w:sz w:val="20"/>
                <w:szCs w:val="20"/>
              </w:rPr>
              <w:t xml:space="preserve">UAV Trajectory Planning in Wireless Sensor Networks for Energy Consumption Minimization by Deep Reinforcement Learning</w:t>
            </w:r>
          </w:p>
        </w:tc>
        <w:tc>
          <w:tcPr>
            <w:tcW w:type="dxa" w:w="1800"/>
            <w:shd w:fill="F2F2F2" w:val="clear"/>
            <w:tcMar>
              <w:top w:type="dxa" w:w="100"/>
              <w:left w:type="dxa" w:w="120"/>
              <w:bottom w:type="dxa" w:w="100"/>
              <w:right w:type="dxa" w:w="120"/>
            </w:tcMar>
          </w:tcPr>
          <w:p>
            <w:r>
              <w:rPr>
                <w:color w:val="000000"/>
                <w:sz w:val="20"/>
                <w:szCs w:val="20"/>
              </w:rPr>
              <w:t xml:space="preserve">arXiv:2108.00354</w:t>
            </w:r>
          </w:p>
        </w:tc>
        <w:tc>
          <w:tcPr>
            <w:tcW w:type="dxa" w:w="2860"/>
            <w:shd w:fill="F2F2F2" w:val="clear"/>
            <w:tcMar>
              <w:top w:type="dxa" w:w="100"/>
              <w:left w:type="dxa" w:w="120"/>
              <w:bottom w:type="dxa" w:w="100"/>
              <w:right w:type="dxa" w:w="120"/>
            </w:tcMar>
          </w:tcPr>
          <w:p>
            <w:r>
              <w:rPr>
                <w:color w:val="000000"/>
                <w:sz w:val="20"/>
                <w:szCs w:val="20"/>
              </w:rPr>
              <w:t xml:space="preserve">UAV + DRL + energy, but communication-energy objective</w:t>
            </w:r>
          </w:p>
        </w:tc>
      </w:tr>
      <w:tr>
        <w:tc>
          <w:tcPr>
            <w:tcW w:type="dxa" w:w="500"/>
            <w:shd w:fill="FFFFFF" w:val="clear"/>
            <w:tcMar>
              <w:top w:type="dxa" w:w="100"/>
              <w:left w:type="dxa" w:w="120"/>
              <w:bottom w:type="dxa" w:w="100"/>
              <w:right w:type="dxa" w:w="120"/>
            </w:tcMar>
          </w:tcPr>
          <w:p>
            <w:r>
              <w:rPr>
                <w:color w:val="000000"/>
                <w:sz w:val="20"/>
                <w:szCs w:val="20"/>
              </w:rPr>
              <w:t xml:space="preserve">[4]</w:t>
            </w:r>
          </w:p>
        </w:tc>
        <w:tc>
          <w:tcPr>
            <w:tcW w:type="dxa" w:w="4200"/>
            <w:shd w:fill="FFFFFF" w:val="clear"/>
            <w:tcMar>
              <w:top w:type="dxa" w:w="100"/>
              <w:left w:type="dxa" w:w="120"/>
              <w:bottom w:type="dxa" w:w="100"/>
              <w:right w:type="dxa" w:w="120"/>
            </w:tcMar>
          </w:tcPr>
          <w:p>
            <w:r>
              <w:rPr>
                <w:color w:val="000000"/>
                <w:sz w:val="20"/>
                <w:szCs w:val="20"/>
              </w:rPr>
              <w:t xml:space="preserve">Energy-Efficient UAV Trajectory Design for Backscatter Communication: A Deep Reinforcement Learning Approach</w:t>
            </w:r>
          </w:p>
        </w:tc>
        <w:tc>
          <w:tcPr>
            <w:tcW w:type="dxa" w:w="1800"/>
            <w:shd w:fill="FFFFFF" w:val="clear"/>
            <w:tcMar>
              <w:top w:type="dxa" w:w="100"/>
              <w:left w:type="dxa" w:w="120"/>
              <w:bottom w:type="dxa" w:w="100"/>
              <w:right w:type="dxa" w:w="120"/>
            </w:tcMar>
          </w:tcPr>
          <w:p>
            <w:r>
              <w:rPr>
                <w:color w:val="000000"/>
                <w:sz w:val="20"/>
                <w:szCs w:val="20"/>
              </w:rPr>
              <w:t xml:space="preserve">IEEE Journals &amp; Magazine</w:t>
            </w:r>
          </w:p>
        </w:tc>
        <w:tc>
          <w:tcPr>
            <w:tcW w:type="dxa" w:w="2860"/>
            <w:shd w:fill="FFFFFF" w:val="clear"/>
            <w:tcMar>
              <w:top w:type="dxa" w:w="100"/>
              <w:left w:type="dxa" w:w="120"/>
              <w:bottom w:type="dxa" w:w="100"/>
              <w:right w:type="dxa" w:w="120"/>
            </w:tcMar>
          </w:tcPr>
          <w:p>
            <w:r>
              <w:rPr>
                <w:color w:val="000000"/>
                <w:sz w:val="20"/>
                <w:szCs w:val="20"/>
              </w:rPr>
              <w:t xml:space="preserve">UAV + DRL + energy, communication-energy objective</w:t>
            </w:r>
          </w:p>
        </w:tc>
      </w:tr>
      <w:tr>
        <w:tc>
          <w:tcPr>
            <w:tcW w:type="dxa" w:w="500"/>
            <w:shd w:fill="F2F2F2" w:val="clear"/>
            <w:tcMar>
              <w:top w:type="dxa" w:w="100"/>
              <w:left w:type="dxa" w:w="120"/>
              <w:bottom w:type="dxa" w:w="100"/>
              <w:right w:type="dxa" w:w="120"/>
            </w:tcMar>
          </w:tcPr>
          <w:p>
            <w:r>
              <w:rPr>
                <w:color w:val="000000"/>
                <w:sz w:val="20"/>
                <w:szCs w:val="20"/>
              </w:rPr>
              <w:t xml:space="preserve">[5]</w:t>
            </w:r>
          </w:p>
        </w:tc>
        <w:tc>
          <w:tcPr>
            <w:tcW w:type="dxa" w:w="4200"/>
            <w:shd w:fill="F2F2F2" w:val="clear"/>
            <w:tcMar>
              <w:top w:type="dxa" w:w="100"/>
              <w:left w:type="dxa" w:w="120"/>
              <w:bottom w:type="dxa" w:w="100"/>
              <w:right w:type="dxa" w:w="120"/>
            </w:tcMar>
          </w:tcPr>
          <w:p>
            <w:r>
              <w:rPr>
                <w:color w:val="000000"/>
                <w:sz w:val="20"/>
                <w:szCs w:val="20"/>
              </w:rPr>
              <w:t xml:space="preserve">Data Freshness and Energy-Efficient UAV Navigation Optimization: A Deep Reinforcement Learning Approach</w:t>
            </w:r>
          </w:p>
        </w:tc>
        <w:tc>
          <w:tcPr>
            <w:tcW w:type="dxa" w:w="1800"/>
            <w:shd w:fill="F2F2F2" w:val="clear"/>
            <w:tcMar>
              <w:top w:type="dxa" w:w="100"/>
              <w:left w:type="dxa" w:w="120"/>
              <w:bottom w:type="dxa" w:w="100"/>
              <w:right w:type="dxa" w:w="120"/>
            </w:tcMar>
          </w:tcPr>
          <w:p>
            <w:r>
              <w:rPr>
                <w:color w:val="000000"/>
                <w:sz w:val="20"/>
                <w:szCs w:val="20"/>
              </w:rPr>
              <w:t xml:space="preserve">IEEE Trans. Intelligent Transportation Systems, 2020</w:t>
            </w:r>
          </w:p>
        </w:tc>
        <w:tc>
          <w:tcPr>
            <w:tcW w:type="dxa" w:w="2860"/>
            <w:shd w:fill="F2F2F2" w:val="clear"/>
            <w:tcMar>
              <w:top w:type="dxa" w:w="100"/>
              <w:left w:type="dxa" w:w="120"/>
              <w:bottom w:type="dxa" w:w="100"/>
              <w:right w:type="dxa" w:w="120"/>
            </w:tcMar>
          </w:tcPr>
          <w:p>
            <w:r>
              <w:rPr>
                <w:color w:val="000000"/>
                <w:sz w:val="20"/>
                <w:szCs w:val="20"/>
              </w:rPr>
              <w:t xml:space="preserve">UAV + DRL + energy, data-freshness/communication objective</w:t>
            </w:r>
          </w:p>
        </w:tc>
      </w:tr>
    </w:tbl>
    <w:p>
      <w:pPr>
        <w:spacing w:after="160"/>
        <w:jc w:val="both"/>
      </w:pPr>
      <w:r>
        <w:rPr>
          <w:sz w:val="22"/>
          <w:szCs w:val="22"/>
        </w:rPr>
        <w:t xml:space="preserve"> </w:t>
      </w:r>
    </w:p>
    <w:p>
      <w:pPr>
        <w:spacing w:after="160"/>
        <w:jc w:val="both"/>
      </w:pPr>
      <w:r>
        <w:rPr>
          <w:sz w:val="22"/>
          <w:szCs w:val="22"/>
        </w:rPr>
        <w:t xml:space="preserve">Reference [1] is adopted as the base paper: it formulates the aircraft climb/departure trajectory as a DRL problem, optimizing a joint fuel-and-noise reward under real aircraft dynamics and topography constraints. References [3]–[5] use DRL for UAV energy efficiency but address communication/networking energy (e.g., relay hovering, data freshness) rather than flight propulsion fuel — an important distinction discussed in the research gap below.</w:t>
      </w:r>
    </w:p>
    <w:p>
      <w:pPr>
        <w:pStyle w:val="Heading1"/>
        <w:spacing w:after="160" w:before="320"/>
      </w:pPr>
      <w:r>
        <w:rPr>
          <w:b/>
          <w:bCs/>
          <w:color w:val="16213E"/>
          <w:sz w:val="30"/>
          <w:szCs w:val="30"/>
        </w:rPr>
        <w:t xml:space="preserve">3. Research Gap</w:t>
      </w:r>
    </w:p>
    <w:p>
      <w:pPr>
        <w:pStyle w:val="ListParagraph"/>
        <w:numPr>
          <w:ilvl w:val="0"/>
          <w:numId w:val="2"/>
        </w:numPr>
        <w:spacing w:after="100"/>
      </w:pPr>
      <w:r>
        <w:rPr>
          <w:sz w:val="22"/>
          <w:szCs w:val="22"/>
        </w:rPr>
        <w:t xml:space="preserve">Scope limitation in the base paper: Reference [1] optimizes only the climb/departure phase, and jointly with a noise objective — not a full climb–cruise–descent profile optimized purely for fuel.</w:t>
      </w:r>
    </w:p>
    <w:p>
      <w:pPr>
        <w:pStyle w:val="ListParagraph"/>
        <w:numPr>
          <w:ilvl w:val="0"/>
          <w:numId w:val="2"/>
        </w:numPr>
        <w:spacing w:after="100"/>
      </w:pPr>
      <w:r>
        <w:rPr>
          <w:sz w:val="22"/>
          <w:szCs w:val="22"/>
        </w:rPr>
        <w:t xml:space="preserve">Field split: the majority of “UAV energy-efficient DRL” literature ([3]–[5]) actually optimizes communication/networking energy, not propulsion/flight fuel — a different problem wearing similar keywords.</w:t>
      </w:r>
    </w:p>
    <w:p>
      <w:pPr>
        <w:pStyle w:val="ListParagraph"/>
        <w:numPr>
          <w:ilvl w:val="0"/>
          <w:numId w:val="2"/>
        </w:numPr>
        <w:spacing w:after="100"/>
      </w:pPr>
      <w:r>
        <w:rPr>
          <w:sz w:val="22"/>
          <w:szCs w:val="22"/>
        </w:rPr>
        <w:t xml:space="preserve">Missing generalization evidence: none of the surveyed papers explicitly evaluate a trained policy on wind or constraint configurations withheld from training.</w:t>
      </w:r>
    </w:p>
    <w:p>
      <w:pPr>
        <w:pStyle w:val="ListParagraph"/>
        <w:numPr>
          <w:ilvl w:val="0"/>
          <w:numId w:val="2"/>
        </w:numPr>
        <w:spacing w:after="100"/>
      </w:pPr>
      <w:r>
        <w:rPr>
          <w:sz w:val="22"/>
          <w:szCs w:val="22"/>
        </w:rPr>
        <w:t xml:space="preserve">Missing trade-off characterization: most report single-point performance metrics rather than a fuel-vs-time Pareto frontier useful for real mission planning.</w:t>
      </w:r>
    </w:p>
    <w:p>
      <w:pPr>
        <w:pStyle w:val="Heading1"/>
        <w:spacing w:after="160" w:before="320"/>
      </w:pPr>
      <w:r>
        <w:rPr>
          <w:b/>
          <w:bCs/>
          <w:color w:val="16213E"/>
          <w:sz w:val="30"/>
          <w:szCs w:val="30"/>
        </w:rPr>
        <w:t xml:space="preserve">4. Problem Statement</w:t>
      </w:r>
    </w:p>
    <w:p>
      <w:pPr>
        <w:spacing w:after="160"/>
        <w:jc w:val="both"/>
      </w:pPr>
      <w:r>
        <w:rPr>
          <w:i/>
          <w:iCs/>
          <w:sz w:val="22"/>
          <w:szCs w:val="22"/>
        </w:rPr>
        <w:t xml:space="preserve">Fixed climb–cruise–descent profiles do not adapt to live wind conditions or airspace layout, leaving fuel and energy savings unrealized — while classical re-optimization for every new scenario is computationally expensive for real-time use.</w:t>
      </w:r>
    </w:p>
    <w:p>
      <w:pPr>
        <w:spacing w:after="160"/>
        <w:jc w:val="both"/>
      </w:pPr>
      <w:r>
        <w:rPr>
          <w:b/>
          <w:bCs/>
          <w:sz w:val="22"/>
          <w:szCs w:val="22"/>
        </w:rPr>
        <w:t xml:space="preserve">This project asks: “Can a DRL agent learn a single adaptive policy that plans fuel/energy-optimal climb–cruise–descent trajectories for a UAV, subject to no-fly zones and wind disturbance, that generalizes across conditions without re-solving from scratch?”</w:t>
      </w:r>
    </w:p>
    <w:p>
      <w:pPr>
        <w:pStyle w:val="Heading1"/>
        <w:spacing w:after="160" w:before="320"/>
      </w:pPr>
      <w:r>
        <w:rPr>
          <w:b/>
          <w:bCs/>
          <w:color w:val="16213E"/>
          <w:sz w:val="30"/>
          <w:szCs w:val="30"/>
        </w:rPr>
        <w:t xml:space="preserve">5. Objectives</w:t>
      </w:r>
    </w:p>
    <w:p>
      <w:pPr>
        <w:pStyle w:val="ListParagraph"/>
        <w:numPr>
          <w:ilvl w:val="0"/>
          <w:numId w:val="2"/>
        </w:numPr>
        <w:spacing w:after="100"/>
      </w:pPr>
      <w:r>
        <w:rPr>
          <w:sz w:val="22"/>
          <w:szCs w:val="22"/>
        </w:rPr>
        <w:t xml:space="preserve">Design an MDP formulation (state, action, reward) for UAV energy-optimal trajectory planning.</w:t>
      </w:r>
    </w:p>
    <w:p>
      <w:pPr>
        <w:pStyle w:val="ListParagraph"/>
        <w:numPr>
          <w:ilvl w:val="0"/>
          <w:numId w:val="2"/>
        </w:numPr>
        <w:spacing w:after="100"/>
      </w:pPr>
      <w:r>
        <w:rPr>
          <w:sz w:val="22"/>
          <w:szCs w:val="22"/>
        </w:rPr>
        <w:t xml:space="preserve">Train a continuous-control DRL agent (SAC/DDPG) to minimize fuel/energy use over the full flight profile.</w:t>
      </w:r>
    </w:p>
    <w:p>
      <w:pPr>
        <w:pStyle w:val="ListParagraph"/>
        <w:numPr>
          <w:ilvl w:val="0"/>
          <w:numId w:val="2"/>
        </w:numPr>
        <w:spacing w:after="100"/>
      </w:pPr>
      <w:r>
        <w:rPr>
          <w:sz w:val="22"/>
          <w:szCs w:val="22"/>
        </w:rPr>
        <w:t xml:space="preserve">Enforce operational constraints — no-fly zones, altitude limits, and wind disturbance — within the learned policy.</w:t>
      </w:r>
    </w:p>
    <w:p>
      <w:pPr>
        <w:pStyle w:val="ListParagraph"/>
        <w:numPr>
          <w:ilvl w:val="0"/>
          <w:numId w:val="2"/>
        </w:numPr>
        <w:spacing w:after="100"/>
      </w:pPr>
      <w:r>
        <w:rPr>
          <w:sz w:val="22"/>
          <w:szCs w:val="22"/>
        </w:rPr>
        <w:t xml:space="preserve">Benchmark against a classical dynamic-programming / optimal-control baseline on the same environment.</w:t>
      </w:r>
    </w:p>
    <w:p>
      <w:pPr>
        <w:pStyle w:val="ListParagraph"/>
        <w:numPr>
          <w:ilvl w:val="0"/>
          <w:numId w:val="2"/>
        </w:numPr>
        <w:spacing w:after="100"/>
      </w:pPr>
      <w:r>
        <w:rPr>
          <w:sz w:val="22"/>
          <w:szCs w:val="22"/>
        </w:rPr>
        <w:t xml:space="preserve">Characterize the fuel-vs-time trade-off via Pareto curves and test robustness to unseen conditions.</w:t>
      </w:r>
    </w:p>
    <w:p>
      <w:pPr>
        <w:pStyle w:val="Heading1"/>
        <w:spacing w:after="160" w:before="320"/>
      </w:pPr>
      <w:r>
        <w:rPr>
          <w:b/>
          <w:bCs/>
          <w:color w:val="16213E"/>
          <w:sz w:val="30"/>
          <w:szCs w:val="30"/>
        </w:rPr>
        <w:t xml:space="preserve">6. Proposed Methodology — MDP Formulation</w:t>
      </w:r>
    </w:p>
    <w:p>
      <w:pPr>
        <w:spacing w:after="160"/>
        <w:jc w:val="both"/>
      </w:pPr>
      <w:r>
        <w:rPr>
          <w:sz w:val="22"/>
          <w:szCs w:val="22"/>
        </w:rPr>
        <w:t xml:space="preserve">The problem is formulated as a Markov Decision Process using a point-mass energy dynamics model as the simulation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6213E" w:val="clear"/>
            <w:tcMar>
              <w:top w:type="dxa" w:w="100"/>
              <w:left w:type="dxa" w:w="120"/>
              <w:bottom w:type="dxa" w:w="100"/>
              <w:right w:type="dxa" w:w="120"/>
            </w:tcMar>
          </w:tcPr>
          <w:p>
            <w:r>
              <w:rPr>
                <w:b/>
                <w:bCs/>
                <w:color w:val="FFFFFF"/>
                <w:sz w:val="20"/>
                <w:szCs w:val="20"/>
              </w:rPr>
              <w:t xml:space="preserve">Component</w:t>
            </w:r>
          </w:p>
        </w:tc>
        <w:tc>
          <w:tcPr>
            <w:tcW w:type="dxa" w:w="7160"/>
            <w:shd w:fill="16213E" w:val="clear"/>
            <w:tcMar>
              <w:top w:type="dxa" w:w="100"/>
              <w:left w:type="dxa" w:w="120"/>
              <w:bottom w:type="dxa" w:w="100"/>
              <w:right w:type="dxa" w:w="120"/>
            </w:tcMar>
          </w:tcPr>
          <w:p>
            <w:r>
              <w:rPr>
                <w:b/>
                <w:bCs/>
                <w:color w:val="FFFFFF"/>
                <w:sz w:val="20"/>
                <w:szCs w:val="20"/>
              </w:rPr>
              <w:t xml:space="preserve">Definition</w:t>
            </w:r>
          </w:p>
        </w:tc>
      </w:tr>
      <w:tr>
        <w:tc>
          <w:tcPr>
            <w:tcW w:type="dxa" w:w="2200"/>
            <w:shd w:fill="F2F2F2" w:val="clear"/>
            <w:tcMar>
              <w:top w:type="dxa" w:w="100"/>
              <w:left w:type="dxa" w:w="120"/>
              <w:bottom w:type="dxa" w:w="100"/>
              <w:right w:type="dxa" w:w="120"/>
            </w:tcMar>
          </w:tcPr>
          <w:p>
            <w:r>
              <w:rPr>
                <w:color w:val="000000"/>
                <w:sz w:val="20"/>
                <w:szCs w:val="20"/>
              </w:rPr>
              <w:t xml:space="preserve">State (9,)</w:t>
            </w:r>
          </w:p>
        </w:tc>
        <w:tc>
          <w:tcPr>
            <w:tcW w:type="dxa" w:w="7160"/>
            <w:shd w:fill="F2F2F2" w:val="clear"/>
            <w:tcMar>
              <w:top w:type="dxa" w:w="100"/>
              <w:left w:type="dxa" w:w="120"/>
              <w:bottom w:type="dxa" w:w="100"/>
              <w:right w:type="dxa" w:w="120"/>
            </w:tcMar>
          </w:tcPr>
          <w:p>
            <w:r>
              <w:rPr>
                <w:color w:val="000000"/>
                <w:sz w:val="20"/>
                <w:szCs w:val="20"/>
              </w:rPr>
              <w:t xml:space="preserve">x, y, altitude, velocity, heading, fuel remaining, distance to goal, wind_x, wind_y</w:t>
            </w:r>
          </w:p>
        </w:tc>
      </w:tr>
      <w:tr>
        <w:tc>
          <w:tcPr>
            <w:tcW w:type="dxa" w:w="2200"/>
            <w:shd w:fill="FFFFFF" w:val="clear"/>
            <w:tcMar>
              <w:top w:type="dxa" w:w="100"/>
              <w:left w:type="dxa" w:w="120"/>
              <w:bottom w:type="dxa" w:w="100"/>
              <w:right w:type="dxa" w:w="120"/>
            </w:tcMar>
          </w:tcPr>
          <w:p>
            <w:r>
              <w:rPr>
                <w:color w:val="000000"/>
                <w:sz w:val="20"/>
                <w:szCs w:val="20"/>
              </w:rPr>
              <w:t xml:space="preserve">Action (3,)</w:t>
            </w:r>
          </w:p>
        </w:tc>
        <w:tc>
          <w:tcPr>
            <w:tcW w:type="dxa" w:w="7160"/>
            <w:shd w:fill="FFFFFF" w:val="clear"/>
            <w:tcMar>
              <w:top w:type="dxa" w:w="100"/>
              <w:left w:type="dxa" w:w="120"/>
              <w:bottom w:type="dxa" w:w="100"/>
              <w:right w:type="dxa" w:w="120"/>
            </w:tcMar>
          </w:tcPr>
          <w:p>
            <w:r>
              <w:rPr>
                <w:color w:val="000000"/>
                <w:sz w:val="20"/>
                <w:szCs w:val="20"/>
              </w:rPr>
              <w:t xml:space="preserve">Thrust command, climb-rate command, heading-rate command (continuous, normalized to [-1, 1])</w:t>
            </w:r>
          </w:p>
        </w:tc>
      </w:tr>
      <w:tr>
        <w:tc>
          <w:tcPr>
            <w:tcW w:type="dxa" w:w="2200"/>
            <w:shd w:fill="F2F2F2" w:val="clear"/>
            <w:tcMar>
              <w:top w:type="dxa" w:w="100"/>
              <w:left w:type="dxa" w:w="120"/>
              <w:bottom w:type="dxa" w:w="100"/>
              <w:right w:type="dxa" w:w="120"/>
            </w:tcMar>
          </w:tcPr>
          <w:p>
            <w:r>
              <w:rPr>
                <w:color w:val="000000"/>
                <w:sz w:val="20"/>
                <w:szCs w:val="20"/>
              </w:rPr>
              <w:t xml:space="preserve">Reward</w:t>
            </w:r>
          </w:p>
        </w:tc>
        <w:tc>
          <w:tcPr>
            <w:tcW w:type="dxa" w:w="7160"/>
            <w:shd w:fill="F2F2F2" w:val="clear"/>
            <w:tcMar>
              <w:top w:type="dxa" w:w="100"/>
              <w:left w:type="dxa" w:w="120"/>
              <w:bottom w:type="dxa" w:w="100"/>
              <w:right w:type="dxa" w:w="120"/>
            </w:tcMar>
          </w:tcPr>
          <w:p>
            <w:r>
              <w:rPr>
                <w:color w:val="000000"/>
                <w:sz w:val="20"/>
                <w:szCs w:val="20"/>
              </w:rPr>
              <w:t xml:space="preserve">R = −w₁·fuel − w₂·time − w₃·violation − w₄·altitude_deviation + w₅·progress</w:t>
            </w:r>
          </w:p>
        </w:tc>
      </w:tr>
      <w:tr>
        <w:tc>
          <w:tcPr>
            <w:tcW w:type="dxa" w:w="2200"/>
            <w:shd w:fill="FFFFFF" w:val="clear"/>
            <w:tcMar>
              <w:top w:type="dxa" w:w="100"/>
              <w:left w:type="dxa" w:w="120"/>
              <w:bottom w:type="dxa" w:w="100"/>
              <w:right w:type="dxa" w:w="120"/>
            </w:tcMar>
          </w:tcPr>
          <w:p>
            <w:r>
              <w:rPr>
                <w:color w:val="000000"/>
                <w:sz w:val="20"/>
                <w:szCs w:val="20"/>
              </w:rPr>
              <w:t xml:space="preserve">Transition dynamics</w:t>
            </w:r>
          </w:p>
        </w:tc>
        <w:tc>
          <w:tcPr>
            <w:tcW w:type="dxa" w:w="7160"/>
            <w:shd w:fill="FFFFFF" w:val="clear"/>
            <w:tcMar>
              <w:top w:type="dxa" w:w="100"/>
              <w:left w:type="dxa" w:w="120"/>
              <w:bottom w:type="dxa" w:w="100"/>
              <w:right w:type="dxa" w:w="120"/>
            </w:tcMar>
          </w:tcPr>
          <w:p>
            <w:r>
              <w:rPr>
                <w:color w:val="000000"/>
                <w:sz w:val="20"/>
                <w:szCs w:val="20"/>
              </w:rPr>
              <w:t xml:space="preserve">Point-mass kinematics update + OpenAP-based fuel-burn model</w:t>
            </w:r>
          </w:p>
        </w:tc>
      </w:tr>
      <w:tr>
        <w:tc>
          <w:tcPr>
            <w:tcW w:type="dxa" w:w="2200"/>
            <w:shd w:fill="F2F2F2" w:val="clear"/>
            <w:tcMar>
              <w:top w:type="dxa" w:w="100"/>
              <w:left w:type="dxa" w:w="120"/>
              <w:bottom w:type="dxa" w:w="100"/>
              <w:right w:type="dxa" w:w="120"/>
            </w:tcMar>
          </w:tcPr>
          <w:p>
            <w:r>
              <w:rPr>
                <w:color w:val="000000"/>
                <w:sz w:val="20"/>
                <w:szCs w:val="20"/>
              </w:rPr>
              <w:t xml:space="preserve">Constraints</w:t>
            </w:r>
          </w:p>
        </w:tc>
        <w:tc>
          <w:tcPr>
            <w:tcW w:type="dxa" w:w="7160"/>
            <w:shd w:fill="F2F2F2" w:val="clear"/>
            <w:tcMar>
              <w:top w:type="dxa" w:w="100"/>
              <w:left w:type="dxa" w:w="120"/>
              <w:bottom w:type="dxa" w:w="100"/>
              <w:right w:type="dxa" w:w="120"/>
            </w:tcMar>
          </w:tcPr>
          <w:p>
            <w:r>
              <w:rPr>
                <w:color w:val="000000"/>
                <w:sz w:val="20"/>
                <w:szCs w:val="20"/>
              </w:rPr>
              <w:t xml:space="preserve">Static circular no-fly zones (hard in baseline, penalized in DRL reward); altitude ceiling</w:t>
            </w:r>
          </w:p>
        </w:tc>
      </w:tr>
    </w:tbl>
    <w:p>
      <w:pPr>
        <w:pStyle w:val="Heading1"/>
        <w:spacing w:after="160" w:before="320"/>
      </w:pPr>
      <w:r>
        <w:rPr>
          <w:b/>
          <w:bCs/>
          <w:color w:val="16213E"/>
          <w:sz w:val="30"/>
          <w:szCs w:val="30"/>
        </w:rPr>
        <w:t xml:space="preserve">7. Base Paper → Our Increment</w:t>
      </w:r>
    </w:p>
    <w:p>
      <w:pPr>
        <w:spacing w:after="160"/>
        <w:jc w:val="both"/>
      </w:pPr>
      <w:r>
        <w:rPr>
          <w:sz w:val="22"/>
          <w:szCs w:val="22"/>
        </w:rPr>
        <w:t xml:space="preserve">The following table summarizes what Reference [1] (the base paper) does, and what this project adds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6213E" w:val="clear"/>
            <w:tcMar>
              <w:top w:type="dxa" w:w="100"/>
              <w:left w:type="dxa" w:w="120"/>
              <w:bottom w:type="dxa" w:w="100"/>
              <w:right w:type="dxa" w:w="120"/>
            </w:tcMar>
          </w:tcPr>
          <w:p>
            <w:r>
              <w:rPr>
                <w:b/>
                <w:bCs/>
                <w:color w:val="FFFFFF"/>
                <w:sz w:val="20"/>
                <w:szCs w:val="20"/>
              </w:rPr>
              <w:t xml:space="preserve">Base Paper [1] — 2025</w:t>
            </w:r>
          </w:p>
        </w:tc>
        <w:tc>
          <w:tcPr>
            <w:tcW w:type="dxa" w:w="4680"/>
            <w:shd w:fill="16213E" w:val="clear"/>
            <w:tcMar>
              <w:top w:type="dxa" w:w="100"/>
              <w:left w:type="dxa" w:w="120"/>
              <w:bottom w:type="dxa" w:w="100"/>
              <w:right w:type="dxa" w:w="120"/>
            </w:tcMar>
          </w:tcPr>
          <w:p>
            <w:r>
              <w:rPr>
                <w:b/>
                <w:bCs/>
                <w:color w:val="FFFFFF"/>
                <w:sz w:val="20"/>
                <w:szCs w:val="20"/>
              </w:rPr>
              <w:t xml:space="preserve">Our Increment</w:t>
            </w:r>
          </w:p>
        </w:tc>
      </w:tr>
      <w:tr>
        <w:tc>
          <w:tcPr>
            <w:tcW w:type="dxa" w:w="4680"/>
            <w:shd w:fill="F2F2F2" w:val="clear"/>
            <w:tcMar>
              <w:top w:type="dxa" w:w="100"/>
              <w:left w:type="dxa" w:w="120"/>
              <w:bottom w:type="dxa" w:w="100"/>
              <w:right w:type="dxa" w:w="120"/>
            </w:tcMar>
          </w:tcPr>
          <w:p>
            <w:r>
              <w:rPr>
                <w:color w:val="000000"/>
                <w:sz w:val="20"/>
                <w:szCs w:val="20"/>
              </w:rPr>
              <w:t xml:space="preserve">Optimizes only the climb / departure phase</w:t>
            </w:r>
          </w:p>
        </w:tc>
        <w:tc>
          <w:tcPr>
            <w:tcW w:type="dxa" w:w="4680"/>
            <w:shd w:fill="F2F2F2" w:val="clear"/>
            <w:tcMar>
              <w:top w:type="dxa" w:w="100"/>
              <w:left w:type="dxa" w:w="120"/>
              <w:bottom w:type="dxa" w:w="100"/>
              <w:right w:type="dxa" w:w="120"/>
            </w:tcMar>
          </w:tcPr>
          <w:p>
            <w:r>
              <w:rPr>
                <w:color w:val="000000"/>
                <w:sz w:val="20"/>
                <w:szCs w:val="20"/>
              </w:rPr>
              <w:t xml:space="preserve">Extends to full climb–cruise–descent profile</w:t>
            </w:r>
          </w:p>
        </w:tc>
      </w:tr>
      <w:tr>
        <w:tc>
          <w:tcPr>
            <w:tcW w:type="dxa" w:w="4680"/>
            <w:shd w:fill="FFFFFF" w:val="clear"/>
            <w:tcMar>
              <w:top w:type="dxa" w:w="100"/>
              <w:left w:type="dxa" w:w="120"/>
              <w:bottom w:type="dxa" w:w="100"/>
              <w:right w:type="dxa" w:w="120"/>
            </w:tcMar>
          </w:tcPr>
          <w:p>
            <w:r>
              <w:rPr>
                <w:color w:val="000000"/>
                <w:sz w:val="20"/>
                <w:szCs w:val="20"/>
              </w:rPr>
              <w:t xml:space="preserve">Joint fuel + noise objective (coupled trade-off)</w:t>
            </w:r>
          </w:p>
        </w:tc>
        <w:tc>
          <w:tcPr>
            <w:tcW w:type="dxa" w:w="4680"/>
            <w:shd w:fill="FFFFFF" w:val="clear"/>
            <w:tcMar>
              <w:top w:type="dxa" w:w="100"/>
              <w:left w:type="dxa" w:w="120"/>
              <w:bottom w:type="dxa" w:w="100"/>
              <w:right w:type="dxa" w:w="120"/>
            </w:tcMar>
          </w:tcPr>
          <w:p>
            <w:r>
              <w:rPr>
                <w:color w:val="000000"/>
                <w:sz w:val="20"/>
                <w:szCs w:val="20"/>
              </w:rPr>
              <w:t xml:space="preserve">Isolated fuel/energy-only objective for a cleaner signal</w:t>
            </w:r>
          </w:p>
        </w:tc>
      </w:tr>
      <w:tr>
        <w:tc>
          <w:tcPr>
            <w:tcW w:type="dxa" w:w="4680"/>
            <w:shd w:fill="F2F2F2" w:val="clear"/>
            <w:tcMar>
              <w:top w:type="dxa" w:w="100"/>
              <w:left w:type="dxa" w:w="120"/>
              <w:bottom w:type="dxa" w:w="100"/>
              <w:right w:type="dxa" w:w="120"/>
            </w:tcMar>
          </w:tcPr>
          <w:p>
            <w:r>
              <w:rPr>
                <w:color w:val="000000"/>
                <w:sz w:val="20"/>
                <w:szCs w:val="20"/>
              </w:rPr>
              <w:t xml:space="preserve">Constrained by topography only</w:t>
            </w:r>
          </w:p>
        </w:tc>
        <w:tc>
          <w:tcPr>
            <w:tcW w:type="dxa" w:w="4680"/>
            <w:shd w:fill="F2F2F2" w:val="clear"/>
            <w:tcMar>
              <w:top w:type="dxa" w:w="100"/>
              <w:left w:type="dxa" w:w="120"/>
              <w:bottom w:type="dxa" w:w="100"/>
              <w:right w:type="dxa" w:w="120"/>
            </w:tcMar>
          </w:tcPr>
          <w:p>
            <w:r>
              <w:rPr>
                <w:color w:val="000000"/>
                <w:sz w:val="20"/>
                <w:szCs w:val="20"/>
              </w:rPr>
              <w:t xml:space="preserve">Adds airspace no-fly zones + wind disturbance</w:t>
            </w:r>
          </w:p>
        </w:tc>
      </w:tr>
      <w:tr>
        <w:tc>
          <w:tcPr>
            <w:tcW w:type="dxa" w:w="4680"/>
            <w:shd w:fill="FFFFFF" w:val="clear"/>
            <w:tcMar>
              <w:top w:type="dxa" w:w="100"/>
              <w:left w:type="dxa" w:w="120"/>
              <w:bottom w:type="dxa" w:w="100"/>
              <w:right w:type="dxa" w:w="120"/>
            </w:tcMar>
          </w:tcPr>
          <w:p>
            <w:r>
              <w:rPr>
                <w:color w:val="000000"/>
                <w:sz w:val="20"/>
                <w:szCs w:val="20"/>
              </w:rPr>
              <w:t xml:space="preserve">Paper-specific aircraft dynamics model</w:t>
            </w:r>
          </w:p>
        </w:tc>
        <w:tc>
          <w:tcPr>
            <w:tcW w:type="dxa" w:w="4680"/>
            <w:shd w:fill="FFFFFF" w:val="clear"/>
            <w:tcMar>
              <w:top w:type="dxa" w:w="100"/>
              <w:left w:type="dxa" w:w="120"/>
              <w:bottom w:type="dxa" w:w="100"/>
              <w:right w:type="dxa" w:w="120"/>
            </w:tcMar>
          </w:tcPr>
          <w:p>
            <w:r>
              <w:rPr>
                <w:color w:val="000000"/>
                <w:sz w:val="20"/>
                <w:szCs w:val="20"/>
              </w:rPr>
              <w:t xml:space="preserve">Open-source OpenAP fuel/thrust data in a custom Gym environment</w:t>
            </w:r>
          </w:p>
        </w:tc>
      </w:tr>
      <w:tr>
        <w:tc>
          <w:tcPr>
            <w:tcW w:type="dxa" w:w="4680"/>
            <w:shd w:fill="F2F2F2" w:val="clear"/>
            <w:tcMar>
              <w:top w:type="dxa" w:w="100"/>
              <w:left w:type="dxa" w:w="120"/>
              <w:bottom w:type="dxa" w:w="100"/>
              <w:right w:type="dxa" w:w="120"/>
            </w:tcMar>
          </w:tcPr>
          <w:p>
            <w:r>
              <w:rPr>
                <w:color w:val="000000"/>
                <w:sz w:val="20"/>
                <w:szCs w:val="20"/>
              </w:rPr>
              <w:t xml:space="preserve">No classical baseline reported for comparison</w:t>
            </w:r>
          </w:p>
        </w:tc>
        <w:tc>
          <w:tcPr>
            <w:tcW w:type="dxa" w:w="4680"/>
            <w:shd w:fill="F2F2F2" w:val="clear"/>
            <w:tcMar>
              <w:top w:type="dxa" w:w="100"/>
              <w:left w:type="dxa" w:w="120"/>
              <w:bottom w:type="dxa" w:w="100"/>
              <w:right w:type="dxa" w:w="120"/>
            </w:tcMar>
          </w:tcPr>
          <w:p>
            <w:r>
              <w:rPr>
                <w:color w:val="000000"/>
                <w:sz w:val="20"/>
                <w:szCs w:val="20"/>
              </w:rPr>
              <w:t xml:space="preserve">Dynamic-programming baseline built — hard-constraint, zero-violation path (487 kg, verified)</w:t>
            </w:r>
          </w:p>
        </w:tc>
      </w:tr>
      <w:tr>
        <w:tc>
          <w:tcPr>
            <w:tcW w:type="dxa" w:w="4680"/>
            <w:shd w:fill="FFFFFF" w:val="clear"/>
            <w:tcMar>
              <w:top w:type="dxa" w:w="100"/>
              <w:left w:type="dxa" w:w="120"/>
              <w:bottom w:type="dxa" w:w="100"/>
              <w:right w:type="dxa" w:w="120"/>
            </w:tcMar>
          </w:tcPr>
          <w:p>
            <w:r>
              <w:rPr>
                <w:color w:val="000000"/>
                <w:sz w:val="20"/>
                <w:szCs w:val="20"/>
              </w:rPr>
              <w:t xml:space="preserve">Single-point performance reporting</w:t>
            </w:r>
          </w:p>
        </w:tc>
        <w:tc>
          <w:tcPr>
            <w:tcW w:type="dxa" w:w="4680"/>
            <w:shd w:fill="FFFFFF" w:val="clear"/>
            <w:tcMar>
              <w:top w:type="dxa" w:w="100"/>
              <w:left w:type="dxa" w:w="120"/>
              <w:bottom w:type="dxa" w:w="100"/>
              <w:right w:type="dxa" w:w="120"/>
            </w:tcMar>
          </w:tcPr>
          <w:p>
            <w:r>
              <w:rPr>
                <w:color w:val="000000"/>
                <w:sz w:val="20"/>
                <w:szCs w:val="20"/>
              </w:rPr>
              <w:t xml:space="preserve">Fuel-vs-time Pareto frontier + out-of-distribution wind/zone testing</w:t>
            </w:r>
          </w:p>
        </w:tc>
      </w:tr>
    </w:tbl>
    <w:p>
      <w:pPr>
        <w:spacing w:after="160"/>
        <w:jc w:val="both"/>
      </w:pPr>
      <w:r>
        <w:rPr>
          <w:sz w:val="22"/>
          <w:szCs w:val="22"/>
        </w:rPr>
        <w:t xml:space="preserve"> </w:t>
      </w:r>
    </w:p>
    <w:p>
      <w:pPr>
        <w:spacing w:after="160"/>
        <w:jc w:val="both"/>
      </w:pPr>
      <w:r>
        <w:rPr>
          <w:b/>
          <w:bCs/>
          <w:i/>
          <w:iCs/>
          <w:sz w:val="22"/>
          <w:szCs w:val="22"/>
        </w:rPr>
        <w:t xml:space="preserve">Net increment: single-phase, joint fuel-noise optimization is extended to a full-profile, fuel-only, generalization-tested, Pareto-characterized framework — with the environment and DP baseline already implemented and verified.</w:t>
      </w:r>
    </w:p>
    <w:p>
      <w:pPr>
        <w:pStyle w:val="Heading1"/>
        <w:spacing w:after="160" w:before="320"/>
      </w:pPr>
      <w:r>
        <w:rPr>
          <w:b/>
          <w:bCs/>
          <w:color w:val="16213E"/>
          <w:sz w:val="30"/>
          <w:szCs w:val="30"/>
        </w:rPr>
        <w:t xml:space="preserve">8. Feasibility Study</w:t>
      </w:r>
    </w:p>
    <w:p>
      <w:pPr>
        <w:pStyle w:val="Heading2"/>
        <w:spacing w:after="120" w:before="220"/>
      </w:pPr>
      <w:r>
        <w:rPr>
          <w:b/>
          <w:bCs/>
          <w:color w:val="16213E"/>
          <w:sz w:val="25"/>
          <w:szCs w:val="25"/>
        </w:rPr>
        <w:t xml:space="preserve">Technical</w:t>
      </w:r>
    </w:p>
    <w:p>
      <w:pPr>
        <w:pStyle w:val="ListParagraph"/>
        <w:numPr>
          <w:ilvl w:val="0"/>
          <w:numId w:val="2"/>
        </w:numPr>
        <w:spacing w:after="100"/>
      </w:pPr>
      <w:r>
        <w:rPr>
          <w:sz w:val="22"/>
          <w:szCs w:val="22"/>
        </w:rPr>
        <w:t xml:space="preserve">Mature open-source tools: Gymnasium, Stable-Baselines3, OpenAP.</w:t>
      </w:r>
    </w:p>
    <w:p>
      <w:pPr>
        <w:pStyle w:val="ListParagraph"/>
        <w:numPr>
          <w:ilvl w:val="0"/>
          <w:numId w:val="2"/>
        </w:numPr>
        <w:spacing w:after="100"/>
      </w:pPr>
      <w:r>
        <w:rPr>
          <w:sz w:val="22"/>
          <w:szCs w:val="22"/>
        </w:rPr>
        <w:t xml:space="preserve">Point-mass model avoids full 6-DOF simulator complexity.</w:t>
      </w:r>
    </w:p>
    <w:p>
      <w:pPr>
        <w:pStyle w:val="ListParagraph"/>
        <w:numPr>
          <w:ilvl w:val="0"/>
          <w:numId w:val="2"/>
        </w:numPr>
        <w:spacing w:after="100"/>
      </w:pPr>
      <w:r>
        <w:rPr>
          <w:sz w:val="22"/>
          <w:szCs w:val="22"/>
        </w:rPr>
        <w:t xml:space="preserve">SAC/DDPG are well-documented for continuous control problems.</w:t>
      </w:r>
    </w:p>
    <w:p>
      <w:pPr>
        <w:pStyle w:val="Heading2"/>
        <w:spacing w:after="120" w:before="220"/>
      </w:pPr>
      <w:r>
        <w:rPr>
          <w:b/>
          <w:bCs/>
          <w:color w:val="16213E"/>
          <w:sz w:val="25"/>
          <w:szCs w:val="25"/>
        </w:rPr>
        <w:t xml:space="preserve">Time (3 months)</w:t>
      </w:r>
    </w:p>
    <w:p>
      <w:pPr>
        <w:pStyle w:val="ListParagraph"/>
        <w:numPr>
          <w:ilvl w:val="0"/>
          <w:numId w:val="2"/>
        </w:numPr>
        <w:spacing w:after="100"/>
      </w:pPr>
      <w:r>
        <w:rPr>
          <w:sz w:val="22"/>
          <w:szCs w:val="22"/>
        </w:rPr>
        <w:t xml:space="preserve">Single-agent, single-aircraft scope fits a 12-week plan.</w:t>
      </w:r>
    </w:p>
    <w:p>
      <w:pPr>
        <w:pStyle w:val="ListParagraph"/>
        <w:numPr>
          <w:ilvl w:val="0"/>
          <w:numId w:val="2"/>
        </w:numPr>
        <w:spacing w:after="100"/>
      </w:pPr>
      <w:r>
        <w:rPr>
          <w:sz w:val="22"/>
          <w:szCs w:val="22"/>
        </w:rPr>
        <w:t xml:space="preserve">No real hardware or flight-test dependency.</w:t>
      </w:r>
    </w:p>
    <w:p>
      <w:pPr>
        <w:pStyle w:val="ListParagraph"/>
        <w:numPr>
          <w:ilvl w:val="0"/>
          <w:numId w:val="2"/>
        </w:numPr>
        <w:spacing w:after="100"/>
      </w:pPr>
      <w:r>
        <w:rPr>
          <w:sz w:val="22"/>
          <w:szCs w:val="22"/>
        </w:rPr>
        <w:t xml:space="preserve">Reduced scope relative to multi-aircraft / ATC-level problems.</w:t>
      </w:r>
    </w:p>
    <w:p>
      <w:pPr>
        <w:pStyle w:val="Heading2"/>
        <w:spacing w:after="120" w:before="220"/>
      </w:pPr>
      <w:r>
        <w:rPr>
          <w:b/>
          <w:bCs/>
          <w:color w:val="16213E"/>
          <w:sz w:val="25"/>
          <w:szCs w:val="25"/>
        </w:rPr>
        <w:t xml:space="preserve">Resource</w:t>
      </w:r>
    </w:p>
    <w:p>
      <w:pPr>
        <w:pStyle w:val="ListParagraph"/>
        <w:numPr>
          <w:ilvl w:val="0"/>
          <w:numId w:val="2"/>
        </w:numPr>
        <w:spacing w:after="100"/>
      </w:pPr>
      <w:r>
        <w:rPr>
          <w:sz w:val="22"/>
          <w:szCs w:val="22"/>
        </w:rPr>
        <w:t xml:space="preserve">Runs on a single GPU/CPU workstation.</w:t>
      </w:r>
    </w:p>
    <w:p>
      <w:pPr>
        <w:pStyle w:val="ListParagraph"/>
        <w:numPr>
          <w:ilvl w:val="0"/>
          <w:numId w:val="2"/>
        </w:numPr>
        <w:spacing w:after="100"/>
      </w:pPr>
      <w:r>
        <w:rPr>
          <w:sz w:val="22"/>
          <w:szCs w:val="22"/>
        </w:rPr>
        <w:t xml:space="preserve">No proprietary datasets or licensing required.</w:t>
      </w:r>
    </w:p>
    <w:p>
      <w:pPr>
        <w:pStyle w:val="ListParagraph"/>
        <w:numPr>
          <w:ilvl w:val="0"/>
          <w:numId w:val="2"/>
        </w:numPr>
        <w:spacing w:after="100"/>
      </w:pPr>
      <w:r>
        <w:rPr>
          <w:sz w:val="22"/>
          <w:szCs w:val="22"/>
        </w:rPr>
        <w:t xml:space="preserve">Small team (1–2 members) is sufficient.</w:t>
      </w:r>
    </w:p>
    <w:p>
      <w:pPr>
        <w:pStyle w:val="Heading1"/>
        <w:spacing w:after="160" w:before="320"/>
      </w:pPr>
      <w:r>
        <w:rPr>
          <w:b/>
          <w:bCs/>
          <w:color w:val="16213E"/>
          <w:sz w:val="30"/>
          <w:szCs w:val="30"/>
        </w:rPr>
        <w:t xml:space="preserve">9. Implementation Plan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6213E" w:val="clear"/>
            <w:tcMar>
              <w:top w:type="dxa" w:w="100"/>
              <w:left w:type="dxa" w:w="120"/>
              <w:bottom w:type="dxa" w:w="100"/>
              <w:right w:type="dxa" w:w="120"/>
            </w:tcMar>
          </w:tcPr>
          <w:p>
            <w:r>
              <w:rPr>
                <w:b/>
                <w:bCs/>
                <w:color w:val="FFFFFF"/>
                <w:sz w:val="20"/>
                <w:szCs w:val="20"/>
              </w:rPr>
              <w:t xml:space="preserve">Weeks</w:t>
            </w:r>
          </w:p>
        </w:tc>
        <w:tc>
          <w:tcPr>
            <w:tcW w:type="dxa" w:w="6000"/>
            <w:shd w:fill="16213E" w:val="clear"/>
            <w:tcMar>
              <w:top w:type="dxa" w:w="100"/>
              <w:left w:type="dxa" w:w="120"/>
              <w:bottom w:type="dxa" w:w="100"/>
              <w:right w:type="dxa" w:w="120"/>
            </w:tcMar>
          </w:tcPr>
          <w:p>
            <w:r>
              <w:rPr>
                <w:b/>
                <w:bCs/>
                <w:color w:val="FFFFFF"/>
                <w:sz w:val="20"/>
                <w:szCs w:val="20"/>
              </w:rPr>
              <w:t xml:space="preserve">Task</w:t>
            </w:r>
          </w:p>
        </w:tc>
        <w:tc>
          <w:tcPr>
            <w:tcW w:type="dxa" w:w="1860"/>
            <w:shd w:fill="16213E" w:val="clear"/>
            <w:tcMar>
              <w:top w:type="dxa" w:w="100"/>
              <w:left w:type="dxa" w:w="120"/>
              <w:bottom w:type="dxa" w:w="100"/>
              <w:right w:type="dxa" w:w="120"/>
            </w:tcMar>
          </w:tcPr>
          <w:p>
            <w:r>
              <w:rPr>
                <w:b/>
                <w:bCs/>
                <w:color w:val="FFFFFF"/>
                <w:sz w:val="20"/>
                <w:szCs w:val="20"/>
              </w:rPr>
              <w:t xml:space="preserve">Status</w:t>
            </w:r>
          </w:p>
        </w:tc>
      </w:tr>
      <w:tr>
        <w:tc>
          <w:tcPr>
            <w:tcW w:type="dxa" w:w="1500"/>
            <w:shd w:fill="F2F2F2" w:val="clear"/>
            <w:tcMar>
              <w:top w:type="dxa" w:w="100"/>
              <w:left w:type="dxa" w:w="120"/>
              <w:bottom w:type="dxa" w:w="100"/>
              <w:right w:type="dxa" w:w="120"/>
            </w:tcMar>
          </w:tcPr>
          <w:p>
            <w:r>
              <w:rPr>
                <w:color w:val="000000"/>
                <w:sz w:val="20"/>
                <w:szCs w:val="20"/>
              </w:rPr>
              <w:t xml:space="preserve">1–2</w:t>
            </w:r>
          </w:p>
        </w:tc>
        <w:tc>
          <w:tcPr>
            <w:tcW w:type="dxa" w:w="6000"/>
            <w:shd w:fill="F2F2F2" w:val="clear"/>
            <w:tcMar>
              <w:top w:type="dxa" w:w="100"/>
              <w:left w:type="dxa" w:w="120"/>
              <w:bottom w:type="dxa" w:w="100"/>
              <w:right w:type="dxa" w:w="120"/>
            </w:tcMar>
          </w:tcPr>
          <w:p>
            <w:r>
              <w:rPr>
                <w:color w:val="000000"/>
                <w:sz w:val="20"/>
                <w:szCs w:val="20"/>
              </w:rPr>
              <w:t xml:space="preserve">Environment, dynamics &amp; fuel model</w:t>
            </w:r>
          </w:p>
        </w:tc>
        <w:tc>
          <w:tcPr>
            <w:tcW w:type="dxa" w:w="1860"/>
            <w:shd w:fill="F2F2F2" w:val="clear"/>
            <w:tcMar>
              <w:top w:type="dxa" w:w="100"/>
              <w:left w:type="dxa" w:w="120"/>
              <w:bottom w:type="dxa" w:w="100"/>
              <w:right w:type="dxa" w:w="120"/>
            </w:tcMar>
          </w:tcPr>
          <w:p>
            <w:r>
              <w:rPr>
                <w:color w:val="000000"/>
                <w:sz w:val="20"/>
                <w:szCs w:val="20"/>
              </w:rPr>
              <w:t xml:space="preserve">Complete</w:t>
            </w:r>
          </w:p>
        </w:tc>
      </w:tr>
      <w:tr>
        <w:tc>
          <w:tcPr>
            <w:tcW w:type="dxa" w:w="1500"/>
            <w:shd w:fill="FFFFFF" w:val="clear"/>
            <w:tcMar>
              <w:top w:type="dxa" w:w="100"/>
              <w:left w:type="dxa" w:w="120"/>
              <w:bottom w:type="dxa" w:w="100"/>
              <w:right w:type="dxa" w:w="120"/>
            </w:tcMar>
          </w:tcPr>
          <w:p>
            <w:r>
              <w:rPr>
                <w:color w:val="000000"/>
                <w:sz w:val="20"/>
                <w:szCs w:val="20"/>
              </w:rPr>
              <w:t xml:space="preserve">3–4</w:t>
            </w:r>
          </w:p>
        </w:tc>
        <w:tc>
          <w:tcPr>
            <w:tcW w:type="dxa" w:w="6000"/>
            <w:shd w:fill="FFFFFF" w:val="clear"/>
            <w:tcMar>
              <w:top w:type="dxa" w:w="100"/>
              <w:left w:type="dxa" w:w="120"/>
              <w:bottom w:type="dxa" w:w="100"/>
              <w:right w:type="dxa" w:w="120"/>
            </w:tcMar>
          </w:tcPr>
          <w:p>
            <w:r>
              <w:rPr>
                <w:color w:val="000000"/>
                <w:sz w:val="20"/>
                <w:szCs w:val="20"/>
              </w:rPr>
              <w:t xml:space="preserve">Classical optimal-control baseline</w:t>
            </w:r>
          </w:p>
        </w:tc>
        <w:tc>
          <w:tcPr>
            <w:tcW w:type="dxa" w:w="1860"/>
            <w:shd w:fill="FFFFFF" w:val="clear"/>
            <w:tcMar>
              <w:top w:type="dxa" w:w="100"/>
              <w:left w:type="dxa" w:w="120"/>
              <w:bottom w:type="dxa" w:w="100"/>
              <w:right w:type="dxa" w:w="120"/>
            </w:tcMar>
          </w:tcPr>
          <w:p>
            <w:r>
              <w:rPr>
                <w:color w:val="000000"/>
                <w:sz w:val="20"/>
                <w:szCs w:val="20"/>
              </w:rPr>
              <w:t xml:space="preserve">Complete</w:t>
            </w:r>
          </w:p>
        </w:tc>
      </w:tr>
      <w:tr>
        <w:tc>
          <w:tcPr>
            <w:tcW w:type="dxa" w:w="1500"/>
            <w:shd w:fill="F2F2F2" w:val="clear"/>
            <w:tcMar>
              <w:top w:type="dxa" w:w="100"/>
              <w:left w:type="dxa" w:w="120"/>
              <w:bottom w:type="dxa" w:w="100"/>
              <w:right w:type="dxa" w:w="120"/>
            </w:tcMar>
          </w:tcPr>
          <w:p>
            <w:r>
              <w:rPr>
                <w:color w:val="000000"/>
                <w:sz w:val="20"/>
                <w:szCs w:val="20"/>
              </w:rPr>
              <w:t xml:space="preserve">5–8</w:t>
            </w:r>
          </w:p>
        </w:tc>
        <w:tc>
          <w:tcPr>
            <w:tcW w:type="dxa" w:w="6000"/>
            <w:shd w:fill="F2F2F2" w:val="clear"/>
            <w:tcMar>
              <w:top w:type="dxa" w:w="100"/>
              <w:left w:type="dxa" w:w="120"/>
              <w:bottom w:type="dxa" w:w="100"/>
              <w:right w:type="dxa" w:w="120"/>
            </w:tcMar>
          </w:tcPr>
          <w:p>
            <w:r>
              <w:rPr>
                <w:color w:val="000000"/>
                <w:sz w:val="20"/>
                <w:szCs w:val="20"/>
              </w:rPr>
              <w:t xml:space="preserve">SAC/DDPG training &amp; reward tuning</w:t>
            </w:r>
          </w:p>
        </w:tc>
        <w:tc>
          <w:tcPr>
            <w:tcW w:type="dxa" w:w="1860"/>
            <w:shd w:fill="F2F2F2" w:val="clear"/>
            <w:tcMar>
              <w:top w:type="dxa" w:w="100"/>
              <w:left w:type="dxa" w:w="120"/>
              <w:bottom w:type="dxa" w:w="100"/>
              <w:right w:type="dxa" w:w="120"/>
            </w:tcMar>
          </w:tcPr>
          <w:p>
            <w:r>
              <w:rPr>
                <w:color w:val="000000"/>
                <w:sz w:val="20"/>
                <w:szCs w:val="20"/>
              </w:rPr>
              <w:t xml:space="preserve">Next</w:t>
            </w:r>
          </w:p>
        </w:tc>
      </w:tr>
      <w:tr>
        <w:tc>
          <w:tcPr>
            <w:tcW w:type="dxa" w:w="1500"/>
            <w:shd w:fill="FFFFFF" w:val="clear"/>
            <w:tcMar>
              <w:top w:type="dxa" w:w="100"/>
              <w:left w:type="dxa" w:w="120"/>
              <w:bottom w:type="dxa" w:w="100"/>
              <w:right w:type="dxa" w:w="120"/>
            </w:tcMar>
          </w:tcPr>
          <w:p>
            <w:r>
              <w:rPr>
                <w:color w:val="000000"/>
                <w:sz w:val="20"/>
                <w:szCs w:val="20"/>
              </w:rPr>
              <w:t xml:space="preserve">9–10</w:t>
            </w:r>
          </w:p>
        </w:tc>
        <w:tc>
          <w:tcPr>
            <w:tcW w:type="dxa" w:w="6000"/>
            <w:shd w:fill="FFFFFF" w:val="clear"/>
            <w:tcMar>
              <w:top w:type="dxa" w:w="100"/>
              <w:left w:type="dxa" w:w="120"/>
              <w:bottom w:type="dxa" w:w="100"/>
              <w:right w:type="dxa" w:w="120"/>
            </w:tcMar>
          </w:tcPr>
          <w:p>
            <w:r>
              <w:rPr>
                <w:color w:val="000000"/>
                <w:sz w:val="20"/>
                <w:szCs w:val="20"/>
              </w:rPr>
              <w:t xml:space="preserve">Evaluation: Pareto curves, robustness sweeps</w:t>
            </w:r>
          </w:p>
        </w:tc>
        <w:tc>
          <w:tcPr>
            <w:tcW w:type="dxa" w:w="1860"/>
            <w:shd w:fill="FFFFFF" w:val="clear"/>
            <w:tcMar>
              <w:top w:type="dxa" w:w="100"/>
              <w:left w:type="dxa" w:w="120"/>
              <w:bottom w:type="dxa" w:w="100"/>
              <w:right w:type="dxa" w:w="120"/>
            </w:tcMar>
          </w:tcPr>
          <w:p>
            <w:r>
              <w:rPr>
                <w:color w:val="000000"/>
                <w:sz w:val="20"/>
                <w:szCs w:val="20"/>
              </w:rPr>
              <w:t xml:space="preserve">Planned</w:t>
            </w:r>
          </w:p>
        </w:tc>
      </w:tr>
      <w:tr>
        <w:tc>
          <w:tcPr>
            <w:tcW w:type="dxa" w:w="1500"/>
            <w:shd w:fill="F2F2F2" w:val="clear"/>
            <w:tcMar>
              <w:top w:type="dxa" w:w="100"/>
              <w:left w:type="dxa" w:w="120"/>
              <w:bottom w:type="dxa" w:w="100"/>
              <w:right w:type="dxa" w:w="120"/>
            </w:tcMar>
          </w:tcPr>
          <w:p>
            <w:r>
              <w:rPr>
                <w:color w:val="000000"/>
                <w:sz w:val="20"/>
                <w:szCs w:val="20"/>
              </w:rPr>
              <w:t xml:space="preserve">11–12</w:t>
            </w:r>
          </w:p>
        </w:tc>
        <w:tc>
          <w:tcPr>
            <w:tcW w:type="dxa" w:w="6000"/>
            <w:shd w:fill="F2F2F2" w:val="clear"/>
            <w:tcMar>
              <w:top w:type="dxa" w:w="100"/>
              <w:left w:type="dxa" w:w="120"/>
              <w:bottom w:type="dxa" w:w="100"/>
              <w:right w:type="dxa" w:w="120"/>
            </w:tcMar>
          </w:tcPr>
          <w:p>
            <w:r>
              <w:rPr>
                <w:color w:val="000000"/>
                <w:sz w:val="20"/>
                <w:szCs w:val="20"/>
              </w:rPr>
              <w:t xml:space="preserve">Report writing, buffer for re-runs</w:t>
            </w:r>
          </w:p>
        </w:tc>
        <w:tc>
          <w:tcPr>
            <w:tcW w:type="dxa" w:w="1860"/>
            <w:shd w:fill="F2F2F2" w:val="clear"/>
            <w:tcMar>
              <w:top w:type="dxa" w:w="100"/>
              <w:left w:type="dxa" w:w="120"/>
              <w:bottom w:type="dxa" w:w="100"/>
              <w:right w:type="dxa" w:w="120"/>
            </w:tcMar>
          </w:tcPr>
          <w:p>
            <w:r>
              <w:rPr>
                <w:color w:val="000000"/>
                <w:sz w:val="20"/>
                <w:szCs w:val="20"/>
              </w:rPr>
              <w:t xml:space="preserve">Planned</w:t>
            </w:r>
          </w:p>
        </w:tc>
      </w:tr>
    </w:tbl>
    <w:p>
      <w:pPr>
        <w:pStyle w:val="Heading1"/>
        <w:spacing w:after="160" w:before="320"/>
      </w:pPr>
      <w:r>
        <w:rPr>
          <w:b/>
          <w:bCs/>
          <w:color w:val="16213E"/>
          <w:sz w:val="30"/>
          <w:szCs w:val="30"/>
        </w:rPr>
        <w:t xml:space="preserve">10. Implementation Status (Completed Work)</w:t>
      </w:r>
    </w:p>
    <w:p>
      <w:pPr>
        <w:pStyle w:val="Heading2"/>
        <w:spacing w:after="120" w:before="220"/>
      </w:pPr>
      <w:r>
        <w:rPr>
          <w:b/>
          <w:bCs/>
          <w:color w:val="16213E"/>
          <w:sz w:val="25"/>
          <w:szCs w:val="25"/>
        </w:rPr>
        <w:t xml:space="preserve">10.1 Environment &amp; Dynamics (Weeks 1–2)</w:t>
      </w:r>
    </w:p>
    <w:p>
      <w:pPr>
        <w:spacing w:after="160"/>
        <w:jc w:val="both"/>
      </w:pPr>
      <w:r>
        <w:rPr>
          <w:sz w:val="22"/>
          <w:szCs w:val="22"/>
        </w:rPr>
        <w:t xml:space="preserve">A custom Gymnasium-compliant environment (UAVTrajectoryEnv) was implemented with point-mass kinematics, a real fuel-burn model via OpenAP (Airbus A320 performance profile), two static circular no-fly zones, and a constant wind vector. The environment passed Gymnasium's structural compliance check (check_env). A naive scripted policy (climb, then fly straight) reached the goal in 136 simulated steps, burning approximately 1,252 kg of fuel — but flew directly through both no-fly zones, since it has no mechanism to avoid them. This result visually demonstrates the exact capability gap the trained DRL agent must close.</w:t>
      </w:r>
    </w:p>
    <w:p>
      <w:pPr>
        <w:pStyle w:val="Heading2"/>
        <w:spacing w:after="120" w:before="220"/>
      </w:pPr>
      <w:r>
        <w:rPr>
          <w:b/>
          <w:bCs/>
          <w:color w:val="16213E"/>
          <w:sz w:val="25"/>
          <w:szCs w:val="25"/>
        </w:rPr>
        <w:t xml:space="preserve">10.2 Classical Dynamic-Programming Baseline (Weeks 3–4)</w:t>
      </w:r>
    </w:p>
    <w:p>
      <w:pPr>
        <w:spacing w:after="160"/>
        <w:jc w:val="both"/>
      </w:pPr>
      <w:r>
        <w:rPr>
          <w:sz w:val="22"/>
          <w:szCs w:val="22"/>
        </w:rPr>
        <w:t xml:space="preserve">A backward dynamic-programming solver was implemented over a discretized layered graph (downrange distance × lateral offset × altitude), using the same aircraft, fuel model, goal, and no-fly zones as the DRL environment. No-fly-zone violations are treated as a hard constraint (forbidden transitions) rather than a soft reward penalty. The solver found a fuel-optimal path consuming 487 kg with zero no-fly-zone violations by construction.</w:t>
      </w:r>
    </w:p>
    <w:p>
      <w:pPr>
        <w:spacing w:after="160"/>
        <w:jc w:val="both"/>
      </w:pPr>
      <w:r>
        <w:rPr>
          <w:sz w:val="22"/>
          <w:szCs w:val="22"/>
        </w:rPr>
        <w:t xml:space="preserve">An important finding was documented during this step: at a fixed true airspeed, the OpenAP fuel model predicts higher fuel burn at altitude (0.977 kg/s at 10,000 m) than at low altitude (0.665 kg/s at 500 m, both at 220 m/s TAS) — the opposite of real jet behavior, where a higher cruise-altitude airspeed is what makes high-altitude flight efficient. Since both the DRL environment and the DP baseline share this constant-airspeed simplification, the comparison between them remains fair and consistent, even though neither is fully physically realistic on this specific point. This is flagged as a documented modeling limitation and an optional future refinement (altitude-dependent target airspeed).</w:t>
      </w:r>
    </w:p>
    <w:p>
      <w:pPr>
        <w:pStyle w:val="Heading1"/>
        <w:spacing w:after="160" w:before="320"/>
      </w:pPr>
      <w:r>
        <w:rPr>
          <w:b/>
          <w:bCs/>
          <w:color w:val="16213E"/>
          <w:sz w:val="30"/>
          <w:szCs w:val="30"/>
        </w:rPr>
        <w:t xml:space="preserve">11. Expected Outcomes</w:t>
      </w:r>
    </w:p>
    <w:p>
      <w:pPr>
        <w:pStyle w:val="ListParagraph"/>
        <w:numPr>
          <w:ilvl w:val="0"/>
          <w:numId w:val="2"/>
        </w:numPr>
        <w:spacing w:after="100"/>
      </w:pPr>
      <w:r>
        <w:rPr>
          <w:sz w:val="22"/>
          <w:szCs w:val="22"/>
        </w:rPr>
        <w:t xml:space="preserve">A trained SAC/DDPG policy that generates fuel-efficient climb–cruise–descent trajectories in real time, adapting to wind and static no-fly constraints without re-optimization.</w:t>
      </w:r>
    </w:p>
    <w:p>
      <w:pPr>
        <w:pStyle w:val="ListParagraph"/>
        <w:numPr>
          <w:ilvl w:val="0"/>
          <w:numId w:val="2"/>
        </w:numPr>
        <w:spacing w:after="100"/>
      </w:pPr>
      <w:r>
        <w:rPr>
          <w:sz w:val="22"/>
          <w:szCs w:val="22"/>
        </w:rPr>
        <w:t xml:space="preserve">Deliverables: trained policy and training curves, baseline comparison results, fuel-vs-time Pareto analysis, and a final report.</w:t>
      </w:r>
    </w:p>
    <w:p>
      <w:pPr>
        <w:pStyle w:val="ListParagraph"/>
        <w:numPr>
          <w:ilvl w:val="0"/>
          <w:numId w:val="2"/>
        </w:numPr>
        <w:spacing w:after="100"/>
      </w:pPr>
      <w:r>
        <w:rPr>
          <w:sz w:val="22"/>
          <w:szCs w:val="22"/>
        </w:rPr>
        <w:t xml:space="preserve">Illustrative targets: 10–20% fuel savings versus the fixed-profile baseline; real-time policy inference versus re-solved optimal control.</w:t>
      </w:r>
    </w:p>
    <w:p>
      <w:pPr>
        <w:pStyle w:val="Heading1"/>
        <w:spacing w:after="160" w:before="320"/>
      </w:pPr>
      <w:r>
        <w:rPr>
          <w:b/>
          <w:bCs/>
          <w:color w:val="16213E"/>
          <w:sz w:val="30"/>
          <w:szCs w:val="30"/>
        </w:rPr>
        <w:t xml:space="preserve">12. Contribution &amp; Novelty</w:t>
      </w:r>
    </w:p>
    <w:p>
      <w:pPr>
        <w:spacing w:after="160"/>
        <w:jc w:val="both"/>
      </w:pPr>
      <w:r>
        <w:rPr>
          <w:sz w:val="22"/>
          <w:szCs w:val="22"/>
        </w:rPr>
        <w:t xml:space="preserve">This project's novelty claim is deliberately precise rather than sweeping: it does not claim to be the first application of DRL to UAV trajectories. Instead, it sits at the intersection of two literatures that do not currently overlap — narrow-scope aerospace fuel-optimal trajectory design (climb-phase only, joint fuel-noise objective) and broad-scope UAV-networking energy DRL (a different objective: communication, not propulsion). By isolating a full-flight-phase, fuel-only DRL formulation with explicit generalization testing and Pareto-based evaluation against a working classical baseline, this project fills a specific, evidenced methodological gap between the two.</w:t>
      </w:r>
    </w:p>
    <w:p>
      <w:pPr>
        <w:pStyle w:val="Heading1"/>
        <w:spacing w:after="160" w:before="320"/>
      </w:pPr>
      <w:r>
        <w:rPr>
          <w:b/>
          <w:bCs/>
          <w:color w:val="16213E"/>
          <w:sz w:val="30"/>
          <w:szCs w:val="30"/>
        </w:rPr>
        <w:t xml:space="preserve">References</w:t>
      </w:r>
    </w:p>
    <w:p>
      <w:pPr>
        <w:spacing w:after="160"/>
        <w:jc w:val="both"/>
      </w:pPr>
      <w:r>
        <w:rPr>
          <w:sz w:val="20"/>
          <w:szCs w:val="20"/>
        </w:rPr>
        <w:t xml:space="preserve">[1]  Fuel- and noise-minimal departure trajectory using deep reinforcement learning with aircraft dynamics and topography constraints. Transportation Engineering (ScienceDirect), 2025.</w:t>
      </w:r>
    </w:p>
    <w:p>
      <w:pPr>
        <w:spacing w:after="160"/>
        <w:jc w:val="both"/>
      </w:pPr>
      <w:r>
        <w:rPr>
          <w:sz w:val="20"/>
          <w:szCs w:val="20"/>
        </w:rPr>
        <w:t xml:space="preserve">[2]  Deep Reinforcement Learning for Trajectory Generation and Optimisation of UAVs. KU Leuven (DDPG-based quadcopter trajectory optimization).</w:t>
      </w:r>
    </w:p>
    <w:p>
      <w:pPr>
        <w:spacing w:after="160"/>
        <w:jc w:val="both"/>
      </w:pPr>
      <w:r>
        <w:rPr>
          <w:sz w:val="20"/>
          <w:szCs w:val="20"/>
        </w:rPr>
        <w:t xml:space="preserve">[3]  UAV Trajectory Planning in Wireless Sensor Networks for Energy Consumption Minimization by Deep Reinforcement Learning. arXiv:2108.00354.</w:t>
      </w:r>
    </w:p>
    <w:p>
      <w:pPr>
        <w:spacing w:after="160"/>
        <w:jc w:val="both"/>
      </w:pPr>
      <w:r>
        <w:rPr>
          <w:sz w:val="20"/>
          <w:szCs w:val="20"/>
        </w:rPr>
        <w:t xml:space="preserve">[4]  Energy-Efficient UAV Trajectory Design for Backscatter Communication: A Deep Reinforcement Learning Approach. IEEE Journals &amp; Magazine.</w:t>
      </w:r>
    </w:p>
    <w:p>
      <w:pPr>
        <w:spacing w:after="160"/>
        <w:jc w:val="both"/>
      </w:pPr>
      <w:r>
        <w:rPr>
          <w:sz w:val="20"/>
          <w:szCs w:val="20"/>
        </w:rPr>
        <w:t xml:space="preserve">[5]  Data Freshness and Energy-Efficient UAV Navigation Optimization: A Deep Reinforcement Learning Approach. IEEE Transactions on Intelligent Transportation Systems,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2026-08-30T17:48:57.015Z</dcterms:created>
  <dcterms:modified xsi:type="dcterms:W3CDTF">2026-08-30T17:48:57.027Z</dcterms:modified>
</cp:coreProperties>
</file>

<file path=docProps/custom.xml><?xml version="1.0" encoding="utf-8"?>
<Properties xmlns="http://schemas.openxmlformats.org/officeDocument/2006/custom-properties" xmlns:vt="http://schemas.openxmlformats.org/officeDocument/2006/docPropsVTypes"/>
</file>