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F6C" w:rsidRDefault="00D23F6C" w:rsidP="000E480C">
      <w:pPr>
        <w:pStyle w:val="Mainheading"/>
        <w:spacing w:after="120"/>
        <w:rPr>
          <w:b w:val="0"/>
          <w:sz w:val="40"/>
        </w:rPr>
      </w:pPr>
    </w:p>
    <w:p w:rsidR="000E480C" w:rsidRDefault="000E480C" w:rsidP="000E480C">
      <w:pPr>
        <w:pStyle w:val="Mainheading"/>
        <w:spacing w:after="120"/>
        <w:rPr>
          <w:b w:val="0"/>
          <w:sz w:val="40"/>
        </w:rPr>
      </w:pPr>
      <w:r w:rsidRPr="0095784A">
        <w:rPr>
          <w:b w:val="0"/>
          <w:sz w:val="40"/>
        </w:rPr>
        <w:t>Policy</w:t>
      </w:r>
    </w:p>
    <w:p w:rsidR="000E480C" w:rsidRPr="00E91001" w:rsidRDefault="00304839" w:rsidP="000E480C">
      <w:pPr>
        <w:pStyle w:val="Mainheading"/>
        <w:spacing w:after="120"/>
        <w:rPr>
          <w:color w:val="7397BC"/>
          <w:sz w:val="48"/>
          <w:szCs w:val="48"/>
        </w:rPr>
      </w:pPr>
      <w:r>
        <w:rPr>
          <w:color w:val="7397BC"/>
          <w:sz w:val="48"/>
          <w:szCs w:val="48"/>
        </w:rPr>
        <w:t xml:space="preserve">Personal Account Dealing – </w:t>
      </w:r>
      <w:r w:rsidR="00D952C7">
        <w:rPr>
          <w:color w:val="7397BC"/>
          <w:sz w:val="48"/>
          <w:szCs w:val="48"/>
        </w:rPr>
        <w:t>Frequently Asked Questions (FAQs)</w:t>
      </w:r>
    </w:p>
    <w:p w:rsidR="000E480C" w:rsidRDefault="000E480C" w:rsidP="000E480C">
      <w:pPr>
        <w:pStyle w:val="Mainheading"/>
        <w:tabs>
          <w:tab w:val="left" w:pos="5400"/>
        </w:tabs>
        <w:spacing w:after="120"/>
        <w:rPr>
          <w:rStyle w:val="headertext1"/>
          <w:rFonts w:eastAsia="Arial"/>
          <w:b w:val="0"/>
          <w:sz w:val="22"/>
        </w:rPr>
      </w:pPr>
      <w:r>
        <w:rPr>
          <w:rStyle w:val="headertext1"/>
          <w:rFonts w:eastAsia="Arial"/>
          <w:b w:val="0"/>
          <w:sz w:val="22"/>
        </w:rPr>
        <w:t xml:space="preserve">Current </w:t>
      </w:r>
      <w:r w:rsidRPr="005F3333">
        <w:rPr>
          <w:rStyle w:val="headertext1"/>
          <w:rFonts w:eastAsia="Arial"/>
          <w:b w:val="0"/>
          <w:sz w:val="22"/>
        </w:rPr>
        <w:t xml:space="preserve">Effective Date: </w:t>
      </w:r>
      <w:r w:rsidR="00F17110">
        <w:rPr>
          <w:rStyle w:val="headertext1"/>
          <w:rFonts w:eastAsia="Arial"/>
          <w:b w:val="0"/>
          <w:sz w:val="22"/>
        </w:rPr>
        <w:t>May 7, 2014</w:t>
      </w:r>
      <w:r w:rsidRPr="005F3333">
        <w:rPr>
          <w:rStyle w:val="headertext1"/>
          <w:rFonts w:eastAsia="Arial"/>
          <w:b w:val="0"/>
          <w:sz w:val="22"/>
        </w:rPr>
        <w:t xml:space="preserve"> </w:t>
      </w:r>
    </w:p>
    <w:p w:rsidR="0067255A" w:rsidRDefault="0067255A" w:rsidP="000E480C">
      <w:pPr>
        <w:pStyle w:val="Mainheading"/>
        <w:tabs>
          <w:tab w:val="left" w:pos="5400"/>
        </w:tabs>
        <w:spacing w:after="120"/>
        <w:rPr>
          <w:rStyle w:val="headertext1"/>
          <w:b w:val="0"/>
          <w:sz w:val="22"/>
        </w:rPr>
      </w:pPr>
    </w:p>
    <w:p w:rsidR="0067255A" w:rsidRDefault="0067255A" w:rsidP="000E480C">
      <w:pPr>
        <w:pStyle w:val="Mainheading"/>
        <w:tabs>
          <w:tab w:val="left" w:pos="5400"/>
        </w:tabs>
        <w:spacing w:after="120"/>
        <w:rPr>
          <w:rStyle w:val="headertext1"/>
          <w:b w:val="0"/>
          <w:sz w:val="22"/>
        </w:rPr>
      </w:pPr>
      <w:r>
        <w:rPr>
          <w:rStyle w:val="headertext1"/>
          <w:b w:val="0"/>
          <w:sz w:val="22"/>
        </w:rPr>
        <w:t>TABLE OF CONTENTS</w:t>
      </w:r>
    </w:p>
    <w:bookmarkStart w:id="0" w:name="_Toc356900544"/>
    <w:p w:rsidR="00446C7A" w:rsidRDefault="00AC331E">
      <w:pPr>
        <w:pStyle w:val="TOC1"/>
        <w:rPr>
          <w:rFonts w:asciiTheme="minorHAnsi" w:eastAsiaTheme="minorEastAsia" w:hAnsiTheme="minorHAnsi" w:cstheme="minorBidi"/>
          <w:sz w:val="22"/>
          <w:lang w:val="en-US" w:eastAsia="en-US"/>
        </w:rPr>
      </w:pPr>
      <w:r>
        <w:fldChar w:fldCharType="begin"/>
      </w:r>
      <w:r w:rsidR="0067255A">
        <w:instrText xml:space="preserve"> TOC \o "1-2" \h \z \u </w:instrText>
      </w:r>
      <w:r>
        <w:fldChar w:fldCharType="separate"/>
      </w:r>
      <w:hyperlink w:anchor="_Toc387164021" w:history="1">
        <w:r w:rsidR="00446C7A" w:rsidRPr="00820ED6">
          <w:rPr>
            <w:rStyle w:val="Hyperlink"/>
          </w:rPr>
          <w:t>1.</w:t>
        </w:r>
        <w:r w:rsidR="00446C7A">
          <w:rPr>
            <w:rFonts w:asciiTheme="minorHAnsi" w:eastAsiaTheme="minorEastAsia" w:hAnsiTheme="minorHAnsi" w:cstheme="minorBidi"/>
            <w:sz w:val="22"/>
            <w:lang w:val="en-US" w:eastAsia="en-US"/>
          </w:rPr>
          <w:tab/>
        </w:r>
        <w:r w:rsidR="00446C7A" w:rsidRPr="00820ED6">
          <w:rPr>
            <w:rStyle w:val="Hyperlink"/>
          </w:rPr>
          <w:t>Summary</w:t>
        </w:r>
        <w:r w:rsidR="00446C7A">
          <w:rPr>
            <w:webHidden/>
          </w:rPr>
          <w:tab/>
        </w:r>
        <w:r>
          <w:rPr>
            <w:webHidden/>
          </w:rPr>
          <w:fldChar w:fldCharType="begin"/>
        </w:r>
        <w:r w:rsidR="00446C7A">
          <w:rPr>
            <w:webHidden/>
          </w:rPr>
          <w:instrText xml:space="preserve"> PAGEREF _Toc387164021 \h </w:instrText>
        </w:r>
        <w:r>
          <w:rPr>
            <w:webHidden/>
          </w:rPr>
        </w:r>
        <w:r>
          <w:rPr>
            <w:webHidden/>
          </w:rPr>
          <w:fldChar w:fldCharType="separate"/>
        </w:r>
        <w:r w:rsidR="00446C7A">
          <w:rPr>
            <w:webHidden/>
          </w:rPr>
          <w:t>3</w:t>
        </w:r>
        <w:r>
          <w:rPr>
            <w:webHidden/>
          </w:rPr>
          <w:fldChar w:fldCharType="end"/>
        </w:r>
      </w:hyperlink>
    </w:p>
    <w:p w:rsidR="00446C7A" w:rsidRDefault="00AC331E">
      <w:pPr>
        <w:pStyle w:val="TOC1"/>
        <w:rPr>
          <w:rFonts w:asciiTheme="minorHAnsi" w:eastAsiaTheme="minorEastAsia" w:hAnsiTheme="minorHAnsi" w:cstheme="minorBidi"/>
          <w:sz w:val="22"/>
          <w:lang w:val="en-US" w:eastAsia="en-US"/>
        </w:rPr>
      </w:pPr>
      <w:hyperlink w:anchor="_Toc387164022" w:history="1">
        <w:r w:rsidR="00446C7A" w:rsidRPr="00820ED6">
          <w:rPr>
            <w:rStyle w:val="Hyperlink"/>
          </w:rPr>
          <w:t>2.</w:t>
        </w:r>
        <w:r w:rsidR="00446C7A">
          <w:rPr>
            <w:rFonts w:asciiTheme="minorHAnsi" w:eastAsiaTheme="minorEastAsia" w:hAnsiTheme="minorHAnsi" w:cstheme="minorBidi"/>
            <w:sz w:val="22"/>
            <w:lang w:val="en-US" w:eastAsia="en-US"/>
          </w:rPr>
          <w:tab/>
        </w:r>
        <w:r w:rsidR="00446C7A" w:rsidRPr="00820ED6">
          <w:rPr>
            <w:rStyle w:val="Hyperlink"/>
          </w:rPr>
          <w:t>Scope</w:t>
        </w:r>
        <w:r w:rsidR="00446C7A">
          <w:rPr>
            <w:webHidden/>
          </w:rPr>
          <w:tab/>
        </w:r>
        <w:r>
          <w:rPr>
            <w:webHidden/>
          </w:rPr>
          <w:fldChar w:fldCharType="begin"/>
        </w:r>
        <w:r w:rsidR="00446C7A">
          <w:rPr>
            <w:webHidden/>
          </w:rPr>
          <w:instrText xml:space="preserve"> PAGEREF _Toc387164022 \h </w:instrText>
        </w:r>
        <w:r>
          <w:rPr>
            <w:webHidden/>
          </w:rPr>
        </w:r>
        <w:r>
          <w:rPr>
            <w:webHidden/>
          </w:rPr>
          <w:fldChar w:fldCharType="separate"/>
        </w:r>
        <w:r w:rsidR="00446C7A">
          <w:rPr>
            <w:webHidden/>
          </w:rPr>
          <w:t>3</w:t>
        </w:r>
        <w:r>
          <w:rPr>
            <w:webHidden/>
          </w:rPr>
          <w:fldChar w:fldCharType="end"/>
        </w:r>
      </w:hyperlink>
    </w:p>
    <w:p w:rsidR="00446C7A" w:rsidRDefault="00AC331E">
      <w:pPr>
        <w:pStyle w:val="TOC1"/>
        <w:rPr>
          <w:rFonts w:asciiTheme="minorHAnsi" w:eastAsiaTheme="minorEastAsia" w:hAnsiTheme="minorHAnsi" w:cstheme="minorBidi"/>
          <w:sz w:val="22"/>
          <w:lang w:val="en-US" w:eastAsia="en-US"/>
        </w:rPr>
      </w:pPr>
      <w:hyperlink w:anchor="_Toc387164023" w:history="1">
        <w:r w:rsidR="00446C7A" w:rsidRPr="00820ED6">
          <w:rPr>
            <w:rStyle w:val="Hyperlink"/>
          </w:rPr>
          <w:t>3.</w:t>
        </w:r>
        <w:r w:rsidR="00446C7A">
          <w:rPr>
            <w:rFonts w:asciiTheme="minorHAnsi" w:eastAsiaTheme="minorEastAsia" w:hAnsiTheme="minorHAnsi" w:cstheme="minorBidi"/>
            <w:sz w:val="22"/>
            <w:lang w:val="en-US" w:eastAsia="en-US"/>
          </w:rPr>
          <w:tab/>
        </w:r>
        <w:r w:rsidR="00446C7A" w:rsidRPr="00820ED6">
          <w:rPr>
            <w:rStyle w:val="Hyperlink"/>
          </w:rPr>
          <w:t>Changes from Previous Version</w:t>
        </w:r>
        <w:r w:rsidR="00446C7A">
          <w:rPr>
            <w:webHidden/>
          </w:rPr>
          <w:tab/>
        </w:r>
        <w:r>
          <w:rPr>
            <w:webHidden/>
          </w:rPr>
          <w:fldChar w:fldCharType="begin"/>
        </w:r>
        <w:r w:rsidR="00446C7A">
          <w:rPr>
            <w:webHidden/>
          </w:rPr>
          <w:instrText xml:space="preserve"> PAGEREF _Toc387164023 \h </w:instrText>
        </w:r>
        <w:r>
          <w:rPr>
            <w:webHidden/>
          </w:rPr>
        </w:r>
        <w:r>
          <w:rPr>
            <w:webHidden/>
          </w:rPr>
          <w:fldChar w:fldCharType="separate"/>
        </w:r>
        <w:r w:rsidR="00446C7A">
          <w:rPr>
            <w:webHidden/>
          </w:rPr>
          <w:t>3</w:t>
        </w:r>
        <w:r>
          <w:rPr>
            <w:webHidden/>
          </w:rPr>
          <w:fldChar w:fldCharType="end"/>
        </w:r>
      </w:hyperlink>
    </w:p>
    <w:p w:rsidR="00446C7A" w:rsidRDefault="00AC331E">
      <w:pPr>
        <w:pStyle w:val="TOC1"/>
        <w:rPr>
          <w:rFonts w:asciiTheme="minorHAnsi" w:eastAsiaTheme="minorEastAsia" w:hAnsiTheme="minorHAnsi" w:cstheme="minorBidi"/>
          <w:sz w:val="22"/>
          <w:lang w:val="en-US" w:eastAsia="en-US"/>
        </w:rPr>
      </w:pPr>
      <w:hyperlink w:anchor="_Toc387164024" w:history="1">
        <w:r w:rsidR="00446C7A" w:rsidRPr="00820ED6">
          <w:rPr>
            <w:rStyle w:val="Hyperlink"/>
          </w:rPr>
          <w:t>4.</w:t>
        </w:r>
        <w:r w:rsidR="00446C7A">
          <w:rPr>
            <w:rFonts w:asciiTheme="minorHAnsi" w:eastAsiaTheme="minorEastAsia" w:hAnsiTheme="minorHAnsi" w:cstheme="minorBidi"/>
            <w:sz w:val="22"/>
            <w:lang w:val="en-US" w:eastAsia="en-US"/>
          </w:rPr>
          <w:tab/>
        </w:r>
        <w:r w:rsidR="00446C7A" w:rsidRPr="00820ED6">
          <w:rPr>
            <w:rStyle w:val="Hyperlink"/>
          </w:rPr>
          <w:t>Policy Statements</w:t>
        </w:r>
        <w:r w:rsidR="00446C7A">
          <w:rPr>
            <w:webHidden/>
          </w:rPr>
          <w:tab/>
        </w:r>
        <w:r>
          <w:rPr>
            <w:webHidden/>
          </w:rPr>
          <w:fldChar w:fldCharType="begin"/>
        </w:r>
        <w:r w:rsidR="00446C7A">
          <w:rPr>
            <w:webHidden/>
          </w:rPr>
          <w:instrText xml:space="preserve"> PAGEREF _Toc387164024 \h </w:instrText>
        </w:r>
        <w:r>
          <w:rPr>
            <w:webHidden/>
          </w:rPr>
        </w:r>
        <w:r>
          <w:rPr>
            <w:webHidden/>
          </w:rPr>
          <w:fldChar w:fldCharType="separate"/>
        </w:r>
        <w:r w:rsidR="00446C7A">
          <w:rPr>
            <w:webHidden/>
          </w:rPr>
          <w:t>3</w:t>
        </w:r>
        <w:r>
          <w:rPr>
            <w:webHidden/>
          </w:rPr>
          <w:fldChar w:fldCharType="end"/>
        </w:r>
      </w:hyperlink>
    </w:p>
    <w:p w:rsidR="00446C7A" w:rsidRDefault="00AC331E">
      <w:pPr>
        <w:pStyle w:val="TOC1"/>
        <w:rPr>
          <w:rFonts w:asciiTheme="minorHAnsi" w:eastAsiaTheme="minorEastAsia" w:hAnsiTheme="minorHAnsi" w:cstheme="minorBidi"/>
          <w:sz w:val="22"/>
          <w:lang w:val="en-US" w:eastAsia="en-US"/>
        </w:rPr>
      </w:pPr>
      <w:hyperlink w:anchor="_Toc387164025" w:history="1">
        <w:r w:rsidR="00446C7A" w:rsidRPr="00820ED6">
          <w:rPr>
            <w:rStyle w:val="Hyperlink"/>
          </w:rPr>
          <w:t>5.</w:t>
        </w:r>
        <w:r w:rsidR="00446C7A">
          <w:rPr>
            <w:rFonts w:asciiTheme="minorHAnsi" w:eastAsiaTheme="minorEastAsia" w:hAnsiTheme="minorHAnsi" w:cstheme="minorBidi"/>
            <w:sz w:val="22"/>
            <w:lang w:val="en-US" w:eastAsia="en-US"/>
          </w:rPr>
          <w:tab/>
        </w:r>
        <w:r w:rsidR="00446C7A" w:rsidRPr="00820ED6">
          <w:rPr>
            <w:rStyle w:val="Hyperlink"/>
          </w:rPr>
          <w:t>Designated Broker Questions</w:t>
        </w:r>
        <w:r w:rsidR="00446C7A">
          <w:rPr>
            <w:webHidden/>
          </w:rPr>
          <w:tab/>
        </w:r>
        <w:r>
          <w:rPr>
            <w:webHidden/>
          </w:rPr>
          <w:fldChar w:fldCharType="begin"/>
        </w:r>
        <w:r w:rsidR="00446C7A">
          <w:rPr>
            <w:webHidden/>
          </w:rPr>
          <w:instrText xml:space="preserve"> PAGEREF _Toc387164025 \h </w:instrText>
        </w:r>
        <w:r>
          <w:rPr>
            <w:webHidden/>
          </w:rPr>
        </w:r>
        <w:r>
          <w:rPr>
            <w:webHidden/>
          </w:rPr>
          <w:fldChar w:fldCharType="separate"/>
        </w:r>
        <w:r w:rsidR="00446C7A">
          <w:rPr>
            <w:webHidden/>
          </w:rPr>
          <w:t>4</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26" w:history="1">
        <w:r w:rsidR="00446C7A" w:rsidRPr="00820ED6">
          <w:rPr>
            <w:rStyle w:val="Hyperlink"/>
            <w:lang w:val="en-US"/>
          </w:rPr>
          <w:t>5.1.</w:t>
        </w:r>
        <w:r w:rsidR="00446C7A">
          <w:rPr>
            <w:rFonts w:asciiTheme="minorHAnsi" w:eastAsiaTheme="minorEastAsia" w:hAnsiTheme="minorHAnsi" w:cstheme="minorBidi"/>
            <w:sz w:val="22"/>
            <w:lang w:val="en-US" w:eastAsia="en-US"/>
          </w:rPr>
          <w:tab/>
        </w:r>
        <w:r w:rsidR="00446C7A" w:rsidRPr="00820ED6">
          <w:rPr>
            <w:rStyle w:val="Hyperlink"/>
            <w:lang w:val="en-US"/>
          </w:rPr>
          <w:t>Why am I subject to this policy?</w:t>
        </w:r>
        <w:r w:rsidR="00446C7A">
          <w:rPr>
            <w:webHidden/>
          </w:rPr>
          <w:tab/>
        </w:r>
        <w:r>
          <w:rPr>
            <w:webHidden/>
          </w:rPr>
          <w:fldChar w:fldCharType="begin"/>
        </w:r>
        <w:r w:rsidR="00446C7A">
          <w:rPr>
            <w:webHidden/>
          </w:rPr>
          <w:instrText xml:space="preserve"> PAGEREF _Toc387164026 \h </w:instrText>
        </w:r>
        <w:r>
          <w:rPr>
            <w:webHidden/>
          </w:rPr>
        </w:r>
        <w:r>
          <w:rPr>
            <w:webHidden/>
          </w:rPr>
          <w:fldChar w:fldCharType="separate"/>
        </w:r>
        <w:r w:rsidR="00446C7A">
          <w:rPr>
            <w:webHidden/>
          </w:rPr>
          <w:t>4</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27" w:history="1">
        <w:r w:rsidR="00446C7A" w:rsidRPr="00820ED6">
          <w:rPr>
            <w:rStyle w:val="Hyperlink"/>
          </w:rPr>
          <w:t>5.2.</w:t>
        </w:r>
        <w:r w:rsidR="00446C7A">
          <w:rPr>
            <w:rFonts w:asciiTheme="minorHAnsi" w:eastAsiaTheme="minorEastAsia" w:hAnsiTheme="minorHAnsi" w:cstheme="minorBidi"/>
            <w:sz w:val="22"/>
            <w:lang w:val="en-US" w:eastAsia="en-US"/>
          </w:rPr>
          <w:tab/>
        </w:r>
        <w:r w:rsidR="00446C7A" w:rsidRPr="00820ED6">
          <w:rPr>
            <w:rStyle w:val="Hyperlink"/>
          </w:rPr>
          <w:t>Who are the Firm’s Designated Brokers?</w:t>
        </w:r>
        <w:r w:rsidR="00446C7A">
          <w:rPr>
            <w:webHidden/>
          </w:rPr>
          <w:tab/>
        </w:r>
        <w:r>
          <w:rPr>
            <w:webHidden/>
          </w:rPr>
          <w:fldChar w:fldCharType="begin"/>
        </w:r>
        <w:r w:rsidR="00446C7A">
          <w:rPr>
            <w:webHidden/>
          </w:rPr>
          <w:instrText xml:space="preserve"> PAGEREF _Toc387164027 \h </w:instrText>
        </w:r>
        <w:r>
          <w:rPr>
            <w:webHidden/>
          </w:rPr>
        </w:r>
        <w:r>
          <w:rPr>
            <w:webHidden/>
          </w:rPr>
          <w:fldChar w:fldCharType="separate"/>
        </w:r>
        <w:r w:rsidR="00446C7A">
          <w:rPr>
            <w:webHidden/>
          </w:rPr>
          <w:t>4</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28" w:history="1">
        <w:r w:rsidR="00446C7A" w:rsidRPr="00820ED6">
          <w:rPr>
            <w:rStyle w:val="Hyperlink"/>
            <w:lang w:val="en-US"/>
          </w:rPr>
          <w:t>5.3.</w:t>
        </w:r>
        <w:r w:rsidR="00446C7A">
          <w:rPr>
            <w:rFonts w:asciiTheme="minorHAnsi" w:eastAsiaTheme="minorEastAsia" w:hAnsiTheme="minorHAnsi" w:cstheme="minorBidi"/>
            <w:sz w:val="22"/>
            <w:lang w:val="en-US" w:eastAsia="en-US"/>
          </w:rPr>
          <w:tab/>
        </w:r>
        <w:r w:rsidR="00446C7A" w:rsidRPr="00820ED6">
          <w:rPr>
            <w:rStyle w:val="Hyperlink"/>
            <w:lang w:val="en-US"/>
          </w:rPr>
          <w:t>What are employee-associated accounts?</w:t>
        </w:r>
        <w:r w:rsidR="00446C7A">
          <w:rPr>
            <w:webHidden/>
          </w:rPr>
          <w:tab/>
        </w:r>
        <w:r>
          <w:rPr>
            <w:webHidden/>
          </w:rPr>
          <w:fldChar w:fldCharType="begin"/>
        </w:r>
        <w:r w:rsidR="00446C7A">
          <w:rPr>
            <w:webHidden/>
          </w:rPr>
          <w:instrText xml:space="preserve"> PAGEREF _Toc387164028 \h </w:instrText>
        </w:r>
        <w:r>
          <w:rPr>
            <w:webHidden/>
          </w:rPr>
        </w:r>
        <w:r>
          <w:rPr>
            <w:webHidden/>
          </w:rPr>
          <w:fldChar w:fldCharType="separate"/>
        </w:r>
        <w:r w:rsidR="00446C7A">
          <w:rPr>
            <w:webHidden/>
          </w:rPr>
          <w:t>4</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29" w:history="1">
        <w:r w:rsidR="00446C7A" w:rsidRPr="00820ED6">
          <w:rPr>
            <w:rStyle w:val="Hyperlink"/>
            <w:lang w:val="en-US"/>
          </w:rPr>
          <w:t>5.4.</w:t>
        </w:r>
        <w:r w:rsidR="00446C7A">
          <w:rPr>
            <w:rFonts w:asciiTheme="minorHAnsi" w:eastAsiaTheme="minorEastAsia" w:hAnsiTheme="minorHAnsi" w:cstheme="minorBidi"/>
            <w:sz w:val="22"/>
            <w:lang w:val="en-US" w:eastAsia="en-US"/>
          </w:rPr>
          <w:tab/>
        </w:r>
        <w:r w:rsidR="00446C7A" w:rsidRPr="00820ED6">
          <w:rPr>
            <w:rStyle w:val="Hyperlink"/>
            <w:lang w:val="en-US"/>
          </w:rPr>
          <w:t>My spouse/domestic partner works for a firm that requires our accounts to be maintained in-house or with one of JPM’s non-designated broker. What should I do?</w:t>
        </w:r>
        <w:r w:rsidR="00446C7A">
          <w:rPr>
            <w:webHidden/>
          </w:rPr>
          <w:tab/>
        </w:r>
        <w:r>
          <w:rPr>
            <w:webHidden/>
          </w:rPr>
          <w:fldChar w:fldCharType="begin"/>
        </w:r>
        <w:r w:rsidR="00446C7A">
          <w:rPr>
            <w:webHidden/>
          </w:rPr>
          <w:instrText xml:space="preserve"> PAGEREF _Toc387164029 \h </w:instrText>
        </w:r>
        <w:r>
          <w:rPr>
            <w:webHidden/>
          </w:rPr>
        </w:r>
        <w:r>
          <w:rPr>
            <w:webHidden/>
          </w:rPr>
          <w:fldChar w:fldCharType="separate"/>
        </w:r>
        <w:r w:rsidR="00446C7A">
          <w:rPr>
            <w:webHidden/>
          </w:rPr>
          <w:t>4</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30" w:history="1">
        <w:r w:rsidR="00446C7A" w:rsidRPr="00820ED6">
          <w:rPr>
            <w:rStyle w:val="Hyperlink"/>
            <w:lang w:val="en-US"/>
          </w:rPr>
          <w:t>5.5.</w:t>
        </w:r>
        <w:r w:rsidR="00446C7A">
          <w:rPr>
            <w:rFonts w:asciiTheme="minorHAnsi" w:eastAsiaTheme="minorEastAsia" w:hAnsiTheme="minorHAnsi" w:cstheme="minorBidi"/>
            <w:sz w:val="22"/>
            <w:lang w:val="en-US" w:eastAsia="en-US"/>
          </w:rPr>
          <w:tab/>
        </w:r>
        <w:r w:rsidR="00446C7A" w:rsidRPr="00820ED6">
          <w:rPr>
            <w:rStyle w:val="Hyperlink"/>
            <w:lang w:val="en-US"/>
          </w:rPr>
          <w:t>Do the Designated Broker rules apply to custodian accounts that I and/or my spouse/domestic partner has set up for our children?</w:t>
        </w:r>
        <w:r w:rsidR="00446C7A">
          <w:rPr>
            <w:webHidden/>
          </w:rPr>
          <w:tab/>
        </w:r>
        <w:r>
          <w:rPr>
            <w:webHidden/>
          </w:rPr>
          <w:fldChar w:fldCharType="begin"/>
        </w:r>
        <w:r w:rsidR="00446C7A">
          <w:rPr>
            <w:webHidden/>
          </w:rPr>
          <w:instrText xml:space="preserve"> PAGEREF _Toc387164030 \h </w:instrText>
        </w:r>
        <w:r>
          <w:rPr>
            <w:webHidden/>
          </w:rPr>
        </w:r>
        <w:r>
          <w:rPr>
            <w:webHidden/>
          </w:rPr>
          <w:fldChar w:fldCharType="separate"/>
        </w:r>
        <w:r w:rsidR="00446C7A">
          <w:rPr>
            <w:webHidden/>
          </w:rPr>
          <w:t>4</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31" w:history="1">
        <w:r w:rsidR="00446C7A" w:rsidRPr="00820ED6">
          <w:rPr>
            <w:rStyle w:val="Hyperlink"/>
            <w:lang w:val="en-US"/>
          </w:rPr>
          <w:t>5.6.</w:t>
        </w:r>
        <w:r w:rsidR="00446C7A">
          <w:rPr>
            <w:rFonts w:asciiTheme="minorHAnsi" w:eastAsiaTheme="minorEastAsia" w:hAnsiTheme="minorHAnsi" w:cstheme="minorBidi"/>
            <w:sz w:val="22"/>
            <w:lang w:val="en-US" w:eastAsia="en-US"/>
          </w:rPr>
          <w:tab/>
        </w:r>
        <w:r w:rsidR="00446C7A" w:rsidRPr="00820ED6">
          <w:rPr>
            <w:rStyle w:val="Hyperlink"/>
            <w:lang w:val="en-US"/>
          </w:rPr>
          <w:t>Are 401k accounts covered by the designated broker rule?</w:t>
        </w:r>
        <w:r w:rsidR="00446C7A">
          <w:rPr>
            <w:webHidden/>
          </w:rPr>
          <w:tab/>
        </w:r>
        <w:r>
          <w:rPr>
            <w:webHidden/>
          </w:rPr>
          <w:fldChar w:fldCharType="begin"/>
        </w:r>
        <w:r w:rsidR="00446C7A">
          <w:rPr>
            <w:webHidden/>
          </w:rPr>
          <w:instrText xml:space="preserve"> PAGEREF _Toc387164031 \h </w:instrText>
        </w:r>
        <w:r>
          <w:rPr>
            <w:webHidden/>
          </w:rPr>
        </w:r>
        <w:r>
          <w:rPr>
            <w:webHidden/>
          </w:rPr>
          <w:fldChar w:fldCharType="separate"/>
        </w:r>
        <w:r w:rsidR="00446C7A">
          <w:rPr>
            <w:webHidden/>
          </w:rPr>
          <w:t>5</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32" w:history="1">
        <w:r w:rsidR="00446C7A" w:rsidRPr="00820ED6">
          <w:rPr>
            <w:rStyle w:val="Hyperlink"/>
            <w:lang w:val="en-US"/>
          </w:rPr>
          <w:t>5.7.</w:t>
        </w:r>
        <w:r w:rsidR="00446C7A">
          <w:rPr>
            <w:rFonts w:asciiTheme="minorHAnsi" w:eastAsiaTheme="minorEastAsia" w:hAnsiTheme="minorHAnsi" w:cstheme="minorBidi"/>
            <w:sz w:val="22"/>
            <w:lang w:val="en-US" w:eastAsia="en-US"/>
          </w:rPr>
          <w:tab/>
        </w:r>
        <w:r w:rsidR="00446C7A" w:rsidRPr="00820ED6">
          <w:rPr>
            <w:rStyle w:val="Hyperlink"/>
            <w:lang w:val="en-US"/>
          </w:rPr>
          <w:t>Are 529 plans permitted outside the designated brokers?</w:t>
        </w:r>
        <w:r w:rsidR="00446C7A">
          <w:rPr>
            <w:webHidden/>
          </w:rPr>
          <w:tab/>
        </w:r>
        <w:r>
          <w:rPr>
            <w:webHidden/>
          </w:rPr>
          <w:fldChar w:fldCharType="begin"/>
        </w:r>
        <w:r w:rsidR="00446C7A">
          <w:rPr>
            <w:webHidden/>
          </w:rPr>
          <w:instrText xml:space="preserve"> PAGEREF _Toc387164032 \h </w:instrText>
        </w:r>
        <w:r>
          <w:rPr>
            <w:webHidden/>
          </w:rPr>
        </w:r>
        <w:r>
          <w:rPr>
            <w:webHidden/>
          </w:rPr>
          <w:fldChar w:fldCharType="separate"/>
        </w:r>
        <w:r w:rsidR="00446C7A">
          <w:rPr>
            <w:webHidden/>
          </w:rPr>
          <w:t>5</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33" w:history="1">
        <w:r w:rsidR="00446C7A" w:rsidRPr="00820ED6">
          <w:rPr>
            <w:rStyle w:val="Hyperlink"/>
            <w:lang w:val="en-US"/>
          </w:rPr>
          <w:t>5.8.</w:t>
        </w:r>
        <w:r w:rsidR="00446C7A">
          <w:rPr>
            <w:rFonts w:asciiTheme="minorHAnsi" w:eastAsiaTheme="minorEastAsia" w:hAnsiTheme="minorHAnsi" w:cstheme="minorBidi"/>
            <w:sz w:val="22"/>
            <w:lang w:val="en-US" w:eastAsia="en-US"/>
          </w:rPr>
          <w:tab/>
        </w:r>
        <w:r w:rsidR="00446C7A" w:rsidRPr="00820ED6">
          <w:rPr>
            <w:rStyle w:val="Hyperlink"/>
            <w:lang w:val="en-US"/>
          </w:rPr>
          <w:t>What impact does the Designated Broker rule have on individual retirement accounts (IRA)?</w:t>
        </w:r>
        <w:r w:rsidR="00446C7A">
          <w:rPr>
            <w:webHidden/>
          </w:rPr>
          <w:tab/>
        </w:r>
        <w:r>
          <w:rPr>
            <w:webHidden/>
          </w:rPr>
          <w:fldChar w:fldCharType="begin"/>
        </w:r>
        <w:r w:rsidR="00446C7A">
          <w:rPr>
            <w:webHidden/>
          </w:rPr>
          <w:instrText xml:space="preserve"> PAGEREF _Toc387164033 \h </w:instrText>
        </w:r>
        <w:r>
          <w:rPr>
            <w:webHidden/>
          </w:rPr>
        </w:r>
        <w:r>
          <w:rPr>
            <w:webHidden/>
          </w:rPr>
          <w:fldChar w:fldCharType="separate"/>
        </w:r>
        <w:r w:rsidR="00446C7A">
          <w:rPr>
            <w:webHidden/>
          </w:rPr>
          <w:t>5</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34" w:history="1">
        <w:r w:rsidR="00446C7A" w:rsidRPr="00820ED6">
          <w:rPr>
            <w:rStyle w:val="Hyperlink"/>
            <w:lang w:val="en-US"/>
          </w:rPr>
          <w:t>5.9.</w:t>
        </w:r>
        <w:r w:rsidR="00446C7A">
          <w:rPr>
            <w:rFonts w:asciiTheme="minorHAnsi" w:eastAsiaTheme="minorEastAsia" w:hAnsiTheme="minorHAnsi" w:cstheme="minorBidi"/>
            <w:sz w:val="22"/>
            <w:lang w:val="en-US" w:eastAsia="en-US"/>
          </w:rPr>
          <w:tab/>
        </w:r>
        <w:r w:rsidR="00446C7A" w:rsidRPr="00820ED6">
          <w:rPr>
            <w:rStyle w:val="Hyperlink"/>
            <w:lang w:val="en-US"/>
          </w:rPr>
          <w:t>Are mutual funds covered by the Designated Broker rule?</w:t>
        </w:r>
        <w:r w:rsidR="00446C7A">
          <w:rPr>
            <w:webHidden/>
          </w:rPr>
          <w:tab/>
        </w:r>
        <w:r>
          <w:rPr>
            <w:webHidden/>
          </w:rPr>
          <w:fldChar w:fldCharType="begin"/>
        </w:r>
        <w:r w:rsidR="00446C7A">
          <w:rPr>
            <w:webHidden/>
          </w:rPr>
          <w:instrText xml:space="preserve"> PAGEREF _Toc387164034 \h </w:instrText>
        </w:r>
        <w:r>
          <w:rPr>
            <w:webHidden/>
          </w:rPr>
        </w:r>
        <w:r>
          <w:rPr>
            <w:webHidden/>
          </w:rPr>
          <w:fldChar w:fldCharType="separate"/>
        </w:r>
        <w:r w:rsidR="00446C7A">
          <w:rPr>
            <w:webHidden/>
          </w:rPr>
          <w:t>5</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35" w:history="1">
        <w:r w:rsidR="00446C7A" w:rsidRPr="00820ED6">
          <w:rPr>
            <w:rStyle w:val="Hyperlink"/>
            <w:lang w:val="en-US"/>
          </w:rPr>
          <w:t>5.10.</w:t>
        </w:r>
        <w:r w:rsidR="00446C7A">
          <w:rPr>
            <w:rFonts w:asciiTheme="minorHAnsi" w:eastAsiaTheme="minorEastAsia" w:hAnsiTheme="minorHAnsi" w:cstheme="minorBidi"/>
            <w:sz w:val="22"/>
            <w:lang w:val="en-US" w:eastAsia="en-US"/>
          </w:rPr>
          <w:tab/>
        </w:r>
        <w:r w:rsidR="00446C7A" w:rsidRPr="00820ED6">
          <w:rPr>
            <w:rStyle w:val="Hyperlink"/>
            <w:lang w:val="en-US"/>
          </w:rPr>
          <w:t>Are stock dividend reinvestment plans (DRIPs) for JPMorgan or other stocks subject to the Designated Broker and preclearance rule?</w:t>
        </w:r>
        <w:r w:rsidR="00446C7A">
          <w:rPr>
            <w:webHidden/>
          </w:rPr>
          <w:tab/>
        </w:r>
        <w:r>
          <w:rPr>
            <w:webHidden/>
          </w:rPr>
          <w:fldChar w:fldCharType="begin"/>
        </w:r>
        <w:r w:rsidR="00446C7A">
          <w:rPr>
            <w:webHidden/>
          </w:rPr>
          <w:instrText xml:space="preserve"> PAGEREF _Toc387164035 \h </w:instrText>
        </w:r>
        <w:r>
          <w:rPr>
            <w:webHidden/>
          </w:rPr>
        </w:r>
        <w:r>
          <w:rPr>
            <w:webHidden/>
          </w:rPr>
          <w:fldChar w:fldCharType="separate"/>
        </w:r>
        <w:r w:rsidR="00446C7A">
          <w:rPr>
            <w:webHidden/>
          </w:rPr>
          <w:t>5</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36" w:history="1">
        <w:r w:rsidR="00446C7A" w:rsidRPr="00820ED6">
          <w:rPr>
            <w:rStyle w:val="Hyperlink"/>
            <w:lang w:val="en-US"/>
          </w:rPr>
          <w:t>5.11.</w:t>
        </w:r>
        <w:r w:rsidR="00446C7A">
          <w:rPr>
            <w:rFonts w:asciiTheme="minorHAnsi" w:eastAsiaTheme="minorEastAsia" w:hAnsiTheme="minorHAnsi" w:cstheme="minorBidi"/>
            <w:sz w:val="22"/>
            <w:lang w:val="en-US" w:eastAsia="en-US"/>
          </w:rPr>
          <w:tab/>
        </w:r>
        <w:r w:rsidR="00446C7A" w:rsidRPr="00820ED6">
          <w:rPr>
            <w:rStyle w:val="Hyperlink"/>
            <w:lang w:val="en-US"/>
          </w:rPr>
          <w:t>I am a U.S. citizen placed on assignment overseas.  How am I affected by the Designated Broker requirement?</w:t>
        </w:r>
        <w:r w:rsidR="00446C7A">
          <w:rPr>
            <w:webHidden/>
          </w:rPr>
          <w:tab/>
        </w:r>
        <w:r>
          <w:rPr>
            <w:webHidden/>
          </w:rPr>
          <w:fldChar w:fldCharType="begin"/>
        </w:r>
        <w:r w:rsidR="00446C7A">
          <w:rPr>
            <w:webHidden/>
          </w:rPr>
          <w:instrText xml:space="preserve"> PAGEREF _Toc387164036 \h </w:instrText>
        </w:r>
        <w:r>
          <w:rPr>
            <w:webHidden/>
          </w:rPr>
        </w:r>
        <w:r>
          <w:rPr>
            <w:webHidden/>
          </w:rPr>
          <w:fldChar w:fldCharType="separate"/>
        </w:r>
        <w:r w:rsidR="00446C7A">
          <w:rPr>
            <w:webHidden/>
          </w:rPr>
          <w:t>6</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37" w:history="1">
        <w:r w:rsidR="00446C7A" w:rsidRPr="00820ED6">
          <w:rPr>
            <w:rStyle w:val="Hyperlink"/>
            <w:lang w:val="en-US"/>
          </w:rPr>
          <w:t>5.12.</w:t>
        </w:r>
        <w:r w:rsidR="00446C7A">
          <w:rPr>
            <w:rFonts w:asciiTheme="minorHAnsi" w:eastAsiaTheme="minorEastAsia" w:hAnsiTheme="minorHAnsi" w:cstheme="minorBidi"/>
            <w:sz w:val="22"/>
            <w:lang w:val="en-US" w:eastAsia="en-US"/>
          </w:rPr>
          <w:tab/>
        </w:r>
        <w:r w:rsidR="00446C7A" w:rsidRPr="00820ED6">
          <w:rPr>
            <w:rStyle w:val="Hyperlink"/>
            <w:lang w:val="en-US"/>
          </w:rPr>
          <w:t>I am a trustee for family accounts which are NOT maintained at one of the Designated Brokers.  How should I handle this?</w:t>
        </w:r>
        <w:r w:rsidR="00446C7A">
          <w:rPr>
            <w:webHidden/>
          </w:rPr>
          <w:tab/>
        </w:r>
        <w:r>
          <w:rPr>
            <w:webHidden/>
          </w:rPr>
          <w:fldChar w:fldCharType="begin"/>
        </w:r>
        <w:r w:rsidR="00446C7A">
          <w:rPr>
            <w:webHidden/>
          </w:rPr>
          <w:instrText xml:space="preserve"> PAGEREF _Toc387164037 \h </w:instrText>
        </w:r>
        <w:r>
          <w:rPr>
            <w:webHidden/>
          </w:rPr>
        </w:r>
        <w:r>
          <w:rPr>
            <w:webHidden/>
          </w:rPr>
          <w:fldChar w:fldCharType="separate"/>
        </w:r>
        <w:r w:rsidR="00446C7A">
          <w:rPr>
            <w:webHidden/>
          </w:rPr>
          <w:t>6</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38" w:history="1">
        <w:r w:rsidR="00446C7A" w:rsidRPr="00820ED6">
          <w:rPr>
            <w:rStyle w:val="Hyperlink"/>
            <w:lang w:val="en-US"/>
          </w:rPr>
          <w:t>5.13.</w:t>
        </w:r>
        <w:r w:rsidR="00446C7A">
          <w:rPr>
            <w:rFonts w:asciiTheme="minorHAnsi" w:eastAsiaTheme="minorEastAsia" w:hAnsiTheme="minorHAnsi" w:cstheme="minorBidi"/>
            <w:sz w:val="22"/>
            <w:lang w:val="en-US" w:eastAsia="en-US"/>
          </w:rPr>
          <w:tab/>
        </w:r>
        <w:r w:rsidR="00446C7A" w:rsidRPr="00820ED6">
          <w:rPr>
            <w:rStyle w:val="Hyperlink"/>
            <w:lang w:val="en-US"/>
          </w:rPr>
          <w:t>Are Employee Stock Purchase Plans and Employee Stock Option Plans permitted?</w:t>
        </w:r>
        <w:r w:rsidR="00446C7A">
          <w:rPr>
            <w:webHidden/>
          </w:rPr>
          <w:tab/>
        </w:r>
        <w:r>
          <w:rPr>
            <w:webHidden/>
          </w:rPr>
          <w:fldChar w:fldCharType="begin"/>
        </w:r>
        <w:r w:rsidR="00446C7A">
          <w:rPr>
            <w:webHidden/>
          </w:rPr>
          <w:instrText xml:space="preserve"> PAGEREF _Toc387164038 \h </w:instrText>
        </w:r>
        <w:r>
          <w:rPr>
            <w:webHidden/>
          </w:rPr>
        </w:r>
        <w:r>
          <w:rPr>
            <w:webHidden/>
          </w:rPr>
          <w:fldChar w:fldCharType="separate"/>
        </w:r>
        <w:r w:rsidR="00446C7A">
          <w:rPr>
            <w:webHidden/>
          </w:rPr>
          <w:t>6</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39" w:history="1">
        <w:r w:rsidR="00446C7A" w:rsidRPr="00820ED6">
          <w:rPr>
            <w:rStyle w:val="Hyperlink"/>
            <w:lang w:val="en-US"/>
          </w:rPr>
          <w:t>5.14.</w:t>
        </w:r>
        <w:r w:rsidR="00446C7A">
          <w:rPr>
            <w:rFonts w:asciiTheme="minorHAnsi" w:eastAsiaTheme="minorEastAsia" w:hAnsiTheme="minorHAnsi" w:cstheme="minorBidi"/>
            <w:sz w:val="22"/>
            <w:lang w:val="en-US" w:eastAsia="en-US"/>
          </w:rPr>
          <w:tab/>
        </w:r>
        <w:r w:rsidR="00446C7A" w:rsidRPr="00820ED6">
          <w:rPr>
            <w:rStyle w:val="Hyperlink"/>
            <w:lang w:val="en-US"/>
          </w:rPr>
          <w:t>How do I effect the transfer of accounts?</w:t>
        </w:r>
        <w:r w:rsidR="00446C7A">
          <w:rPr>
            <w:webHidden/>
          </w:rPr>
          <w:tab/>
        </w:r>
        <w:r>
          <w:rPr>
            <w:webHidden/>
          </w:rPr>
          <w:fldChar w:fldCharType="begin"/>
        </w:r>
        <w:r w:rsidR="00446C7A">
          <w:rPr>
            <w:webHidden/>
          </w:rPr>
          <w:instrText xml:space="preserve"> PAGEREF _Toc387164039 \h </w:instrText>
        </w:r>
        <w:r>
          <w:rPr>
            <w:webHidden/>
          </w:rPr>
        </w:r>
        <w:r>
          <w:rPr>
            <w:webHidden/>
          </w:rPr>
          <w:fldChar w:fldCharType="separate"/>
        </w:r>
        <w:r w:rsidR="00446C7A">
          <w:rPr>
            <w:webHidden/>
          </w:rPr>
          <w:t>6</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40" w:history="1">
        <w:r w:rsidR="00446C7A" w:rsidRPr="00820ED6">
          <w:rPr>
            <w:rStyle w:val="Hyperlink"/>
            <w:lang w:val="en-US"/>
          </w:rPr>
          <w:t>5.15.</w:t>
        </w:r>
        <w:r w:rsidR="00446C7A">
          <w:rPr>
            <w:rFonts w:asciiTheme="minorHAnsi" w:eastAsiaTheme="minorEastAsia" w:hAnsiTheme="minorHAnsi" w:cstheme="minorBidi"/>
            <w:sz w:val="22"/>
            <w:lang w:val="en-US" w:eastAsia="en-US"/>
          </w:rPr>
          <w:tab/>
        </w:r>
        <w:r w:rsidR="00446C7A" w:rsidRPr="00820ED6">
          <w:rPr>
            <w:rStyle w:val="Hyperlink"/>
            <w:lang w:val="en-US"/>
          </w:rPr>
          <w:t>Will there be any fees or costs related to the transfer of my accounts from my current broker to a designated broker?</w:t>
        </w:r>
        <w:r w:rsidR="00446C7A">
          <w:rPr>
            <w:webHidden/>
          </w:rPr>
          <w:tab/>
        </w:r>
        <w:r>
          <w:rPr>
            <w:webHidden/>
          </w:rPr>
          <w:fldChar w:fldCharType="begin"/>
        </w:r>
        <w:r w:rsidR="00446C7A">
          <w:rPr>
            <w:webHidden/>
          </w:rPr>
          <w:instrText xml:space="preserve"> PAGEREF _Toc387164040 \h </w:instrText>
        </w:r>
        <w:r>
          <w:rPr>
            <w:webHidden/>
          </w:rPr>
        </w:r>
        <w:r>
          <w:rPr>
            <w:webHidden/>
          </w:rPr>
          <w:fldChar w:fldCharType="separate"/>
        </w:r>
        <w:r w:rsidR="00446C7A">
          <w:rPr>
            <w:webHidden/>
          </w:rPr>
          <w:t>6</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41" w:history="1">
        <w:r w:rsidR="00446C7A" w:rsidRPr="00820ED6">
          <w:rPr>
            <w:rStyle w:val="Hyperlink"/>
            <w:lang w:val="en-US"/>
          </w:rPr>
          <w:t>5.16.</w:t>
        </w:r>
        <w:r w:rsidR="00446C7A">
          <w:rPr>
            <w:rFonts w:asciiTheme="minorHAnsi" w:eastAsiaTheme="minorEastAsia" w:hAnsiTheme="minorHAnsi" w:cstheme="minorBidi"/>
            <w:sz w:val="22"/>
            <w:lang w:val="en-US" w:eastAsia="en-US"/>
          </w:rPr>
          <w:tab/>
        </w:r>
        <w:r w:rsidR="00446C7A" w:rsidRPr="00820ED6">
          <w:rPr>
            <w:rStyle w:val="Hyperlink"/>
            <w:lang w:val="en-US"/>
          </w:rPr>
          <w:t>I am active in a charitable organization in our community and sit on the financial advisory board which reviews the finances and investment strategy for the organization.  What must I do?</w:t>
        </w:r>
        <w:r w:rsidR="00446C7A">
          <w:rPr>
            <w:webHidden/>
          </w:rPr>
          <w:tab/>
        </w:r>
        <w:r>
          <w:rPr>
            <w:webHidden/>
          </w:rPr>
          <w:fldChar w:fldCharType="begin"/>
        </w:r>
        <w:r w:rsidR="00446C7A">
          <w:rPr>
            <w:webHidden/>
          </w:rPr>
          <w:instrText xml:space="preserve"> PAGEREF _Toc387164041 \h </w:instrText>
        </w:r>
        <w:r>
          <w:rPr>
            <w:webHidden/>
          </w:rPr>
        </w:r>
        <w:r>
          <w:rPr>
            <w:webHidden/>
          </w:rPr>
          <w:fldChar w:fldCharType="separate"/>
        </w:r>
        <w:r w:rsidR="00446C7A">
          <w:rPr>
            <w:webHidden/>
          </w:rPr>
          <w:t>6</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42" w:history="1">
        <w:r w:rsidR="00446C7A" w:rsidRPr="00820ED6">
          <w:rPr>
            <w:rStyle w:val="Hyperlink"/>
            <w:lang w:val="en-US"/>
          </w:rPr>
          <w:t>5.17.</w:t>
        </w:r>
        <w:r w:rsidR="00446C7A">
          <w:rPr>
            <w:rFonts w:asciiTheme="minorHAnsi" w:eastAsiaTheme="minorEastAsia" w:hAnsiTheme="minorHAnsi" w:cstheme="minorBidi"/>
            <w:sz w:val="22"/>
            <w:lang w:val="en-US" w:eastAsia="en-US"/>
          </w:rPr>
          <w:tab/>
        </w:r>
        <w:r w:rsidR="00446C7A" w:rsidRPr="00820ED6">
          <w:rPr>
            <w:rStyle w:val="Hyperlink"/>
            <w:lang w:val="en-US"/>
          </w:rPr>
          <w:t>Am I able to trade in options and/or futures transactions?</w:t>
        </w:r>
        <w:r w:rsidR="00446C7A">
          <w:rPr>
            <w:webHidden/>
          </w:rPr>
          <w:tab/>
        </w:r>
        <w:r>
          <w:rPr>
            <w:webHidden/>
          </w:rPr>
          <w:fldChar w:fldCharType="begin"/>
        </w:r>
        <w:r w:rsidR="00446C7A">
          <w:rPr>
            <w:webHidden/>
          </w:rPr>
          <w:instrText xml:space="preserve"> PAGEREF _Toc387164042 \h </w:instrText>
        </w:r>
        <w:r>
          <w:rPr>
            <w:webHidden/>
          </w:rPr>
        </w:r>
        <w:r>
          <w:rPr>
            <w:webHidden/>
          </w:rPr>
          <w:fldChar w:fldCharType="separate"/>
        </w:r>
        <w:r w:rsidR="00446C7A">
          <w:rPr>
            <w:webHidden/>
          </w:rPr>
          <w:t>6</w:t>
        </w:r>
        <w:r>
          <w:rPr>
            <w:webHidden/>
          </w:rPr>
          <w:fldChar w:fldCharType="end"/>
        </w:r>
      </w:hyperlink>
    </w:p>
    <w:p w:rsidR="00446C7A" w:rsidRDefault="00AC331E">
      <w:pPr>
        <w:pStyle w:val="TOC1"/>
        <w:rPr>
          <w:rFonts w:asciiTheme="minorHAnsi" w:eastAsiaTheme="minorEastAsia" w:hAnsiTheme="minorHAnsi" w:cstheme="minorBidi"/>
          <w:sz w:val="22"/>
          <w:lang w:val="en-US" w:eastAsia="en-US"/>
        </w:rPr>
      </w:pPr>
      <w:hyperlink w:anchor="_Toc387164043" w:history="1">
        <w:r w:rsidR="00446C7A" w:rsidRPr="00820ED6">
          <w:rPr>
            <w:rStyle w:val="Hyperlink"/>
            <w:lang w:val="en-US"/>
          </w:rPr>
          <w:t>6.</w:t>
        </w:r>
        <w:r w:rsidR="00446C7A">
          <w:rPr>
            <w:rFonts w:asciiTheme="minorHAnsi" w:eastAsiaTheme="minorEastAsia" w:hAnsiTheme="minorHAnsi" w:cstheme="minorBidi"/>
            <w:sz w:val="22"/>
            <w:lang w:val="en-US" w:eastAsia="en-US"/>
          </w:rPr>
          <w:tab/>
        </w:r>
        <w:r w:rsidR="00446C7A" w:rsidRPr="00820ED6">
          <w:rPr>
            <w:rStyle w:val="Hyperlink"/>
            <w:lang w:val="en-US"/>
          </w:rPr>
          <w:t>Preclearance Issues</w:t>
        </w:r>
        <w:r w:rsidR="00446C7A">
          <w:rPr>
            <w:webHidden/>
          </w:rPr>
          <w:tab/>
        </w:r>
        <w:r>
          <w:rPr>
            <w:webHidden/>
          </w:rPr>
          <w:fldChar w:fldCharType="begin"/>
        </w:r>
        <w:r w:rsidR="00446C7A">
          <w:rPr>
            <w:webHidden/>
          </w:rPr>
          <w:instrText xml:space="preserve"> PAGEREF _Toc387164043 \h </w:instrText>
        </w:r>
        <w:r>
          <w:rPr>
            <w:webHidden/>
          </w:rPr>
        </w:r>
        <w:r>
          <w:rPr>
            <w:webHidden/>
          </w:rPr>
          <w:fldChar w:fldCharType="separate"/>
        </w:r>
        <w:r w:rsidR="00446C7A">
          <w:rPr>
            <w:webHidden/>
          </w:rPr>
          <w:t>8</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44" w:history="1">
        <w:r w:rsidR="00446C7A" w:rsidRPr="00820ED6">
          <w:rPr>
            <w:rStyle w:val="Hyperlink"/>
            <w:lang w:val="en-US"/>
          </w:rPr>
          <w:t>6.1.</w:t>
        </w:r>
        <w:r w:rsidR="00446C7A">
          <w:rPr>
            <w:rFonts w:asciiTheme="minorHAnsi" w:eastAsiaTheme="minorEastAsia" w:hAnsiTheme="minorHAnsi" w:cstheme="minorBidi"/>
            <w:sz w:val="22"/>
            <w:lang w:val="en-US" w:eastAsia="en-US"/>
          </w:rPr>
          <w:tab/>
        </w:r>
        <w:r w:rsidR="00446C7A" w:rsidRPr="00820ED6">
          <w:rPr>
            <w:rStyle w:val="Hyperlink"/>
            <w:lang w:val="en-US"/>
          </w:rPr>
          <w:t>How do I preclear my trades of publicly traded securities?</w:t>
        </w:r>
        <w:r w:rsidR="00446C7A">
          <w:rPr>
            <w:webHidden/>
          </w:rPr>
          <w:tab/>
        </w:r>
        <w:r>
          <w:rPr>
            <w:webHidden/>
          </w:rPr>
          <w:fldChar w:fldCharType="begin"/>
        </w:r>
        <w:r w:rsidR="00446C7A">
          <w:rPr>
            <w:webHidden/>
          </w:rPr>
          <w:instrText xml:space="preserve"> PAGEREF _Toc387164044 \h </w:instrText>
        </w:r>
        <w:r>
          <w:rPr>
            <w:webHidden/>
          </w:rPr>
        </w:r>
        <w:r>
          <w:rPr>
            <w:webHidden/>
          </w:rPr>
          <w:fldChar w:fldCharType="separate"/>
        </w:r>
        <w:r w:rsidR="00446C7A">
          <w:rPr>
            <w:webHidden/>
          </w:rPr>
          <w:t>8</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45" w:history="1">
        <w:r w:rsidR="00446C7A" w:rsidRPr="00820ED6">
          <w:rPr>
            <w:rStyle w:val="Hyperlink"/>
            <w:lang w:val="en-US"/>
          </w:rPr>
          <w:t>6.2.</w:t>
        </w:r>
        <w:r w:rsidR="00446C7A">
          <w:rPr>
            <w:rFonts w:asciiTheme="minorHAnsi" w:eastAsiaTheme="minorEastAsia" w:hAnsiTheme="minorHAnsi" w:cstheme="minorBidi"/>
            <w:sz w:val="22"/>
            <w:lang w:val="en-US" w:eastAsia="en-US"/>
          </w:rPr>
          <w:tab/>
        </w:r>
        <w:r w:rsidR="00446C7A" w:rsidRPr="00820ED6">
          <w:rPr>
            <w:rStyle w:val="Hyperlink"/>
            <w:lang w:val="en-US"/>
          </w:rPr>
          <w:t>What type of transaction is subject to the preclearance policy?</w:t>
        </w:r>
        <w:r w:rsidR="00446C7A">
          <w:rPr>
            <w:webHidden/>
          </w:rPr>
          <w:tab/>
        </w:r>
        <w:r>
          <w:rPr>
            <w:webHidden/>
          </w:rPr>
          <w:fldChar w:fldCharType="begin"/>
        </w:r>
        <w:r w:rsidR="00446C7A">
          <w:rPr>
            <w:webHidden/>
          </w:rPr>
          <w:instrText xml:space="preserve"> PAGEREF _Toc387164045 \h </w:instrText>
        </w:r>
        <w:r>
          <w:rPr>
            <w:webHidden/>
          </w:rPr>
        </w:r>
        <w:r>
          <w:rPr>
            <w:webHidden/>
          </w:rPr>
          <w:fldChar w:fldCharType="separate"/>
        </w:r>
        <w:r w:rsidR="00446C7A">
          <w:rPr>
            <w:webHidden/>
          </w:rPr>
          <w:t>8</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46" w:history="1">
        <w:r w:rsidR="00446C7A" w:rsidRPr="00820ED6">
          <w:rPr>
            <w:rStyle w:val="Hyperlink"/>
            <w:lang w:val="en-US"/>
          </w:rPr>
          <w:t>6.3.</w:t>
        </w:r>
        <w:r w:rsidR="00446C7A">
          <w:rPr>
            <w:rFonts w:asciiTheme="minorHAnsi" w:eastAsiaTheme="minorEastAsia" w:hAnsiTheme="minorHAnsi" w:cstheme="minorBidi"/>
            <w:sz w:val="22"/>
            <w:lang w:val="en-US" w:eastAsia="en-US"/>
          </w:rPr>
          <w:tab/>
        </w:r>
        <w:r w:rsidR="00446C7A" w:rsidRPr="00820ED6">
          <w:rPr>
            <w:rStyle w:val="Hyperlink"/>
            <w:lang w:val="en-US"/>
          </w:rPr>
          <w:t>If I have my account(s) at one of the Designated Brokers, do I need to get preclearance from Compliance?</w:t>
        </w:r>
        <w:r w:rsidR="00446C7A">
          <w:rPr>
            <w:webHidden/>
          </w:rPr>
          <w:tab/>
        </w:r>
        <w:r>
          <w:rPr>
            <w:webHidden/>
          </w:rPr>
          <w:fldChar w:fldCharType="begin"/>
        </w:r>
        <w:r w:rsidR="00446C7A">
          <w:rPr>
            <w:webHidden/>
          </w:rPr>
          <w:instrText xml:space="preserve"> PAGEREF _Toc387164046 \h </w:instrText>
        </w:r>
        <w:r>
          <w:rPr>
            <w:webHidden/>
          </w:rPr>
        </w:r>
        <w:r>
          <w:rPr>
            <w:webHidden/>
          </w:rPr>
          <w:fldChar w:fldCharType="separate"/>
        </w:r>
        <w:r w:rsidR="00446C7A">
          <w:rPr>
            <w:webHidden/>
          </w:rPr>
          <w:t>8</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47" w:history="1">
        <w:r w:rsidR="00446C7A" w:rsidRPr="00820ED6">
          <w:rPr>
            <w:rStyle w:val="Hyperlink"/>
            <w:lang w:val="en-US"/>
          </w:rPr>
          <w:t>6.4.</w:t>
        </w:r>
        <w:r w:rsidR="00446C7A">
          <w:rPr>
            <w:rFonts w:asciiTheme="minorHAnsi" w:eastAsiaTheme="minorEastAsia" w:hAnsiTheme="minorHAnsi" w:cstheme="minorBidi"/>
            <w:sz w:val="22"/>
            <w:lang w:val="en-US" w:eastAsia="en-US"/>
          </w:rPr>
          <w:tab/>
        </w:r>
        <w:r w:rsidR="00446C7A" w:rsidRPr="00820ED6">
          <w:rPr>
            <w:rStyle w:val="Hyperlink"/>
            <w:lang w:val="en-US"/>
          </w:rPr>
          <w:t>How long is the trade approval valid for?</w:t>
        </w:r>
        <w:r w:rsidR="00446C7A">
          <w:rPr>
            <w:webHidden/>
          </w:rPr>
          <w:tab/>
        </w:r>
        <w:r>
          <w:rPr>
            <w:webHidden/>
          </w:rPr>
          <w:fldChar w:fldCharType="begin"/>
        </w:r>
        <w:r w:rsidR="00446C7A">
          <w:rPr>
            <w:webHidden/>
          </w:rPr>
          <w:instrText xml:space="preserve"> PAGEREF _Toc387164047 \h </w:instrText>
        </w:r>
        <w:r>
          <w:rPr>
            <w:webHidden/>
          </w:rPr>
        </w:r>
        <w:r>
          <w:rPr>
            <w:webHidden/>
          </w:rPr>
          <w:fldChar w:fldCharType="separate"/>
        </w:r>
        <w:r w:rsidR="00446C7A">
          <w:rPr>
            <w:webHidden/>
          </w:rPr>
          <w:t>8</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48" w:history="1">
        <w:r w:rsidR="00446C7A" w:rsidRPr="00820ED6">
          <w:rPr>
            <w:rStyle w:val="Hyperlink"/>
            <w:lang w:val="en-US"/>
          </w:rPr>
          <w:t>6.5.</w:t>
        </w:r>
        <w:r w:rsidR="00446C7A">
          <w:rPr>
            <w:rFonts w:asciiTheme="minorHAnsi" w:eastAsiaTheme="minorEastAsia" w:hAnsiTheme="minorHAnsi" w:cstheme="minorBidi"/>
            <w:sz w:val="22"/>
            <w:lang w:val="en-US" w:eastAsia="en-US"/>
          </w:rPr>
          <w:tab/>
        </w:r>
        <w:r w:rsidR="00446C7A" w:rsidRPr="00820ED6">
          <w:rPr>
            <w:rStyle w:val="Hyperlink"/>
            <w:lang w:val="en-US"/>
          </w:rPr>
          <w:t>Is there a minimum holding period for investments?</w:t>
        </w:r>
        <w:r w:rsidR="00446C7A">
          <w:rPr>
            <w:webHidden/>
          </w:rPr>
          <w:tab/>
        </w:r>
        <w:r>
          <w:rPr>
            <w:webHidden/>
          </w:rPr>
          <w:fldChar w:fldCharType="begin"/>
        </w:r>
        <w:r w:rsidR="00446C7A">
          <w:rPr>
            <w:webHidden/>
          </w:rPr>
          <w:instrText xml:space="preserve"> PAGEREF _Toc387164048 \h </w:instrText>
        </w:r>
        <w:r>
          <w:rPr>
            <w:webHidden/>
          </w:rPr>
        </w:r>
        <w:r>
          <w:rPr>
            <w:webHidden/>
          </w:rPr>
          <w:fldChar w:fldCharType="separate"/>
        </w:r>
        <w:r w:rsidR="00446C7A">
          <w:rPr>
            <w:webHidden/>
          </w:rPr>
          <w:t>8</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49" w:history="1">
        <w:r w:rsidR="00446C7A" w:rsidRPr="00820ED6">
          <w:rPr>
            <w:rStyle w:val="Hyperlink"/>
            <w:lang w:val="en-US"/>
          </w:rPr>
          <w:t>6.6.</w:t>
        </w:r>
        <w:r w:rsidR="00446C7A">
          <w:rPr>
            <w:rFonts w:asciiTheme="minorHAnsi" w:eastAsiaTheme="minorEastAsia" w:hAnsiTheme="minorHAnsi" w:cstheme="minorBidi"/>
            <w:sz w:val="22"/>
            <w:lang w:val="en-US" w:eastAsia="en-US"/>
          </w:rPr>
          <w:tab/>
        </w:r>
        <w:r w:rsidR="00446C7A" w:rsidRPr="00820ED6">
          <w:rPr>
            <w:rStyle w:val="Hyperlink"/>
            <w:lang w:val="en-US"/>
          </w:rPr>
          <w:t>I am planning on making a charitable donation of securities; will I need approval from The Personal Account Dealing Group to do so?</w:t>
        </w:r>
        <w:r w:rsidR="00446C7A">
          <w:rPr>
            <w:webHidden/>
          </w:rPr>
          <w:tab/>
        </w:r>
        <w:r>
          <w:rPr>
            <w:webHidden/>
          </w:rPr>
          <w:fldChar w:fldCharType="begin"/>
        </w:r>
        <w:r w:rsidR="00446C7A">
          <w:rPr>
            <w:webHidden/>
          </w:rPr>
          <w:instrText xml:space="preserve"> PAGEREF _Toc387164049 \h </w:instrText>
        </w:r>
        <w:r>
          <w:rPr>
            <w:webHidden/>
          </w:rPr>
        </w:r>
        <w:r>
          <w:rPr>
            <w:webHidden/>
          </w:rPr>
          <w:fldChar w:fldCharType="separate"/>
        </w:r>
        <w:r w:rsidR="00446C7A">
          <w:rPr>
            <w:webHidden/>
          </w:rPr>
          <w:t>8</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50" w:history="1">
        <w:r w:rsidR="00446C7A" w:rsidRPr="00820ED6">
          <w:rPr>
            <w:rStyle w:val="Hyperlink"/>
            <w:lang w:val="en-US"/>
          </w:rPr>
          <w:t>6.7.</w:t>
        </w:r>
        <w:r w:rsidR="00446C7A">
          <w:rPr>
            <w:rFonts w:asciiTheme="minorHAnsi" w:eastAsiaTheme="minorEastAsia" w:hAnsiTheme="minorHAnsi" w:cstheme="minorBidi"/>
            <w:sz w:val="22"/>
            <w:lang w:val="en-US" w:eastAsia="en-US"/>
          </w:rPr>
          <w:tab/>
        </w:r>
        <w:r w:rsidR="00446C7A" w:rsidRPr="00820ED6">
          <w:rPr>
            <w:rStyle w:val="Hyperlink"/>
            <w:lang w:val="en-US"/>
          </w:rPr>
          <w:t>Do I have to preclear sales of JPMorgan Chase securities?</w:t>
        </w:r>
        <w:r w:rsidR="00446C7A">
          <w:rPr>
            <w:webHidden/>
          </w:rPr>
          <w:tab/>
        </w:r>
        <w:r>
          <w:rPr>
            <w:webHidden/>
          </w:rPr>
          <w:fldChar w:fldCharType="begin"/>
        </w:r>
        <w:r w:rsidR="00446C7A">
          <w:rPr>
            <w:webHidden/>
          </w:rPr>
          <w:instrText xml:space="preserve"> PAGEREF _Toc387164050 \h </w:instrText>
        </w:r>
        <w:r>
          <w:rPr>
            <w:webHidden/>
          </w:rPr>
        </w:r>
        <w:r>
          <w:rPr>
            <w:webHidden/>
          </w:rPr>
          <w:fldChar w:fldCharType="separate"/>
        </w:r>
        <w:r w:rsidR="00446C7A">
          <w:rPr>
            <w:webHidden/>
          </w:rPr>
          <w:t>9</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51" w:history="1">
        <w:r w:rsidR="00446C7A" w:rsidRPr="00820ED6">
          <w:rPr>
            <w:rStyle w:val="Hyperlink"/>
            <w:lang w:val="en-US"/>
          </w:rPr>
          <w:t>6.8.</w:t>
        </w:r>
        <w:r w:rsidR="00446C7A">
          <w:rPr>
            <w:rFonts w:asciiTheme="minorHAnsi" w:eastAsiaTheme="minorEastAsia" w:hAnsiTheme="minorHAnsi" w:cstheme="minorBidi"/>
            <w:sz w:val="22"/>
            <w:lang w:val="en-US" w:eastAsia="en-US"/>
          </w:rPr>
          <w:tab/>
        </w:r>
        <w:r w:rsidR="00446C7A" w:rsidRPr="00820ED6">
          <w:rPr>
            <w:rStyle w:val="Hyperlink"/>
            <w:lang w:val="en-US"/>
          </w:rPr>
          <w:t>Do I have to preclear private investments – investments in non investments in hedge funds or limited partnerships?</w:t>
        </w:r>
        <w:r w:rsidR="00446C7A">
          <w:rPr>
            <w:webHidden/>
          </w:rPr>
          <w:tab/>
        </w:r>
        <w:r>
          <w:rPr>
            <w:webHidden/>
          </w:rPr>
          <w:fldChar w:fldCharType="begin"/>
        </w:r>
        <w:r w:rsidR="00446C7A">
          <w:rPr>
            <w:webHidden/>
          </w:rPr>
          <w:instrText xml:space="preserve"> PAGEREF _Toc387164051 \h </w:instrText>
        </w:r>
        <w:r>
          <w:rPr>
            <w:webHidden/>
          </w:rPr>
        </w:r>
        <w:r>
          <w:rPr>
            <w:webHidden/>
          </w:rPr>
          <w:fldChar w:fldCharType="separate"/>
        </w:r>
        <w:r w:rsidR="00446C7A">
          <w:rPr>
            <w:webHidden/>
          </w:rPr>
          <w:t>9</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52" w:history="1">
        <w:r w:rsidR="00446C7A" w:rsidRPr="00820ED6">
          <w:rPr>
            <w:rStyle w:val="Hyperlink"/>
            <w:lang w:val="en-US"/>
          </w:rPr>
          <w:t>6.9.</w:t>
        </w:r>
        <w:r w:rsidR="00446C7A">
          <w:rPr>
            <w:rFonts w:asciiTheme="minorHAnsi" w:eastAsiaTheme="minorEastAsia" w:hAnsiTheme="minorHAnsi" w:cstheme="minorBidi"/>
            <w:sz w:val="22"/>
            <w:lang w:val="en-US" w:eastAsia="en-US"/>
          </w:rPr>
          <w:tab/>
        </w:r>
        <w:r w:rsidR="00446C7A" w:rsidRPr="00820ED6">
          <w:rPr>
            <w:rStyle w:val="Hyperlink"/>
            <w:lang w:val="en-US"/>
          </w:rPr>
          <w:t>Do I have to preclear transactions in my children’s account?</w:t>
        </w:r>
        <w:r w:rsidR="00446C7A">
          <w:rPr>
            <w:webHidden/>
          </w:rPr>
          <w:tab/>
        </w:r>
        <w:r>
          <w:rPr>
            <w:webHidden/>
          </w:rPr>
          <w:fldChar w:fldCharType="begin"/>
        </w:r>
        <w:r w:rsidR="00446C7A">
          <w:rPr>
            <w:webHidden/>
          </w:rPr>
          <w:instrText xml:space="preserve"> PAGEREF _Toc387164052 \h </w:instrText>
        </w:r>
        <w:r>
          <w:rPr>
            <w:webHidden/>
          </w:rPr>
        </w:r>
        <w:r>
          <w:rPr>
            <w:webHidden/>
          </w:rPr>
          <w:fldChar w:fldCharType="separate"/>
        </w:r>
        <w:r w:rsidR="00446C7A">
          <w:rPr>
            <w:webHidden/>
          </w:rPr>
          <w:t>9</w:t>
        </w:r>
        <w:r>
          <w:rPr>
            <w:webHidden/>
          </w:rPr>
          <w:fldChar w:fldCharType="end"/>
        </w:r>
      </w:hyperlink>
    </w:p>
    <w:p w:rsidR="00446C7A" w:rsidRDefault="00AC331E">
      <w:pPr>
        <w:pStyle w:val="TOC2"/>
        <w:rPr>
          <w:rFonts w:asciiTheme="minorHAnsi" w:eastAsiaTheme="minorEastAsia" w:hAnsiTheme="minorHAnsi" w:cstheme="minorBidi"/>
          <w:sz w:val="22"/>
          <w:lang w:val="en-US" w:eastAsia="en-US"/>
        </w:rPr>
      </w:pPr>
      <w:hyperlink w:anchor="_Toc387164053" w:history="1">
        <w:r w:rsidR="00446C7A" w:rsidRPr="00820ED6">
          <w:rPr>
            <w:rStyle w:val="Hyperlink"/>
            <w:lang w:val="en-US"/>
          </w:rPr>
          <w:t>6.10.</w:t>
        </w:r>
        <w:r w:rsidR="00446C7A">
          <w:rPr>
            <w:rFonts w:asciiTheme="minorHAnsi" w:eastAsiaTheme="minorEastAsia" w:hAnsiTheme="minorHAnsi" w:cstheme="minorBidi"/>
            <w:sz w:val="22"/>
            <w:lang w:val="en-US" w:eastAsia="en-US"/>
          </w:rPr>
          <w:tab/>
        </w:r>
        <w:r w:rsidR="00446C7A" w:rsidRPr="00820ED6">
          <w:rPr>
            <w:rStyle w:val="Hyperlink"/>
            <w:lang w:val="en-US"/>
          </w:rPr>
          <w:t>Do I need preclearance for securities I had before I joined the firm?</w:t>
        </w:r>
        <w:r w:rsidR="00446C7A">
          <w:rPr>
            <w:webHidden/>
          </w:rPr>
          <w:tab/>
        </w:r>
        <w:r>
          <w:rPr>
            <w:webHidden/>
          </w:rPr>
          <w:fldChar w:fldCharType="begin"/>
        </w:r>
        <w:r w:rsidR="00446C7A">
          <w:rPr>
            <w:webHidden/>
          </w:rPr>
          <w:instrText xml:space="preserve"> PAGEREF _Toc387164053 \h </w:instrText>
        </w:r>
        <w:r>
          <w:rPr>
            <w:webHidden/>
          </w:rPr>
        </w:r>
        <w:r>
          <w:rPr>
            <w:webHidden/>
          </w:rPr>
          <w:fldChar w:fldCharType="separate"/>
        </w:r>
        <w:r w:rsidR="00446C7A">
          <w:rPr>
            <w:webHidden/>
          </w:rPr>
          <w:t>9</w:t>
        </w:r>
        <w:r>
          <w:rPr>
            <w:webHidden/>
          </w:rPr>
          <w:fldChar w:fldCharType="end"/>
        </w:r>
      </w:hyperlink>
    </w:p>
    <w:p w:rsidR="00446C7A" w:rsidRDefault="00AC331E">
      <w:pPr>
        <w:pStyle w:val="TOC1"/>
        <w:rPr>
          <w:rFonts w:asciiTheme="minorHAnsi" w:eastAsiaTheme="minorEastAsia" w:hAnsiTheme="minorHAnsi" w:cstheme="minorBidi"/>
          <w:sz w:val="22"/>
          <w:lang w:val="en-US" w:eastAsia="en-US"/>
        </w:rPr>
      </w:pPr>
      <w:hyperlink w:anchor="_Toc387164054" w:history="1">
        <w:r w:rsidR="00446C7A" w:rsidRPr="00820ED6">
          <w:rPr>
            <w:rStyle w:val="Hyperlink"/>
          </w:rPr>
          <w:t>7.</w:t>
        </w:r>
        <w:r w:rsidR="00446C7A">
          <w:rPr>
            <w:rFonts w:asciiTheme="minorHAnsi" w:eastAsiaTheme="minorEastAsia" w:hAnsiTheme="minorHAnsi" w:cstheme="minorBidi"/>
            <w:sz w:val="22"/>
            <w:lang w:val="en-US" w:eastAsia="en-US"/>
          </w:rPr>
          <w:tab/>
        </w:r>
        <w:r w:rsidR="00446C7A" w:rsidRPr="00820ED6">
          <w:rPr>
            <w:rStyle w:val="Hyperlink"/>
          </w:rPr>
          <w:t>Defined Terms</w:t>
        </w:r>
        <w:r w:rsidR="00446C7A">
          <w:rPr>
            <w:webHidden/>
          </w:rPr>
          <w:tab/>
        </w:r>
        <w:r>
          <w:rPr>
            <w:webHidden/>
          </w:rPr>
          <w:fldChar w:fldCharType="begin"/>
        </w:r>
        <w:r w:rsidR="00446C7A">
          <w:rPr>
            <w:webHidden/>
          </w:rPr>
          <w:instrText xml:space="preserve"> PAGEREF _Toc387164054 \h </w:instrText>
        </w:r>
        <w:r>
          <w:rPr>
            <w:webHidden/>
          </w:rPr>
        </w:r>
        <w:r>
          <w:rPr>
            <w:webHidden/>
          </w:rPr>
          <w:fldChar w:fldCharType="separate"/>
        </w:r>
        <w:r w:rsidR="00446C7A">
          <w:rPr>
            <w:webHidden/>
          </w:rPr>
          <w:t>10</w:t>
        </w:r>
        <w:r>
          <w:rPr>
            <w:webHidden/>
          </w:rPr>
          <w:fldChar w:fldCharType="end"/>
        </w:r>
      </w:hyperlink>
    </w:p>
    <w:p w:rsidR="00446C7A" w:rsidRDefault="00AC331E">
      <w:pPr>
        <w:pStyle w:val="TOC1"/>
        <w:rPr>
          <w:rFonts w:asciiTheme="minorHAnsi" w:eastAsiaTheme="minorEastAsia" w:hAnsiTheme="minorHAnsi" w:cstheme="minorBidi"/>
          <w:sz w:val="22"/>
          <w:lang w:val="en-US" w:eastAsia="en-US"/>
        </w:rPr>
      </w:pPr>
      <w:hyperlink w:anchor="_Toc387164055" w:history="1">
        <w:r w:rsidR="00446C7A" w:rsidRPr="00820ED6">
          <w:rPr>
            <w:rStyle w:val="Hyperlink"/>
          </w:rPr>
          <w:t>8.</w:t>
        </w:r>
        <w:r w:rsidR="00446C7A">
          <w:rPr>
            <w:rFonts w:asciiTheme="minorHAnsi" w:eastAsiaTheme="minorEastAsia" w:hAnsiTheme="minorHAnsi" w:cstheme="minorBidi"/>
            <w:sz w:val="22"/>
            <w:lang w:val="en-US" w:eastAsia="en-US"/>
          </w:rPr>
          <w:tab/>
        </w:r>
        <w:r w:rsidR="00446C7A" w:rsidRPr="00820ED6">
          <w:rPr>
            <w:rStyle w:val="Hyperlink"/>
          </w:rPr>
          <w:t>Firm References</w:t>
        </w:r>
        <w:r w:rsidR="00446C7A">
          <w:rPr>
            <w:webHidden/>
          </w:rPr>
          <w:tab/>
        </w:r>
        <w:r>
          <w:rPr>
            <w:webHidden/>
          </w:rPr>
          <w:fldChar w:fldCharType="begin"/>
        </w:r>
        <w:r w:rsidR="00446C7A">
          <w:rPr>
            <w:webHidden/>
          </w:rPr>
          <w:instrText xml:space="preserve"> PAGEREF _Toc387164055 \h </w:instrText>
        </w:r>
        <w:r>
          <w:rPr>
            <w:webHidden/>
          </w:rPr>
        </w:r>
        <w:r>
          <w:rPr>
            <w:webHidden/>
          </w:rPr>
          <w:fldChar w:fldCharType="separate"/>
        </w:r>
        <w:r w:rsidR="00446C7A">
          <w:rPr>
            <w:webHidden/>
          </w:rPr>
          <w:t>10</w:t>
        </w:r>
        <w:r>
          <w:rPr>
            <w:webHidden/>
          </w:rPr>
          <w:fldChar w:fldCharType="end"/>
        </w:r>
      </w:hyperlink>
    </w:p>
    <w:p w:rsidR="00446C7A" w:rsidRDefault="00AC331E">
      <w:pPr>
        <w:pStyle w:val="TOC1"/>
        <w:rPr>
          <w:rFonts w:asciiTheme="minorHAnsi" w:eastAsiaTheme="minorEastAsia" w:hAnsiTheme="minorHAnsi" w:cstheme="minorBidi"/>
          <w:sz w:val="22"/>
          <w:lang w:val="en-US" w:eastAsia="en-US"/>
        </w:rPr>
      </w:pPr>
      <w:hyperlink w:anchor="_Toc387164056" w:history="1">
        <w:r w:rsidR="00446C7A" w:rsidRPr="00820ED6">
          <w:rPr>
            <w:rStyle w:val="Hyperlink"/>
          </w:rPr>
          <w:t>9.</w:t>
        </w:r>
        <w:r w:rsidR="00446C7A">
          <w:rPr>
            <w:rFonts w:asciiTheme="minorHAnsi" w:eastAsiaTheme="minorEastAsia" w:hAnsiTheme="minorHAnsi" w:cstheme="minorBidi"/>
            <w:sz w:val="22"/>
            <w:lang w:val="en-US" w:eastAsia="en-US"/>
          </w:rPr>
          <w:tab/>
        </w:r>
        <w:r w:rsidR="00446C7A" w:rsidRPr="00820ED6">
          <w:rPr>
            <w:rStyle w:val="Hyperlink"/>
          </w:rPr>
          <w:t>Document Information</w:t>
        </w:r>
        <w:r w:rsidR="00446C7A">
          <w:rPr>
            <w:webHidden/>
          </w:rPr>
          <w:tab/>
        </w:r>
        <w:r>
          <w:rPr>
            <w:webHidden/>
          </w:rPr>
          <w:fldChar w:fldCharType="begin"/>
        </w:r>
        <w:r w:rsidR="00446C7A">
          <w:rPr>
            <w:webHidden/>
          </w:rPr>
          <w:instrText xml:space="preserve"> PAGEREF _Toc387164056 \h </w:instrText>
        </w:r>
        <w:r>
          <w:rPr>
            <w:webHidden/>
          </w:rPr>
        </w:r>
        <w:r>
          <w:rPr>
            <w:webHidden/>
          </w:rPr>
          <w:fldChar w:fldCharType="separate"/>
        </w:r>
        <w:r w:rsidR="00446C7A">
          <w:rPr>
            <w:webHidden/>
          </w:rPr>
          <w:t>10</w:t>
        </w:r>
        <w:r>
          <w:rPr>
            <w:webHidden/>
          </w:rPr>
          <w:fldChar w:fldCharType="end"/>
        </w:r>
      </w:hyperlink>
    </w:p>
    <w:p w:rsidR="0067255A" w:rsidRDefault="00AC331E" w:rsidP="00371DEE">
      <w:pPr>
        <w:pStyle w:val="TOC1"/>
      </w:pPr>
      <w:r>
        <w:fldChar w:fldCharType="end"/>
      </w:r>
      <w:bookmarkStart w:id="1" w:name="_Toc356914770"/>
      <w:bookmarkStart w:id="2" w:name="_Toc356915146"/>
    </w:p>
    <w:p w:rsidR="0067255A" w:rsidRDefault="0067255A" w:rsidP="0067255A">
      <w:pPr>
        <w:rPr>
          <w:rFonts w:cs="Arial"/>
          <w:noProof/>
        </w:rPr>
      </w:pPr>
      <w:r>
        <w:br w:type="page"/>
      </w:r>
    </w:p>
    <w:p w:rsidR="004537D3" w:rsidRDefault="004537D3" w:rsidP="0067255A">
      <w:pPr>
        <w:pStyle w:val="Heading1"/>
      </w:pPr>
      <w:bookmarkStart w:id="3" w:name="_Toc387164021"/>
      <w:r>
        <w:lastRenderedPageBreak/>
        <w:t>Summary</w:t>
      </w:r>
      <w:bookmarkEnd w:id="3"/>
      <w:r>
        <w:t xml:space="preserve"> </w:t>
      </w:r>
      <w:bookmarkEnd w:id="1"/>
      <w:bookmarkEnd w:id="2"/>
    </w:p>
    <w:p w:rsidR="00AC4B5E" w:rsidRDefault="00D952C7" w:rsidP="00AC4B5E">
      <w:pPr>
        <w:jc w:val="both"/>
      </w:pPr>
      <w:r>
        <w:t xml:space="preserve">The document outlines frequently asked questions pertaining to the Personal Account Dealing Policy in North America </w:t>
      </w:r>
    </w:p>
    <w:p w:rsidR="004537D3" w:rsidRDefault="004537D3" w:rsidP="004537D3">
      <w:pPr>
        <w:pStyle w:val="Heading1"/>
      </w:pPr>
      <w:bookmarkStart w:id="4" w:name="_Toc387164022"/>
      <w:bookmarkStart w:id="5" w:name="_Toc356914771"/>
      <w:bookmarkStart w:id="6" w:name="_Toc356915147"/>
      <w:r>
        <w:t>Scope</w:t>
      </w:r>
      <w:bookmarkEnd w:id="4"/>
      <w:r>
        <w:t xml:space="preserve"> </w:t>
      </w:r>
      <w:bookmarkEnd w:id="5"/>
      <w:bookmarkEnd w:id="6"/>
    </w:p>
    <w:tbl>
      <w:tblPr>
        <w:tblW w:w="8730" w:type="dxa"/>
        <w:tblInd w:w="612" w:type="dxa"/>
        <w:tblBorders>
          <w:top w:val="single" w:sz="12" w:space="0" w:color="FFFFFF"/>
          <w:left w:val="single" w:sz="12" w:space="0" w:color="FFFFFF"/>
          <w:bottom w:val="single" w:sz="6" w:space="0" w:color="A1BCDF"/>
          <w:right w:val="single" w:sz="12" w:space="0" w:color="FFFFFF"/>
          <w:insideH w:val="single" w:sz="12" w:space="0" w:color="FFFFFF"/>
          <w:insideV w:val="single" w:sz="12" w:space="0" w:color="FFFFFF"/>
        </w:tblBorders>
        <w:tblLook w:val="06A0"/>
      </w:tblPr>
      <w:tblGrid>
        <w:gridCol w:w="3168"/>
        <w:gridCol w:w="5562"/>
      </w:tblGrid>
      <w:tr w:rsidR="004537D3" w:rsidRPr="005D48F7" w:rsidTr="00B05C95">
        <w:tc>
          <w:tcPr>
            <w:tcW w:w="3168" w:type="dxa"/>
            <w:shd w:val="clear" w:color="auto" w:fill="A1BCDF"/>
            <w:tcMar>
              <w:top w:w="72" w:type="dxa"/>
              <w:left w:w="72" w:type="dxa"/>
              <w:bottom w:w="72" w:type="dxa"/>
              <w:right w:w="72" w:type="dxa"/>
            </w:tcMar>
          </w:tcPr>
          <w:p w:rsidR="004537D3" w:rsidRPr="005D48F7" w:rsidRDefault="004537D3" w:rsidP="00B05C95">
            <w:pPr>
              <w:pStyle w:val="TableHeading"/>
              <w:rPr>
                <w:szCs w:val="16"/>
              </w:rPr>
            </w:pPr>
            <w:r w:rsidRPr="005D48F7">
              <w:rPr>
                <w:szCs w:val="16"/>
              </w:rPr>
              <w:t>Lines of Business</w:t>
            </w:r>
          </w:p>
        </w:tc>
        <w:tc>
          <w:tcPr>
            <w:tcW w:w="5562" w:type="dxa"/>
            <w:tcBorders>
              <w:bottom w:val="single" w:sz="12" w:space="0" w:color="FFFFFF"/>
            </w:tcBorders>
            <w:shd w:val="clear" w:color="auto" w:fill="DFE8F4"/>
            <w:tcMar>
              <w:top w:w="72" w:type="dxa"/>
              <w:left w:w="72" w:type="dxa"/>
              <w:bottom w:w="72" w:type="dxa"/>
              <w:right w:w="72" w:type="dxa"/>
            </w:tcMar>
          </w:tcPr>
          <w:p w:rsidR="004537D3" w:rsidRPr="000746B9" w:rsidRDefault="00F17110" w:rsidP="00B05C95">
            <w:pPr>
              <w:pStyle w:val="TableBody"/>
            </w:pPr>
            <w:r>
              <w:t>All</w:t>
            </w:r>
          </w:p>
        </w:tc>
      </w:tr>
      <w:tr w:rsidR="004537D3" w:rsidRPr="005D48F7" w:rsidTr="00B05C95">
        <w:tc>
          <w:tcPr>
            <w:tcW w:w="3168" w:type="dxa"/>
            <w:shd w:val="clear" w:color="auto" w:fill="A1BCDF"/>
            <w:tcMar>
              <w:top w:w="72" w:type="dxa"/>
              <w:left w:w="72" w:type="dxa"/>
              <w:bottom w:w="72" w:type="dxa"/>
              <w:right w:w="72" w:type="dxa"/>
            </w:tcMar>
          </w:tcPr>
          <w:p w:rsidR="004537D3" w:rsidRPr="005D48F7" w:rsidRDefault="004537D3" w:rsidP="00B05C95">
            <w:pPr>
              <w:pStyle w:val="TableHeading"/>
              <w:rPr>
                <w:szCs w:val="16"/>
              </w:rPr>
            </w:pPr>
            <w:r>
              <w:rPr>
                <w:szCs w:val="16"/>
              </w:rPr>
              <w:t>Sub-Lines of Business</w:t>
            </w:r>
          </w:p>
        </w:tc>
        <w:tc>
          <w:tcPr>
            <w:tcW w:w="5562" w:type="dxa"/>
            <w:tcBorders>
              <w:top w:val="single" w:sz="12" w:space="0" w:color="FFFFFF"/>
            </w:tcBorders>
            <w:shd w:val="clear" w:color="auto" w:fill="DFE8F4"/>
            <w:tcMar>
              <w:top w:w="72" w:type="dxa"/>
              <w:left w:w="72" w:type="dxa"/>
              <w:bottom w:w="72" w:type="dxa"/>
              <w:right w:w="72" w:type="dxa"/>
            </w:tcMar>
          </w:tcPr>
          <w:p w:rsidR="004537D3" w:rsidRDefault="00304839" w:rsidP="00B05C95">
            <w:pPr>
              <w:pStyle w:val="TableBody"/>
            </w:pPr>
            <w:r>
              <w:t>N/A</w:t>
            </w:r>
          </w:p>
          <w:p w:rsidR="004537D3" w:rsidRDefault="004537D3" w:rsidP="00B05C95">
            <w:pPr>
              <w:pStyle w:val="TableBody"/>
            </w:pPr>
          </w:p>
        </w:tc>
      </w:tr>
      <w:tr w:rsidR="004537D3" w:rsidRPr="005D48F7" w:rsidTr="00B05C95">
        <w:tc>
          <w:tcPr>
            <w:tcW w:w="3168" w:type="dxa"/>
            <w:shd w:val="clear" w:color="auto" w:fill="A1BCDF"/>
            <w:tcMar>
              <w:top w:w="72" w:type="dxa"/>
              <w:left w:w="72" w:type="dxa"/>
              <w:bottom w:w="72" w:type="dxa"/>
              <w:right w:w="72" w:type="dxa"/>
            </w:tcMar>
          </w:tcPr>
          <w:p w:rsidR="004537D3" w:rsidRPr="005D48F7" w:rsidRDefault="004537D3" w:rsidP="00B05C95">
            <w:pPr>
              <w:pStyle w:val="TableHeading"/>
              <w:rPr>
                <w:szCs w:val="16"/>
              </w:rPr>
            </w:pPr>
            <w:r>
              <w:rPr>
                <w:szCs w:val="16"/>
              </w:rPr>
              <w:t>Function(s)</w:t>
            </w:r>
          </w:p>
        </w:tc>
        <w:tc>
          <w:tcPr>
            <w:tcW w:w="5562" w:type="dxa"/>
            <w:tcBorders>
              <w:top w:val="single" w:sz="12" w:space="0" w:color="FFFFFF"/>
            </w:tcBorders>
            <w:shd w:val="clear" w:color="auto" w:fill="DFE8F4"/>
            <w:tcMar>
              <w:top w:w="72" w:type="dxa"/>
              <w:left w:w="72" w:type="dxa"/>
              <w:bottom w:w="72" w:type="dxa"/>
              <w:right w:w="72" w:type="dxa"/>
            </w:tcMar>
          </w:tcPr>
          <w:p w:rsidR="004537D3" w:rsidRDefault="00304839" w:rsidP="00B05C95">
            <w:pPr>
              <w:pStyle w:val="TableBody"/>
            </w:pPr>
            <w:r>
              <w:t>All</w:t>
            </w:r>
          </w:p>
        </w:tc>
      </w:tr>
      <w:tr w:rsidR="004537D3" w:rsidRPr="005D48F7" w:rsidTr="00B05C95">
        <w:tc>
          <w:tcPr>
            <w:tcW w:w="3168" w:type="dxa"/>
            <w:shd w:val="clear" w:color="auto" w:fill="A1BCDF"/>
            <w:tcMar>
              <w:top w:w="72" w:type="dxa"/>
              <w:left w:w="72" w:type="dxa"/>
              <w:bottom w:w="72" w:type="dxa"/>
              <w:right w:w="72" w:type="dxa"/>
            </w:tcMar>
          </w:tcPr>
          <w:p w:rsidR="004537D3" w:rsidRPr="005D48F7" w:rsidRDefault="004537D3" w:rsidP="00B05C95">
            <w:pPr>
              <w:pStyle w:val="TableHeading"/>
              <w:rPr>
                <w:szCs w:val="16"/>
              </w:rPr>
            </w:pPr>
            <w:r w:rsidRPr="005D48F7">
              <w:rPr>
                <w:szCs w:val="16"/>
              </w:rPr>
              <w:t>Locations</w:t>
            </w:r>
          </w:p>
        </w:tc>
        <w:tc>
          <w:tcPr>
            <w:tcW w:w="5562" w:type="dxa"/>
            <w:tcBorders>
              <w:top w:val="single" w:sz="12" w:space="0" w:color="FFFFFF"/>
            </w:tcBorders>
            <w:shd w:val="clear" w:color="auto" w:fill="DFE8F4"/>
            <w:tcMar>
              <w:top w:w="72" w:type="dxa"/>
              <w:left w:w="72" w:type="dxa"/>
              <w:bottom w:w="72" w:type="dxa"/>
              <w:right w:w="72" w:type="dxa"/>
            </w:tcMar>
          </w:tcPr>
          <w:p w:rsidR="004537D3" w:rsidRPr="000746B9" w:rsidRDefault="00304839" w:rsidP="00B05C95">
            <w:pPr>
              <w:pStyle w:val="TableBody"/>
            </w:pPr>
            <w:r>
              <w:t xml:space="preserve">North America </w:t>
            </w:r>
          </w:p>
        </w:tc>
      </w:tr>
      <w:tr w:rsidR="004537D3" w:rsidRPr="005D48F7" w:rsidTr="00B05C95">
        <w:tc>
          <w:tcPr>
            <w:tcW w:w="3168" w:type="dxa"/>
            <w:shd w:val="clear" w:color="auto" w:fill="A1BCDF"/>
            <w:tcMar>
              <w:top w:w="72" w:type="dxa"/>
              <w:left w:w="72" w:type="dxa"/>
              <w:bottom w:w="72" w:type="dxa"/>
              <w:right w:w="72" w:type="dxa"/>
            </w:tcMar>
          </w:tcPr>
          <w:p w:rsidR="004537D3" w:rsidRPr="005D48F7" w:rsidRDefault="004537D3" w:rsidP="00B05C95">
            <w:pPr>
              <w:pStyle w:val="TableHeading"/>
              <w:rPr>
                <w:szCs w:val="16"/>
              </w:rPr>
            </w:pPr>
            <w:r w:rsidRPr="005D48F7">
              <w:rPr>
                <w:szCs w:val="16"/>
              </w:rPr>
              <w:t>Legal Entities</w:t>
            </w:r>
          </w:p>
        </w:tc>
        <w:tc>
          <w:tcPr>
            <w:tcW w:w="5562" w:type="dxa"/>
            <w:shd w:val="clear" w:color="auto" w:fill="DFE8F4"/>
            <w:tcMar>
              <w:top w:w="72" w:type="dxa"/>
              <w:left w:w="72" w:type="dxa"/>
              <w:bottom w:w="72" w:type="dxa"/>
              <w:right w:w="72" w:type="dxa"/>
            </w:tcMar>
          </w:tcPr>
          <w:p w:rsidR="004537D3" w:rsidRPr="000746B9" w:rsidRDefault="00304839" w:rsidP="00B05C95">
            <w:pPr>
              <w:pStyle w:val="TableBody"/>
            </w:pPr>
            <w:r>
              <w:t>All</w:t>
            </w:r>
          </w:p>
        </w:tc>
      </w:tr>
    </w:tbl>
    <w:p w:rsidR="004537D3" w:rsidRDefault="004537D3" w:rsidP="00D9438E">
      <w:pPr>
        <w:pStyle w:val="Heading1"/>
      </w:pPr>
      <w:bookmarkStart w:id="7" w:name="_Toc387164023"/>
      <w:bookmarkStart w:id="8" w:name="_Toc356914773"/>
      <w:bookmarkStart w:id="9" w:name="_Toc356915149"/>
      <w:r>
        <w:t>Changes from Previous Version</w:t>
      </w:r>
      <w:bookmarkEnd w:id="7"/>
      <w:r>
        <w:t xml:space="preserve"> </w:t>
      </w:r>
      <w:bookmarkEnd w:id="8"/>
      <w:bookmarkEnd w:id="9"/>
    </w:p>
    <w:p w:rsidR="00DC23AC" w:rsidRDefault="00F17110" w:rsidP="00F17110">
      <w:pPr>
        <w:pStyle w:val="ListParagraph"/>
        <w:numPr>
          <w:ilvl w:val="0"/>
          <w:numId w:val="9"/>
        </w:numPr>
      </w:pPr>
      <w:r>
        <w:t xml:space="preserve">Revision to list of Designated Brokers </w:t>
      </w:r>
    </w:p>
    <w:p w:rsidR="004537D3" w:rsidRPr="00304839" w:rsidRDefault="004537D3" w:rsidP="00304839">
      <w:pPr>
        <w:pStyle w:val="Heading1"/>
      </w:pPr>
      <w:bookmarkStart w:id="10" w:name="_Toc356914774"/>
      <w:bookmarkStart w:id="11" w:name="_Toc356915150"/>
      <w:bookmarkStart w:id="12" w:name="_Toc387164024"/>
      <w:r>
        <w:t>Policy Statements</w:t>
      </w:r>
      <w:bookmarkEnd w:id="10"/>
      <w:bookmarkEnd w:id="11"/>
      <w:bookmarkEnd w:id="12"/>
    </w:p>
    <w:p w:rsidR="00D9438E" w:rsidRPr="007950B1" w:rsidRDefault="00304839" w:rsidP="00710EEE">
      <w:pPr>
        <w:pStyle w:val="Bullet1"/>
        <w:jc w:val="both"/>
        <w:rPr>
          <w:rStyle w:val="SubtleEmphasis"/>
          <w:i w:val="0"/>
          <w:iCs w:val="0"/>
          <w:szCs w:val="16"/>
        </w:rPr>
      </w:pPr>
      <w:bookmarkStart w:id="13" w:name="_Toc356915151"/>
      <w:r>
        <w:rPr>
          <w:rStyle w:val="SubtleEmphasis"/>
        </w:rPr>
        <w:t xml:space="preserve">Designated Broker </w:t>
      </w:r>
      <w:r w:rsidR="00D952C7">
        <w:rPr>
          <w:rStyle w:val="SubtleEmphasis"/>
        </w:rPr>
        <w:t>Questions</w:t>
      </w:r>
      <w:r w:rsidR="00D9438E" w:rsidRPr="007950B1">
        <w:rPr>
          <w:rStyle w:val="SubtleEmphasis"/>
          <w:szCs w:val="16"/>
        </w:rPr>
        <w:t>.</w:t>
      </w:r>
      <w:r w:rsidR="00D9438E" w:rsidRPr="007950B1">
        <w:rPr>
          <w:rStyle w:val="SubtleEmphasis"/>
        </w:rPr>
        <w:t xml:space="preserve"> </w:t>
      </w:r>
      <w:r w:rsidR="00DF0EA1">
        <w:t>All employees subject to the Personal Account Dealing policy must maintain their accounts with one of the Firm’s Designated Brokers.</w:t>
      </w:r>
      <w:r w:rsidR="00D952C7">
        <w:t xml:space="preserve"> The section outlines general questions pertaining to this requirement.</w:t>
      </w:r>
      <w:r w:rsidR="00DF0EA1">
        <w:t xml:space="preserve"> </w:t>
      </w:r>
    </w:p>
    <w:p w:rsidR="00D9438E" w:rsidRPr="00D952C7" w:rsidRDefault="00D952C7" w:rsidP="00710EEE">
      <w:pPr>
        <w:pStyle w:val="Bullet1"/>
        <w:jc w:val="both"/>
        <w:rPr>
          <w:color w:val="808080"/>
        </w:rPr>
      </w:pPr>
      <w:r>
        <w:rPr>
          <w:rStyle w:val="SubtleEmphasis"/>
        </w:rPr>
        <w:t>Preclearance Related Questions</w:t>
      </w:r>
      <w:r w:rsidR="00D9438E" w:rsidRPr="007950B1">
        <w:rPr>
          <w:rStyle w:val="SubtleEmphasis"/>
          <w:szCs w:val="16"/>
        </w:rPr>
        <w:t>.</w:t>
      </w:r>
      <w:r w:rsidR="00D9438E" w:rsidRPr="007950B1">
        <w:rPr>
          <w:rStyle w:val="SubtleEmphasis"/>
        </w:rPr>
        <w:t xml:space="preserve"> </w:t>
      </w:r>
      <w:r w:rsidR="00DF0EA1">
        <w:t>All employees subject to the Personal Account Dealing policy must pre-clear all per</w:t>
      </w:r>
      <w:r>
        <w:t>sonal investments, both public</w:t>
      </w:r>
      <w:r w:rsidR="00DF0EA1">
        <w:t xml:space="preserve"> and </w:t>
      </w:r>
      <w:r>
        <w:t xml:space="preserve">private. The section outlines general questions pertaining to this requirement. </w:t>
      </w:r>
    </w:p>
    <w:p w:rsidR="00D952C7" w:rsidRDefault="00D952C7" w:rsidP="00D952C7">
      <w:pPr>
        <w:pStyle w:val="Bullet1"/>
        <w:numPr>
          <w:ilvl w:val="0"/>
          <w:numId w:val="0"/>
        </w:numPr>
        <w:ind w:left="900" w:hanging="360"/>
        <w:jc w:val="both"/>
        <w:rPr>
          <w:rStyle w:val="SubtleEmphasis"/>
          <w:i w:val="0"/>
          <w:iCs w:val="0"/>
        </w:rPr>
      </w:pPr>
    </w:p>
    <w:p w:rsidR="00D952C7" w:rsidRDefault="00D952C7" w:rsidP="00D952C7">
      <w:pPr>
        <w:pStyle w:val="Bullet1"/>
        <w:numPr>
          <w:ilvl w:val="0"/>
          <w:numId w:val="0"/>
        </w:numPr>
        <w:ind w:left="900" w:hanging="360"/>
        <w:jc w:val="both"/>
        <w:rPr>
          <w:rStyle w:val="SubtleEmphasis"/>
          <w:i w:val="0"/>
          <w:iCs w:val="0"/>
        </w:rPr>
      </w:pPr>
    </w:p>
    <w:p w:rsidR="00D952C7" w:rsidRDefault="00D952C7" w:rsidP="00D952C7">
      <w:pPr>
        <w:pStyle w:val="Bullet1"/>
        <w:numPr>
          <w:ilvl w:val="0"/>
          <w:numId w:val="0"/>
        </w:numPr>
        <w:ind w:left="900" w:hanging="360"/>
        <w:jc w:val="both"/>
        <w:rPr>
          <w:rStyle w:val="SubtleEmphasis"/>
          <w:i w:val="0"/>
          <w:iCs w:val="0"/>
        </w:rPr>
      </w:pPr>
    </w:p>
    <w:p w:rsidR="00D952C7" w:rsidRDefault="00D952C7" w:rsidP="00D952C7">
      <w:pPr>
        <w:pStyle w:val="Bullet1"/>
        <w:numPr>
          <w:ilvl w:val="0"/>
          <w:numId w:val="0"/>
        </w:numPr>
        <w:ind w:left="900" w:hanging="360"/>
        <w:jc w:val="both"/>
        <w:rPr>
          <w:rStyle w:val="SubtleEmphasis"/>
          <w:i w:val="0"/>
          <w:iCs w:val="0"/>
        </w:rPr>
      </w:pPr>
    </w:p>
    <w:p w:rsidR="00D952C7" w:rsidRDefault="00D952C7" w:rsidP="00D952C7">
      <w:pPr>
        <w:pStyle w:val="Bullet1"/>
        <w:numPr>
          <w:ilvl w:val="0"/>
          <w:numId w:val="0"/>
        </w:numPr>
        <w:ind w:left="900" w:hanging="360"/>
        <w:jc w:val="both"/>
        <w:rPr>
          <w:rStyle w:val="SubtleEmphasis"/>
          <w:i w:val="0"/>
          <w:iCs w:val="0"/>
        </w:rPr>
      </w:pPr>
    </w:p>
    <w:p w:rsidR="00D952C7" w:rsidRDefault="00D952C7" w:rsidP="00D952C7">
      <w:pPr>
        <w:pStyle w:val="Bullet1"/>
        <w:numPr>
          <w:ilvl w:val="0"/>
          <w:numId w:val="0"/>
        </w:numPr>
        <w:ind w:left="900" w:hanging="360"/>
        <w:jc w:val="both"/>
        <w:rPr>
          <w:rStyle w:val="SubtleEmphasis"/>
          <w:i w:val="0"/>
          <w:iCs w:val="0"/>
        </w:rPr>
      </w:pPr>
    </w:p>
    <w:p w:rsidR="00D952C7" w:rsidRDefault="00D952C7" w:rsidP="00D952C7">
      <w:pPr>
        <w:pStyle w:val="Bullet1"/>
        <w:numPr>
          <w:ilvl w:val="0"/>
          <w:numId w:val="0"/>
        </w:numPr>
        <w:ind w:left="900" w:hanging="360"/>
        <w:jc w:val="both"/>
        <w:rPr>
          <w:rStyle w:val="SubtleEmphasis"/>
          <w:i w:val="0"/>
          <w:iCs w:val="0"/>
        </w:rPr>
      </w:pPr>
    </w:p>
    <w:p w:rsidR="00D952C7" w:rsidRDefault="00D952C7" w:rsidP="00D952C7">
      <w:pPr>
        <w:pStyle w:val="Bullet1"/>
        <w:numPr>
          <w:ilvl w:val="0"/>
          <w:numId w:val="0"/>
        </w:numPr>
        <w:ind w:left="900" w:hanging="360"/>
        <w:jc w:val="both"/>
        <w:rPr>
          <w:rStyle w:val="SubtleEmphasis"/>
          <w:i w:val="0"/>
          <w:iCs w:val="0"/>
        </w:rPr>
      </w:pPr>
    </w:p>
    <w:p w:rsidR="00D952C7" w:rsidRDefault="00D952C7" w:rsidP="00D952C7">
      <w:pPr>
        <w:pStyle w:val="Bullet1"/>
        <w:numPr>
          <w:ilvl w:val="0"/>
          <w:numId w:val="0"/>
        </w:numPr>
        <w:ind w:left="900" w:hanging="360"/>
        <w:jc w:val="both"/>
        <w:rPr>
          <w:rStyle w:val="SubtleEmphasis"/>
          <w:i w:val="0"/>
          <w:iCs w:val="0"/>
        </w:rPr>
      </w:pPr>
    </w:p>
    <w:p w:rsidR="00D952C7" w:rsidRDefault="00D952C7" w:rsidP="00D952C7">
      <w:pPr>
        <w:pStyle w:val="Bullet1"/>
        <w:numPr>
          <w:ilvl w:val="0"/>
          <w:numId w:val="0"/>
        </w:numPr>
        <w:ind w:left="900" w:hanging="360"/>
        <w:jc w:val="both"/>
        <w:rPr>
          <w:rStyle w:val="SubtleEmphasis"/>
          <w:i w:val="0"/>
          <w:iCs w:val="0"/>
        </w:rPr>
      </w:pPr>
    </w:p>
    <w:p w:rsidR="00D952C7" w:rsidRPr="00304839" w:rsidRDefault="00D952C7" w:rsidP="00D952C7">
      <w:pPr>
        <w:pStyle w:val="Bullet1"/>
        <w:numPr>
          <w:ilvl w:val="0"/>
          <w:numId w:val="0"/>
        </w:numPr>
        <w:ind w:left="900" w:hanging="360"/>
        <w:jc w:val="both"/>
        <w:rPr>
          <w:rStyle w:val="SubtleEmphasis"/>
          <w:i w:val="0"/>
          <w:iCs w:val="0"/>
        </w:rPr>
      </w:pPr>
    </w:p>
    <w:p w:rsidR="004537D3" w:rsidRDefault="00D952C7" w:rsidP="004537D3">
      <w:pPr>
        <w:pStyle w:val="Heading1"/>
      </w:pPr>
      <w:bookmarkStart w:id="14" w:name="_Toc387164025"/>
      <w:bookmarkEnd w:id="13"/>
      <w:r>
        <w:lastRenderedPageBreak/>
        <w:t>Designated Broker Questions</w:t>
      </w:r>
      <w:bookmarkEnd w:id="14"/>
    </w:p>
    <w:p w:rsidR="00776827" w:rsidRPr="00776827" w:rsidRDefault="00776827" w:rsidP="00776827">
      <w:pPr>
        <w:pStyle w:val="Heading2"/>
        <w:rPr>
          <w:lang w:val="en-US"/>
        </w:rPr>
      </w:pPr>
      <w:bookmarkStart w:id="15" w:name="_Toc387164026"/>
      <w:r w:rsidRPr="00776827">
        <w:rPr>
          <w:lang w:val="en-US"/>
        </w:rPr>
        <w:t>Why am I subject to this policy?</w:t>
      </w:r>
      <w:bookmarkEnd w:id="15"/>
    </w:p>
    <w:p w:rsidR="00776827" w:rsidRPr="00AF60AC" w:rsidRDefault="00776827" w:rsidP="00776827">
      <w:pPr>
        <w:pStyle w:val="ListParagraph"/>
        <w:numPr>
          <w:ilvl w:val="0"/>
          <w:numId w:val="6"/>
        </w:numPr>
        <w:jc w:val="both"/>
        <w:rPr>
          <w:lang w:val="en-US"/>
        </w:rPr>
      </w:pPr>
      <w:r w:rsidRPr="00AF60AC">
        <w:rPr>
          <w:lang w:val="en-US"/>
        </w:rPr>
        <w:t>As you know JPMorgan Chase is a major investment bank. We have access to information that could be considered inside information and there are regulations, laws and rules that govern our ability to do business.  In order to protect the firm against</w:t>
      </w:r>
      <w:r w:rsidR="00F17110">
        <w:rPr>
          <w:lang w:val="en-US"/>
        </w:rPr>
        <w:t xml:space="preserve"> reputational risk (actual or perceived) </w:t>
      </w:r>
      <w:r w:rsidRPr="00AF60AC">
        <w:rPr>
          <w:lang w:val="en-US"/>
        </w:rPr>
        <w:t xml:space="preserve">and to ensure that we do not trade on inside information, the policy was put in place.  </w:t>
      </w:r>
    </w:p>
    <w:p w:rsidR="00D952C7" w:rsidRDefault="00AF60AC" w:rsidP="00D952C7">
      <w:pPr>
        <w:pStyle w:val="Heading2"/>
      </w:pPr>
      <w:bookmarkStart w:id="16" w:name="_Toc387164027"/>
      <w:r>
        <w:t>Who are the Firm’s Designated Brokers?</w:t>
      </w:r>
      <w:bookmarkEnd w:id="16"/>
    </w:p>
    <w:p w:rsidR="00AF60AC" w:rsidRDefault="00AF60AC" w:rsidP="00AF60AC">
      <w:pPr>
        <w:pStyle w:val="ListParagraph"/>
        <w:numPr>
          <w:ilvl w:val="0"/>
          <w:numId w:val="6"/>
        </w:numPr>
      </w:pPr>
      <w:r>
        <w:t>Chase Investments</w:t>
      </w:r>
    </w:p>
    <w:p w:rsidR="00AF60AC" w:rsidRPr="00AF60AC" w:rsidRDefault="00AF60AC" w:rsidP="00AF60AC">
      <w:pPr>
        <w:pStyle w:val="ListParagraph"/>
        <w:numPr>
          <w:ilvl w:val="0"/>
          <w:numId w:val="6"/>
        </w:numPr>
        <w:rPr>
          <w:b/>
          <w:lang w:val="en-US"/>
        </w:rPr>
      </w:pPr>
      <w:r>
        <w:t>JPM</w:t>
      </w:r>
      <w:r w:rsidRPr="00AF60AC">
        <w:rPr>
          <w:rFonts w:ascii="Times New Roman" w:eastAsia="Calibri" w:hAnsi="Times New Roman"/>
          <w:sz w:val="22"/>
          <w:lang w:val="en-US" w:eastAsia="en-US"/>
        </w:rPr>
        <w:t xml:space="preserve"> </w:t>
      </w:r>
      <w:r w:rsidRPr="00AF60AC">
        <w:rPr>
          <w:lang w:val="en-US"/>
        </w:rPr>
        <w:t>Private Bank;</w:t>
      </w:r>
    </w:p>
    <w:p w:rsidR="00AF60AC" w:rsidRPr="00AF60AC" w:rsidRDefault="00AF60AC" w:rsidP="00AF60AC">
      <w:pPr>
        <w:pStyle w:val="ListParagraph"/>
        <w:numPr>
          <w:ilvl w:val="0"/>
          <w:numId w:val="6"/>
        </w:numPr>
        <w:rPr>
          <w:b/>
          <w:lang w:val="en-US"/>
        </w:rPr>
      </w:pPr>
      <w:r w:rsidRPr="00AF60AC">
        <w:rPr>
          <w:lang w:val="en-US"/>
        </w:rPr>
        <w:t xml:space="preserve">JPMS LLC; </w:t>
      </w:r>
    </w:p>
    <w:p w:rsidR="00AF60AC" w:rsidRPr="00AF60AC" w:rsidRDefault="00AF60AC" w:rsidP="00AF60AC">
      <w:pPr>
        <w:pStyle w:val="ListParagraph"/>
        <w:numPr>
          <w:ilvl w:val="0"/>
          <w:numId w:val="6"/>
        </w:numPr>
        <w:rPr>
          <w:b/>
          <w:lang w:val="en-US"/>
        </w:rPr>
      </w:pPr>
      <w:r w:rsidRPr="00AF60AC">
        <w:rPr>
          <w:lang w:val="en-US"/>
        </w:rPr>
        <w:t>Charles Schwab;</w:t>
      </w:r>
    </w:p>
    <w:p w:rsidR="00AF60AC" w:rsidRPr="00AF60AC" w:rsidRDefault="00AF60AC" w:rsidP="00AF60AC">
      <w:pPr>
        <w:pStyle w:val="ListParagraph"/>
        <w:numPr>
          <w:ilvl w:val="0"/>
          <w:numId w:val="6"/>
        </w:numPr>
        <w:rPr>
          <w:b/>
          <w:lang w:val="en-US"/>
        </w:rPr>
      </w:pPr>
      <w:r w:rsidRPr="00AF60AC">
        <w:rPr>
          <w:lang w:val="en-US"/>
        </w:rPr>
        <w:t>Fidelity Investments;</w:t>
      </w:r>
    </w:p>
    <w:p w:rsidR="00AF60AC" w:rsidRPr="00AF60AC" w:rsidRDefault="00AF60AC" w:rsidP="00AF60AC">
      <w:pPr>
        <w:pStyle w:val="ListParagraph"/>
        <w:numPr>
          <w:ilvl w:val="0"/>
          <w:numId w:val="6"/>
        </w:numPr>
        <w:rPr>
          <w:b/>
          <w:lang w:val="en-US"/>
        </w:rPr>
      </w:pPr>
      <w:r w:rsidRPr="00AF60AC">
        <w:rPr>
          <w:lang w:val="en-US"/>
        </w:rPr>
        <w:t>Merrill Lynch;</w:t>
      </w:r>
    </w:p>
    <w:p w:rsidR="00AF60AC" w:rsidRPr="00AF60AC" w:rsidRDefault="00AF60AC" w:rsidP="00AF60AC">
      <w:pPr>
        <w:pStyle w:val="ListParagraph"/>
        <w:numPr>
          <w:ilvl w:val="0"/>
          <w:numId w:val="6"/>
        </w:numPr>
        <w:rPr>
          <w:b/>
          <w:lang w:val="en-US"/>
        </w:rPr>
      </w:pPr>
      <w:r w:rsidRPr="00AF60AC">
        <w:rPr>
          <w:lang w:val="en-US"/>
        </w:rPr>
        <w:t>Morgan Stanley Smith Barney;</w:t>
      </w:r>
    </w:p>
    <w:p w:rsidR="00AF60AC" w:rsidRPr="00F17110" w:rsidRDefault="00AF60AC" w:rsidP="00AF60AC">
      <w:pPr>
        <w:pStyle w:val="ListParagraph"/>
        <w:numPr>
          <w:ilvl w:val="0"/>
          <w:numId w:val="6"/>
        </w:numPr>
        <w:rPr>
          <w:b/>
          <w:lang w:val="en-US"/>
        </w:rPr>
      </w:pPr>
      <w:proofErr w:type="spellStart"/>
      <w:r w:rsidRPr="00AF60AC">
        <w:rPr>
          <w:lang w:val="en-US"/>
        </w:rPr>
        <w:t>E*trade</w:t>
      </w:r>
      <w:proofErr w:type="spellEnd"/>
    </w:p>
    <w:p w:rsidR="00F17110" w:rsidRPr="00AF60AC" w:rsidRDefault="00F17110" w:rsidP="00AF60AC">
      <w:pPr>
        <w:pStyle w:val="ListParagraph"/>
        <w:numPr>
          <w:ilvl w:val="0"/>
          <w:numId w:val="6"/>
        </w:numPr>
        <w:rPr>
          <w:b/>
          <w:lang w:val="en-US"/>
        </w:rPr>
      </w:pPr>
      <w:r>
        <w:rPr>
          <w:lang w:val="en-US"/>
        </w:rPr>
        <w:t>TD Ameritrade</w:t>
      </w:r>
    </w:p>
    <w:p w:rsidR="00AF60AC" w:rsidRPr="00AF60AC" w:rsidRDefault="00AF60AC" w:rsidP="00AF60AC">
      <w:pPr>
        <w:pStyle w:val="Heading2"/>
        <w:rPr>
          <w:lang w:val="en-US"/>
        </w:rPr>
      </w:pPr>
      <w:bookmarkStart w:id="17" w:name="_Toc387164028"/>
      <w:r w:rsidRPr="00AF60AC">
        <w:rPr>
          <w:lang w:val="en-US"/>
        </w:rPr>
        <w:t>What are employee-associated accounts?</w:t>
      </w:r>
      <w:bookmarkEnd w:id="17"/>
    </w:p>
    <w:p w:rsidR="00AF60AC" w:rsidRPr="00AF60AC" w:rsidRDefault="00AF60AC" w:rsidP="00776827">
      <w:pPr>
        <w:pStyle w:val="ListParagraph"/>
        <w:numPr>
          <w:ilvl w:val="0"/>
          <w:numId w:val="6"/>
        </w:numPr>
        <w:jc w:val="both"/>
        <w:rPr>
          <w:lang w:val="en-US"/>
        </w:rPr>
      </w:pPr>
      <w:r w:rsidRPr="00AF60AC">
        <w:rPr>
          <w:lang w:val="en-US"/>
        </w:rPr>
        <w:t>All personal investment policies that apply to you also apply to transactions in any account, whether domestic or foreign:</w:t>
      </w:r>
    </w:p>
    <w:p w:rsidR="00AF60AC" w:rsidRPr="00AF60AC" w:rsidRDefault="00AF60AC" w:rsidP="00776827">
      <w:pPr>
        <w:pStyle w:val="ListParagraph"/>
        <w:numPr>
          <w:ilvl w:val="1"/>
          <w:numId w:val="6"/>
        </w:numPr>
        <w:jc w:val="both"/>
        <w:rPr>
          <w:lang w:val="en-US"/>
        </w:rPr>
      </w:pPr>
      <w:r w:rsidRPr="00AF60AC">
        <w:rPr>
          <w:lang w:val="en-US"/>
        </w:rPr>
        <w:t xml:space="preserve">That is established or maintained by you, your spouse, domestic partner, minor children, or any </w:t>
      </w:r>
      <w:r w:rsidRPr="00AF60AC">
        <w:rPr>
          <w:b/>
          <w:lang w:val="en-US"/>
        </w:rPr>
        <w:t>other person to whom you provide significant financial support</w:t>
      </w:r>
      <w:r w:rsidRPr="00AF60AC">
        <w:rPr>
          <w:lang w:val="en-US"/>
        </w:rPr>
        <w:t xml:space="preserve">; </w:t>
      </w:r>
    </w:p>
    <w:p w:rsidR="00AF60AC" w:rsidRPr="00AF60AC" w:rsidRDefault="00AF60AC" w:rsidP="00776827">
      <w:pPr>
        <w:pStyle w:val="ListParagraph"/>
        <w:numPr>
          <w:ilvl w:val="1"/>
          <w:numId w:val="6"/>
        </w:numPr>
        <w:jc w:val="both"/>
        <w:rPr>
          <w:lang w:val="en-US"/>
        </w:rPr>
      </w:pPr>
      <w:r w:rsidRPr="00AF60AC">
        <w:rPr>
          <w:lang w:val="en-US"/>
        </w:rPr>
        <w:t xml:space="preserve">Over which you, or any of the other persons referred to in (a), have or share the </w:t>
      </w:r>
      <w:r w:rsidRPr="00AF60AC">
        <w:rPr>
          <w:b/>
          <w:lang w:val="en-US"/>
        </w:rPr>
        <w:t>power</w:t>
      </w:r>
      <w:r w:rsidRPr="00AF60AC">
        <w:rPr>
          <w:lang w:val="en-US"/>
        </w:rPr>
        <w:t xml:space="preserve">, directly or indirectly, </w:t>
      </w:r>
      <w:r w:rsidRPr="00AF60AC">
        <w:rPr>
          <w:b/>
          <w:lang w:val="en-US"/>
        </w:rPr>
        <w:t>to make investment decisions</w:t>
      </w:r>
      <w:r w:rsidRPr="00AF60AC">
        <w:rPr>
          <w:lang w:val="en-US"/>
        </w:rPr>
        <w:t>, regardless of beneficial interest; or</w:t>
      </w:r>
    </w:p>
    <w:p w:rsidR="00AF60AC" w:rsidRPr="00AF60AC" w:rsidRDefault="00AF60AC" w:rsidP="00776827">
      <w:pPr>
        <w:pStyle w:val="ListParagraph"/>
        <w:numPr>
          <w:ilvl w:val="1"/>
          <w:numId w:val="6"/>
        </w:numPr>
        <w:jc w:val="both"/>
        <w:rPr>
          <w:lang w:val="en-US"/>
        </w:rPr>
      </w:pPr>
      <w:r w:rsidRPr="00AF60AC">
        <w:rPr>
          <w:lang w:val="en-US"/>
        </w:rPr>
        <w:t>That is established or maintained by you or with your consent or knowledge and in which you have a direct or indirect financial interest.</w:t>
      </w:r>
    </w:p>
    <w:p w:rsidR="00AF60AC" w:rsidRPr="00AF60AC" w:rsidRDefault="00AF60AC" w:rsidP="00AF60AC">
      <w:pPr>
        <w:pStyle w:val="Heading2"/>
        <w:rPr>
          <w:lang w:val="en-US"/>
        </w:rPr>
      </w:pPr>
      <w:bookmarkStart w:id="18" w:name="_Toc387164029"/>
      <w:r w:rsidRPr="00AF60AC">
        <w:rPr>
          <w:lang w:val="en-US"/>
        </w:rPr>
        <w:t>My spouse/domestic partner works for a firm that requires our accounts to be maintained in-house or with one of JPM’s non-designated broker. What should I do?</w:t>
      </w:r>
      <w:bookmarkEnd w:id="18"/>
    </w:p>
    <w:p w:rsidR="00AF60AC" w:rsidRPr="00AF60AC" w:rsidRDefault="00AF60AC" w:rsidP="00776827">
      <w:pPr>
        <w:pStyle w:val="ListParagraph"/>
        <w:numPr>
          <w:ilvl w:val="0"/>
          <w:numId w:val="6"/>
        </w:numPr>
        <w:jc w:val="both"/>
        <w:rPr>
          <w:lang w:val="en-US"/>
        </w:rPr>
      </w:pPr>
      <w:r w:rsidRPr="00AF60AC">
        <w:rPr>
          <w:lang w:val="en-US"/>
        </w:rPr>
        <w:t xml:space="preserve">If </w:t>
      </w:r>
      <w:r w:rsidR="00F17110">
        <w:rPr>
          <w:lang w:val="en-US"/>
        </w:rPr>
        <w:t xml:space="preserve">these </w:t>
      </w:r>
      <w:r w:rsidRPr="00AF60AC">
        <w:rPr>
          <w:lang w:val="en-US"/>
        </w:rPr>
        <w:t>accounts are</w:t>
      </w:r>
      <w:r w:rsidR="00F17110">
        <w:rPr>
          <w:lang w:val="en-US"/>
        </w:rPr>
        <w:t xml:space="preserve"> required as a condition of their employment</w:t>
      </w:r>
      <w:r w:rsidRPr="00AF60AC">
        <w:rPr>
          <w:lang w:val="en-US"/>
        </w:rPr>
        <w:t>, an exemption from the designated broker requirement</w:t>
      </w:r>
      <w:r w:rsidR="00003C7E">
        <w:rPr>
          <w:lang w:val="en-US"/>
        </w:rPr>
        <w:t xml:space="preserve"> may be considered</w:t>
      </w:r>
      <w:r w:rsidR="00F17110">
        <w:rPr>
          <w:lang w:val="en-US"/>
        </w:rPr>
        <w:t xml:space="preserve"> for these accounts</w:t>
      </w:r>
      <w:r w:rsidRPr="00AF60AC">
        <w:rPr>
          <w:lang w:val="en-US"/>
        </w:rPr>
        <w:t xml:space="preserve">.  A request would need to be made in writing and a </w:t>
      </w:r>
      <w:r w:rsidR="00F17110">
        <w:rPr>
          <w:lang w:val="en-US"/>
        </w:rPr>
        <w:t>subsequent approval given from t</w:t>
      </w:r>
      <w:r w:rsidRPr="00AF60AC">
        <w:rPr>
          <w:lang w:val="en-US"/>
        </w:rPr>
        <w:t xml:space="preserve">he Personal Account Dealing Group.  </w:t>
      </w:r>
    </w:p>
    <w:p w:rsidR="00003C7E" w:rsidRDefault="00003C7E" w:rsidP="00776827">
      <w:pPr>
        <w:pStyle w:val="ListParagraph"/>
        <w:numPr>
          <w:ilvl w:val="1"/>
          <w:numId w:val="6"/>
        </w:numPr>
        <w:jc w:val="both"/>
        <w:rPr>
          <w:lang w:val="en-US"/>
        </w:rPr>
      </w:pPr>
      <w:r>
        <w:rPr>
          <w:lang w:val="en-US"/>
        </w:rPr>
        <w:t>P</w:t>
      </w:r>
      <w:r w:rsidRPr="00AF60AC">
        <w:rPr>
          <w:lang w:val="en-US"/>
        </w:rPr>
        <w:t xml:space="preserve">reclearance is </w:t>
      </w:r>
      <w:r>
        <w:rPr>
          <w:lang w:val="en-US"/>
        </w:rPr>
        <w:t xml:space="preserve">still </w:t>
      </w:r>
      <w:r w:rsidRPr="00AF60AC">
        <w:rPr>
          <w:lang w:val="en-US"/>
        </w:rPr>
        <w:t>required</w:t>
      </w:r>
      <w:r>
        <w:rPr>
          <w:lang w:val="en-US"/>
        </w:rPr>
        <w:t xml:space="preserve"> for all transactions subject to the PAD Policy</w:t>
      </w:r>
      <w:r w:rsidRPr="00AF60AC">
        <w:rPr>
          <w:lang w:val="en-US"/>
        </w:rPr>
        <w:t xml:space="preserve"> </w:t>
      </w:r>
    </w:p>
    <w:p w:rsidR="00AF60AC" w:rsidRPr="00003C7E" w:rsidRDefault="00AF60AC" w:rsidP="00003C7E">
      <w:pPr>
        <w:pStyle w:val="ListParagraph"/>
        <w:numPr>
          <w:ilvl w:val="1"/>
          <w:numId w:val="6"/>
        </w:numPr>
        <w:jc w:val="both"/>
        <w:rPr>
          <w:lang w:val="en-US"/>
        </w:rPr>
      </w:pPr>
      <w:r w:rsidRPr="00AF60AC">
        <w:rPr>
          <w:lang w:val="en-US"/>
        </w:rPr>
        <w:t xml:space="preserve">Duplicate confirmations and statements will still need to be provided to </w:t>
      </w:r>
      <w:r w:rsidR="00003C7E">
        <w:rPr>
          <w:lang w:val="en-US"/>
        </w:rPr>
        <w:t>the</w:t>
      </w:r>
      <w:r w:rsidRPr="00AF60AC">
        <w:rPr>
          <w:lang w:val="en-US"/>
        </w:rPr>
        <w:t xml:space="preserve"> Personal Account Dealing Group. </w:t>
      </w:r>
    </w:p>
    <w:p w:rsidR="00AF60AC" w:rsidRPr="00AF60AC" w:rsidRDefault="00003C7E" w:rsidP="00AF60AC">
      <w:pPr>
        <w:pStyle w:val="Heading2"/>
        <w:rPr>
          <w:lang w:val="en-US"/>
        </w:rPr>
      </w:pPr>
      <w:bookmarkStart w:id="19" w:name="_Toc387164030"/>
      <w:r>
        <w:rPr>
          <w:lang w:val="en-US"/>
        </w:rPr>
        <w:t>Do the Designated B</w:t>
      </w:r>
      <w:r w:rsidR="00AF60AC" w:rsidRPr="00AF60AC">
        <w:rPr>
          <w:lang w:val="en-US"/>
        </w:rPr>
        <w:t>roker rules apply to custodian accounts that I and/or my spouse/domestic partner has set up for our children?</w:t>
      </w:r>
      <w:bookmarkEnd w:id="19"/>
    </w:p>
    <w:p w:rsidR="00AF60AC" w:rsidRDefault="00AF60AC" w:rsidP="00776827">
      <w:pPr>
        <w:pStyle w:val="ListParagraph"/>
        <w:numPr>
          <w:ilvl w:val="0"/>
          <w:numId w:val="6"/>
        </w:numPr>
        <w:jc w:val="both"/>
        <w:rPr>
          <w:lang w:val="en-US"/>
        </w:rPr>
      </w:pPr>
      <w:r w:rsidRPr="00AF60AC">
        <w:rPr>
          <w:b/>
          <w:u w:val="single"/>
          <w:lang w:val="en-US"/>
        </w:rPr>
        <w:t>Yes</w:t>
      </w:r>
      <w:r w:rsidRPr="00AF60AC">
        <w:rPr>
          <w:lang w:val="en-US"/>
        </w:rPr>
        <w:t xml:space="preserve">.  If the account(s) </w:t>
      </w:r>
      <w:r w:rsidR="00003C7E">
        <w:rPr>
          <w:lang w:val="en-US"/>
        </w:rPr>
        <w:t>has brokerage capabilities</w:t>
      </w:r>
      <w:r w:rsidRPr="00AF60AC">
        <w:rPr>
          <w:lang w:val="en-US"/>
        </w:rPr>
        <w:t>, it</w:t>
      </w:r>
      <w:r w:rsidR="00003C7E">
        <w:rPr>
          <w:lang w:val="en-US"/>
        </w:rPr>
        <w:t xml:space="preserve"> is subject to the policy.  If the </w:t>
      </w:r>
      <w:proofErr w:type="gramStart"/>
      <w:r w:rsidR="00003C7E">
        <w:rPr>
          <w:lang w:val="en-US"/>
        </w:rPr>
        <w:t>employee, or employee-associated persons, are</w:t>
      </w:r>
      <w:proofErr w:type="gramEnd"/>
      <w:r w:rsidRPr="00AF60AC">
        <w:rPr>
          <w:lang w:val="en-US"/>
        </w:rPr>
        <w:t xml:space="preserve"> custodians </w:t>
      </w:r>
      <w:r w:rsidR="00003C7E">
        <w:rPr>
          <w:lang w:val="en-US"/>
        </w:rPr>
        <w:t xml:space="preserve">on the account and they have </w:t>
      </w:r>
      <w:r w:rsidRPr="00AF60AC">
        <w:rPr>
          <w:lang w:val="en-US"/>
        </w:rPr>
        <w:t xml:space="preserve">control over the investment decisions being made, then the account would </w:t>
      </w:r>
      <w:r w:rsidR="00003C7E">
        <w:rPr>
          <w:lang w:val="en-US"/>
        </w:rPr>
        <w:t>be subject to the Designated B</w:t>
      </w:r>
      <w:r w:rsidRPr="00AF60AC">
        <w:rPr>
          <w:lang w:val="en-US"/>
        </w:rPr>
        <w:t xml:space="preserve">roker rule.  </w:t>
      </w:r>
    </w:p>
    <w:p w:rsidR="00776827" w:rsidRPr="00776827" w:rsidRDefault="00776827" w:rsidP="00776827">
      <w:pPr>
        <w:jc w:val="both"/>
        <w:rPr>
          <w:lang w:val="en-US"/>
        </w:rPr>
      </w:pPr>
    </w:p>
    <w:p w:rsidR="00AF60AC" w:rsidRPr="00AF60AC" w:rsidRDefault="00AF60AC" w:rsidP="00AF60AC">
      <w:pPr>
        <w:pStyle w:val="Heading2"/>
        <w:rPr>
          <w:lang w:val="en-US"/>
        </w:rPr>
      </w:pPr>
      <w:bookmarkStart w:id="20" w:name="_Toc387164031"/>
      <w:r w:rsidRPr="00AF60AC">
        <w:rPr>
          <w:lang w:val="en-US"/>
        </w:rPr>
        <w:lastRenderedPageBreak/>
        <w:t>Are 401k accounts covered by the designated broker rule?</w:t>
      </w:r>
      <w:bookmarkEnd w:id="20"/>
    </w:p>
    <w:p w:rsidR="00AF60AC" w:rsidRPr="00AF60AC" w:rsidRDefault="00AF60AC" w:rsidP="00AF60AC">
      <w:pPr>
        <w:pStyle w:val="ListParagraph"/>
        <w:numPr>
          <w:ilvl w:val="0"/>
          <w:numId w:val="6"/>
        </w:numPr>
        <w:rPr>
          <w:lang w:val="en-US"/>
        </w:rPr>
      </w:pPr>
      <w:r w:rsidRPr="00AF60AC">
        <w:rPr>
          <w:lang w:val="en-US"/>
        </w:rPr>
        <w:t xml:space="preserve">Generally, </w:t>
      </w:r>
      <w:r w:rsidRPr="00AF60AC">
        <w:rPr>
          <w:b/>
          <w:lang w:val="en-US"/>
        </w:rPr>
        <w:t>NO</w:t>
      </w:r>
      <w:r w:rsidRPr="00AF60AC">
        <w:rPr>
          <w:lang w:val="en-US"/>
        </w:rPr>
        <w:t xml:space="preserve">. </w:t>
      </w:r>
    </w:p>
    <w:p w:rsidR="00AF60AC" w:rsidRPr="00AF60AC" w:rsidRDefault="00AF60AC" w:rsidP="00776827">
      <w:pPr>
        <w:pStyle w:val="ListParagraph"/>
        <w:numPr>
          <w:ilvl w:val="1"/>
          <w:numId w:val="6"/>
        </w:numPr>
        <w:jc w:val="both"/>
        <w:rPr>
          <w:lang w:val="en-US"/>
        </w:rPr>
      </w:pPr>
      <w:r w:rsidRPr="00AF60AC">
        <w:rPr>
          <w:lang w:val="en-US"/>
        </w:rPr>
        <w:t xml:space="preserve">401K accounts held in a qualified 401K plan typically can only be invested in set mutual funds offered by that plan.  Such qualified 401K accounts are not required to be moved to a designated broker. </w:t>
      </w:r>
    </w:p>
    <w:p w:rsidR="00AF60AC" w:rsidRPr="00AF60AC" w:rsidRDefault="00AF60AC" w:rsidP="00776827">
      <w:pPr>
        <w:pStyle w:val="ListParagraph"/>
        <w:numPr>
          <w:ilvl w:val="1"/>
          <w:numId w:val="6"/>
        </w:numPr>
        <w:jc w:val="both"/>
        <w:rPr>
          <w:lang w:val="en-US"/>
        </w:rPr>
      </w:pPr>
      <w:r w:rsidRPr="00AF60AC">
        <w:rPr>
          <w:lang w:val="en-US"/>
        </w:rPr>
        <w:t xml:space="preserve">Please ensure that the 401K account is not a brokerage account which would allow trading in individual securities.  </w:t>
      </w:r>
    </w:p>
    <w:p w:rsidR="00AF60AC" w:rsidRPr="00AF60AC" w:rsidRDefault="00AF60AC" w:rsidP="00776827">
      <w:pPr>
        <w:pStyle w:val="ListParagraph"/>
        <w:numPr>
          <w:ilvl w:val="1"/>
          <w:numId w:val="6"/>
        </w:numPr>
        <w:jc w:val="both"/>
        <w:rPr>
          <w:lang w:val="en-US"/>
        </w:rPr>
      </w:pPr>
      <w:r w:rsidRPr="00AF60AC">
        <w:rPr>
          <w:i/>
          <w:u w:val="single"/>
          <w:lang w:val="en-US"/>
        </w:rPr>
        <w:t>If the account has brokerage capability then the account must be held by o</w:t>
      </w:r>
      <w:r w:rsidR="00003C7E">
        <w:rPr>
          <w:i/>
          <w:u w:val="single"/>
          <w:lang w:val="en-US"/>
        </w:rPr>
        <w:t>ne of the Firm’s Designated B</w:t>
      </w:r>
      <w:r w:rsidRPr="00AF60AC">
        <w:rPr>
          <w:i/>
          <w:u w:val="single"/>
          <w:lang w:val="en-US"/>
        </w:rPr>
        <w:t>rokers</w:t>
      </w:r>
      <w:r w:rsidRPr="00AF60AC">
        <w:rPr>
          <w:lang w:val="en-US"/>
        </w:rPr>
        <w:t xml:space="preserve">.  </w:t>
      </w:r>
    </w:p>
    <w:p w:rsidR="00AF60AC" w:rsidRPr="00AF60AC" w:rsidRDefault="00AF60AC" w:rsidP="00776827">
      <w:pPr>
        <w:pStyle w:val="ListParagraph"/>
        <w:numPr>
          <w:ilvl w:val="1"/>
          <w:numId w:val="6"/>
        </w:numPr>
        <w:jc w:val="both"/>
        <w:rPr>
          <w:lang w:val="en-US"/>
        </w:rPr>
      </w:pPr>
      <w:r w:rsidRPr="00AF60AC">
        <w:rPr>
          <w:lang w:val="en-US"/>
        </w:rPr>
        <w:t>In addition, if you were to rollover your 401K into a retirement account vehicle, which has brokerage capab</w:t>
      </w:r>
      <w:r w:rsidR="00003C7E">
        <w:rPr>
          <w:lang w:val="en-US"/>
        </w:rPr>
        <w:t>ilities (i.e.: IRA, ROTH), the Designated B</w:t>
      </w:r>
      <w:r w:rsidRPr="00AF60AC">
        <w:rPr>
          <w:lang w:val="en-US"/>
        </w:rPr>
        <w:t>roker rule would apply.</w:t>
      </w:r>
    </w:p>
    <w:p w:rsidR="00AF60AC" w:rsidRPr="00AF60AC" w:rsidRDefault="00AF60AC" w:rsidP="00AF60AC">
      <w:pPr>
        <w:pStyle w:val="Heading2"/>
        <w:rPr>
          <w:lang w:val="en-US"/>
        </w:rPr>
      </w:pPr>
      <w:bookmarkStart w:id="21" w:name="_Toc387164032"/>
      <w:r w:rsidRPr="00AF60AC">
        <w:rPr>
          <w:lang w:val="en-US"/>
        </w:rPr>
        <w:t>Are 529 plans permitted outside the designated brokers?</w:t>
      </w:r>
      <w:bookmarkEnd w:id="21"/>
    </w:p>
    <w:p w:rsidR="00AF60AC" w:rsidRPr="00AF60AC" w:rsidRDefault="00AF60AC" w:rsidP="00AF60AC">
      <w:pPr>
        <w:pStyle w:val="ListParagraph"/>
        <w:numPr>
          <w:ilvl w:val="0"/>
          <w:numId w:val="6"/>
        </w:numPr>
        <w:rPr>
          <w:lang w:val="en-US"/>
        </w:rPr>
      </w:pPr>
      <w:r w:rsidRPr="00AF60AC">
        <w:rPr>
          <w:b/>
          <w:u w:val="single"/>
          <w:lang w:val="en-US"/>
        </w:rPr>
        <w:t>Yes</w:t>
      </w:r>
      <w:r w:rsidRPr="00AF60AC">
        <w:rPr>
          <w:lang w:val="en-US"/>
        </w:rPr>
        <w:t xml:space="preserve">.  </w:t>
      </w:r>
      <w:r w:rsidR="00003C7E">
        <w:rPr>
          <w:lang w:val="en-US"/>
        </w:rPr>
        <w:t>As long as the account does not have brokerage capabilities.</w:t>
      </w:r>
      <w:r w:rsidRPr="00AF60AC">
        <w:rPr>
          <w:lang w:val="en-US"/>
        </w:rPr>
        <w:t xml:space="preserve"> </w:t>
      </w:r>
    </w:p>
    <w:p w:rsidR="00AF60AC" w:rsidRPr="00AF60AC" w:rsidRDefault="00003C7E" w:rsidP="00AF60AC">
      <w:pPr>
        <w:pStyle w:val="Heading2"/>
        <w:rPr>
          <w:lang w:val="en-US"/>
        </w:rPr>
      </w:pPr>
      <w:bookmarkStart w:id="22" w:name="_Toc387164033"/>
      <w:r>
        <w:rPr>
          <w:lang w:val="en-US"/>
        </w:rPr>
        <w:t>What impact does the Designated B</w:t>
      </w:r>
      <w:r w:rsidR="00AF60AC" w:rsidRPr="00AF60AC">
        <w:rPr>
          <w:lang w:val="en-US"/>
        </w:rPr>
        <w:t>roker rule have on individual retirement accounts (IRA)?</w:t>
      </w:r>
      <w:bookmarkEnd w:id="22"/>
    </w:p>
    <w:p w:rsidR="00AF60AC" w:rsidRPr="00AF60AC" w:rsidRDefault="00AF60AC" w:rsidP="00776827">
      <w:pPr>
        <w:pStyle w:val="ListParagraph"/>
        <w:numPr>
          <w:ilvl w:val="0"/>
          <w:numId w:val="6"/>
        </w:numPr>
        <w:jc w:val="both"/>
        <w:rPr>
          <w:lang w:val="en-US"/>
        </w:rPr>
      </w:pPr>
      <w:r w:rsidRPr="00AF60AC">
        <w:rPr>
          <w:lang w:val="en-US"/>
        </w:rPr>
        <w:t xml:space="preserve">IRAs that </w:t>
      </w:r>
      <w:r w:rsidR="00003C7E">
        <w:rPr>
          <w:lang w:val="en-US"/>
        </w:rPr>
        <w:t>have brokerage capabilities</w:t>
      </w:r>
      <w:r w:rsidRPr="00AF60AC">
        <w:rPr>
          <w:lang w:val="en-US"/>
        </w:rPr>
        <w:t xml:space="preserve"> </w:t>
      </w:r>
      <w:r w:rsidRPr="00AF60AC">
        <w:rPr>
          <w:b/>
          <w:lang w:val="en-US"/>
        </w:rPr>
        <w:t>are</w:t>
      </w:r>
      <w:r w:rsidR="00003C7E">
        <w:rPr>
          <w:lang w:val="en-US"/>
        </w:rPr>
        <w:t xml:space="preserve"> subject to the Designated B</w:t>
      </w:r>
      <w:r w:rsidRPr="00AF60AC">
        <w:rPr>
          <w:lang w:val="en-US"/>
        </w:rPr>
        <w:t xml:space="preserve">roker rule </w:t>
      </w:r>
      <w:r w:rsidRPr="00AF60AC">
        <w:rPr>
          <w:b/>
          <w:lang w:val="en-US"/>
        </w:rPr>
        <w:t>and</w:t>
      </w:r>
      <w:r w:rsidRPr="00AF60AC">
        <w:rPr>
          <w:lang w:val="en-US"/>
        </w:rPr>
        <w:t xml:space="preserve"> preclearance requirements even if they hold only mutual funds.  </w:t>
      </w:r>
    </w:p>
    <w:p w:rsidR="00AF60AC" w:rsidRPr="00AF60AC" w:rsidRDefault="00AF60AC" w:rsidP="00776827">
      <w:pPr>
        <w:pStyle w:val="ListParagraph"/>
        <w:numPr>
          <w:ilvl w:val="0"/>
          <w:numId w:val="6"/>
        </w:numPr>
        <w:jc w:val="both"/>
        <w:rPr>
          <w:lang w:val="en-US"/>
        </w:rPr>
      </w:pPr>
      <w:r w:rsidRPr="00AF60AC">
        <w:rPr>
          <w:lang w:val="en-US"/>
        </w:rPr>
        <w:t>IRAs that are bank accounts holding investments such as certificates of deposit or consist of money market accounts, savings accounts, and the like are not subject to the designated broker requirement.  However, brokerage accounts held at a bank would need to be moved to a designated broker.</w:t>
      </w:r>
    </w:p>
    <w:p w:rsidR="00AF60AC" w:rsidRPr="00AF60AC" w:rsidRDefault="00AF60AC" w:rsidP="00AF60AC">
      <w:pPr>
        <w:pStyle w:val="Heading2"/>
        <w:rPr>
          <w:lang w:val="en-US"/>
        </w:rPr>
      </w:pPr>
      <w:bookmarkStart w:id="23" w:name="_Toc387164034"/>
      <w:r w:rsidRPr="00AF60AC">
        <w:rPr>
          <w:lang w:val="en-US"/>
        </w:rPr>
        <w:t>A</w:t>
      </w:r>
      <w:r w:rsidR="00003C7E">
        <w:rPr>
          <w:lang w:val="en-US"/>
        </w:rPr>
        <w:t>re mutual funds covered by the Designated B</w:t>
      </w:r>
      <w:r w:rsidRPr="00AF60AC">
        <w:rPr>
          <w:lang w:val="en-US"/>
        </w:rPr>
        <w:t>roker rule?</w:t>
      </w:r>
      <w:bookmarkEnd w:id="23"/>
    </w:p>
    <w:p w:rsidR="00AF60AC" w:rsidRPr="00AF60AC" w:rsidRDefault="00AF60AC" w:rsidP="00776827">
      <w:pPr>
        <w:pStyle w:val="ListParagraph"/>
        <w:numPr>
          <w:ilvl w:val="0"/>
          <w:numId w:val="6"/>
        </w:numPr>
        <w:jc w:val="both"/>
        <w:rPr>
          <w:lang w:val="en-US"/>
        </w:rPr>
      </w:pPr>
      <w:r w:rsidRPr="00AF60AC">
        <w:rPr>
          <w:lang w:val="en-US"/>
        </w:rPr>
        <w:t xml:space="preserve">Open-end mutual funds may be purchased or sold through one of JPMorgan’s designated brokers or directly through a mutual fund distributor.  </w:t>
      </w:r>
    </w:p>
    <w:p w:rsidR="00AF60AC" w:rsidRPr="00AF60AC" w:rsidRDefault="00AF60AC" w:rsidP="00776827">
      <w:pPr>
        <w:pStyle w:val="ListParagraph"/>
        <w:numPr>
          <w:ilvl w:val="0"/>
          <w:numId w:val="6"/>
        </w:numPr>
        <w:jc w:val="both"/>
        <w:rPr>
          <w:lang w:val="en-US"/>
        </w:rPr>
      </w:pPr>
      <w:r w:rsidRPr="00AF60AC">
        <w:rPr>
          <w:lang w:val="en-US"/>
        </w:rPr>
        <w:t xml:space="preserve">However, you need </w:t>
      </w:r>
      <w:r>
        <w:rPr>
          <w:lang w:val="en-US"/>
        </w:rPr>
        <w:t>to e</w:t>
      </w:r>
      <w:r w:rsidRPr="00AF60AC">
        <w:rPr>
          <w:lang w:val="en-US"/>
        </w:rPr>
        <w:t xml:space="preserve">nsure that your account at a mutual fund distributor is a </w:t>
      </w:r>
      <w:r w:rsidRPr="00AF60AC">
        <w:rPr>
          <w:u w:val="single"/>
          <w:lang w:val="en-US"/>
        </w:rPr>
        <w:t xml:space="preserve">mutual fund-only account and </w:t>
      </w:r>
      <w:r w:rsidRPr="00AF60AC">
        <w:rPr>
          <w:b/>
          <w:u w:val="single"/>
          <w:lang w:val="en-US"/>
        </w:rPr>
        <w:t>not</w:t>
      </w:r>
      <w:r w:rsidRPr="00AF60AC">
        <w:rPr>
          <w:u w:val="single"/>
          <w:lang w:val="en-US"/>
        </w:rPr>
        <w:t xml:space="preserve"> a brokerage account</w:t>
      </w:r>
      <w:r w:rsidRPr="00AF60AC">
        <w:rPr>
          <w:lang w:val="en-US"/>
        </w:rPr>
        <w:t xml:space="preserve"> -which would allow you to trade in individual stocks. </w:t>
      </w:r>
    </w:p>
    <w:p w:rsidR="00AF60AC" w:rsidRPr="00AF60AC" w:rsidRDefault="00AF60AC" w:rsidP="00776827">
      <w:pPr>
        <w:pStyle w:val="ListParagraph"/>
        <w:numPr>
          <w:ilvl w:val="1"/>
          <w:numId w:val="6"/>
        </w:numPr>
        <w:jc w:val="both"/>
        <w:rPr>
          <w:lang w:val="en-US"/>
        </w:rPr>
      </w:pPr>
      <w:r w:rsidRPr="00AF60AC">
        <w:rPr>
          <w:lang w:val="en-US"/>
        </w:rPr>
        <w:t xml:space="preserve">If the account can trade in </w:t>
      </w:r>
      <w:r w:rsidR="00003C7E">
        <w:rPr>
          <w:lang w:val="en-US"/>
        </w:rPr>
        <w:t>individual securities</w:t>
      </w:r>
      <w:r w:rsidRPr="00AF60AC">
        <w:rPr>
          <w:lang w:val="en-US"/>
        </w:rPr>
        <w:t>, the ac</w:t>
      </w:r>
      <w:r w:rsidR="00003C7E">
        <w:rPr>
          <w:lang w:val="en-US"/>
        </w:rPr>
        <w:t>count must be transferred to a Designated B</w:t>
      </w:r>
      <w:r w:rsidRPr="00AF60AC">
        <w:rPr>
          <w:lang w:val="en-US"/>
        </w:rPr>
        <w:t>roker.</w:t>
      </w:r>
    </w:p>
    <w:p w:rsidR="00AF60AC" w:rsidRPr="00AF60AC" w:rsidRDefault="00AF60AC" w:rsidP="00AF60AC">
      <w:pPr>
        <w:pStyle w:val="Heading2"/>
        <w:rPr>
          <w:lang w:val="en-US"/>
        </w:rPr>
      </w:pPr>
      <w:bookmarkStart w:id="24" w:name="_Toc387164035"/>
      <w:r w:rsidRPr="00AF60AC">
        <w:rPr>
          <w:lang w:val="en-US"/>
        </w:rPr>
        <w:t>Are stock di</w:t>
      </w:r>
      <w:r w:rsidR="00003C7E">
        <w:rPr>
          <w:lang w:val="en-US"/>
        </w:rPr>
        <w:t>vidend reinvestment plans (DRIPs</w:t>
      </w:r>
      <w:r w:rsidRPr="00AF60AC">
        <w:rPr>
          <w:lang w:val="en-US"/>
        </w:rPr>
        <w:t xml:space="preserve">) for JPMorgan </w:t>
      </w:r>
      <w:r w:rsidR="00380730">
        <w:rPr>
          <w:lang w:val="en-US"/>
        </w:rPr>
        <w:t>or other stocks subject to the Designated B</w:t>
      </w:r>
      <w:r w:rsidRPr="00AF60AC">
        <w:rPr>
          <w:lang w:val="en-US"/>
        </w:rPr>
        <w:t>roker and preclearance rule?</w:t>
      </w:r>
      <w:bookmarkEnd w:id="24"/>
    </w:p>
    <w:p w:rsidR="00AF60AC" w:rsidRPr="00AF60AC" w:rsidRDefault="00AF60AC" w:rsidP="00776827">
      <w:pPr>
        <w:pStyle w:val="ListParagraph"/>
        <w:numPr>
          <w:ilvl w:val="0"/>
          <w:numId w:val="6"/>
        </w:numPr>
        <w:jc w:val="both"/>
        <w:rPr>
          <w:lang w:val="en-US"/>
        </w:rPr>
      </w:pPr>
      <w:r w:rsidRPr="00AF60AC">
        <w:rPr>
          <w:lang w:val="en-US"/>
        </w:rPr>
        <w:t>You may continue to accumulate shares of JPMorgan Chase or other stocks in one of these plans directly through the issuer’s transfer agent without preclearance.</w:t>
      </w:r>
    </w:p>
    <w:p w:rsidR="00AF60AC" w:rsidRDefault="00AF60AC" w:rsidP="00776827">
      <w:pPr>
        <w:pStyle w:val="ListParagraph"/>
        <w:numPr>
          <w:ilvl w:val="0"/>
          <w:numId w:val="6"/>
        </w:numPr>
        <w:jc w:val="both"/>
        <w:rPr>
          <w:lang w:val="en-US"/>
        </w:rPr>
      </w:pPr>
      <w:r w:rsidRPr="00AF60AC">
        <w:rPr>
          <w:lang w:val="en-US"/>
        </w:rPr>
        <w:t xml:space="preserve">However, the </w:t>
      </w:r>
      <w:r w:rsidRPr="00AF60AC">
        <w:rPr>
          <w:i/>
          <w:u w:val="single"/>
          <w:lang w:val="en-US"/>
        </w:rPr>
        <w:t>initial</w:t>
      </w:r>
      <w:r w:rsidRPr="00AF60AC">
        <w:rPr>
          <w:lang w:val="en-US"/>
        </w:rPr>
        <w:t xml:space="preserve"> investment, </w:t>
      </w:r>
      <w:r w:rsidRPr="00AF60AC">
        <w:rPr>
          <w:i/>
          <w:u w:val="single"/>
          <w:lang w:val="en-US"/>
        </w:rPr>
        <w:t>the sale</w:t>
      </w:r>
      <w:r w:rsidRPr="00AF60AC">
        <w:rPr>
          <w:lang w:val="en-US"/>
        </w:rPr>
        <w:t xml:space="preserve"> of any shares that you have accumulated in such plans, and </w:t>
      </w:r>
      <w:r w:rsidRPr="00AF60AC">
        <w:rPr>
          <w:i/>
          <w:u w:val="single"/>
          <w:lang w:val="en-US"/>
        </w:rPr>
        <w:t>changes to the investment amount</w:t>
      </w:r>
      <w:r w:rsidRPr="00AF60AC">
        <w:rPr>
          <w:lang w:val="en-US"/>
        </w:rPr>
        <w:t xml:space="preserve"> /</w:t>
      </w:r>
      <w:proofErr w:type="spellStart"/>
      <w:r w:rsidRPr="00AF60AC">
        <w:rPr>
          <w:i/>
          <w:u w:val="single"/>
          <w:lang w:val="en-US"/>
        </w:rPr>
        <w:t>nonroutine</w:t>
      </w:r>
      <w:proofErr w:type="spellEnd"/>
      <w:r w:rsidRPr="00AF60AC">
        <w:rPr>
          <w:i/>
          <w:u w:val="single"/>
          <w:lang w:val="en-US"/>
        </w:rPr>
        <w:t>/</w:t>
      </w:r>
      <w:proofErr w:type="spellStart"/>
      <w:r w:rsidRPr="00AF60AC">
        <w:rPr>
          <w:i/>
          <w:u w:val="single"/>
          <w:lang w:val="en-US"/>
        </w:rPr>
        <w:t>nonautomatic</w:t>
      </w:r>
      <w:proofErr w:type="spellEnd"/>
      <w:r w:rsidRPr="00AF60AC">
        <w:rPr>
          <w:i/>
          <w:u w:val="single"/>
          <w:lang w:val="en-US"/>
        </w:rPr>
        <w:t xml:space="preserve"> purchase</w:t>
      </w:r>
      <w:r w:rsidRPr="00AF60AC">
        <w:rPr>
          <w:lang w:val="en-US"/>
        </w:rPr>
        <w:t xml:space="preserve"> </w:t>
      </w:r>
      <w:r w:rsidRPr="00AF60AC">
        <w:rPr>
          <w:b/>
          <w:lang w:val="en-US"/>
        </w:rPr>
        <w:t>must</w:t>
      </w:r>
      <w:r w:rsidRPr="00AF60AC">
        <w:rPr>
          <w:lang w:val="en-US"/>
        </w:rPr>
        <w:t xml:space="preserve"> be </w:t>
      </w:r>
      <w:proofErr w:type="spellStart"/>
      <w:r w:rsidRPr="00AF60AC">
        <w:rPr>
          <w:lang w:val="en-US"/>
        </w:rPr>
        <w:t>precleared</w:t>
      </w:r>
      <w:proofErr w:type="spellEnd"/>
      <w:r w:rsidRPr="00AF60AC">
        <w:rPr>
          <w:lang w:val="en-US"/>
        </w:rPr>
        <w:t xml:space="preserve">. </w:t>
      </w:r>
    </w:p>
    <w:p w:rsidR="00776827" w:rsidRDefault="00776827" w:rsidP="00776827">
      <w:pPr>
        <w:jc w:val="both"/>
        <w:rPr>
          <w:lang w:val="en-US"/>
        </w:rPr>
      </w:pPr>
    </w:p>
    <w:p w:rsidR="00776827" w:rsidRDefault="00776827" w:rsidP="00776827">
      <w:pPr>
        <w:jc w:val="both"/>
        <w:rPr>
          <w:lang w:val="en-US"/>
        </w:rPr>
      </w:pPr>
    </w:p>
    <w:p w:rsidR="00776827" w:rsidRDefault="00776827" w:rsidP="00776827">
      <w:pPr>
        <w:jc w:val="both"/>
        <w:rPr>
          <w:lang w:val="en-US"/>
        </w:rPr>
      </w:pPr>
    </w:p>
    <w:p w:rsidR="00776827" w:rsidRPr="00776827" w:rsidRDefault="00776827" w:rsidP="00776827">
      <w:pPr>
        <w:jc w:val="both"/>
        <w:rPr>
          <w:lang w:val="en-US"/>
        </w:rPr>
      </w:pPr>
    </w:p>
    <w:p w:rsidR="00AF60AC" w:rsidRPr="00AF60AC" w:rsidRDefault="00AF60AC" w:rsidP="00AF60AC">
      <w:pPr>
        <w:pStyle w:val="Heading2"/>
        <w:rPr>
          <w:lang w:val="en-US"/>
        </w:rPr>
      </w:pPr>
      <w:bookmarkStart w:id="25" w:name="_Toc387164036"/>
      <w:r w:rsidRPr="00AF60AC">
        <w:rPr>
          <w:lang w:val="en-US"/>
        </w:rPr>
        <w:lastRenderedPageBreak/>
        <w:t xml:space="preserve">I am a U.S. citizen placed on assignment overseas.  How am I affected by the </w:t>
      </w:r>
      <w:hyperlink r:id="rId11" w:history="1">
        <w:r w:rsidRPr="00AF60AC">
          <w:rPr>
            <w:rStyle w:val="Hyperlink"/>
            <w:lang w:val="en-US"/>
          </w:rPr>
          <w:t>Designated Broker</w:t>
        </w:r>
      </w:hyperlink>
      <w:r w:rsidRPr="00AF60AC">
        <w:rPr>
          <w:lang w:val="en-US"/>
        </w:rPr>
        <w:t xml:space="preserve"> requirement?</w:t>
      </w:r>
      <w:bookmarkEnd w:id="25"/>
    </w:p>
    <w:p w:rsidR="00AF60AC" w:rsidRPr="00AF60AC" w:rsidRDefault="00AF60AC" w:rsidP="00776827">
      <w:pPr>
        <w:pStyle w:val="ListParagraph"/>
        <w:numPr>
          <w:ilvl w:val="0"/>
          <w:numId w:val="6"/>
        </w:numPr>
        <w:jc w:val="both"/>
        <w:rPr>
          <w:lang w:val="en-US"/>
        </w:rPr>
      </w:pPr>
      <w:r w:rsidRPr="00AF60AC">
        <w:rPr>
          <w:lang w:val="en-US"/>
        </w:rPr>
        <w:t>While the preclearance requirement applies to those subject to the Global Person</w:t>
      </w:r>
      <w:r w:rsidR="00380730">
        <w:rPr>
          <w:lang w:val="en-US"/>
        </w:rPr>
        <w:t>al Account Dealing Policy, the Designated B</w:t>
      </w:r>
      <w:r w:rsidRPr="00AF60AC">
        <w:rPr>
          <w:lang w:val="en-US"/>
        </w:rPr>
        <w:t xml:space="preserve">roker rule </w:t>
      </w:r>
      <w:r w:rsidR="00380730">
        <w:rPr>
          <w:lang w:val="en-US"/>
        </w:rPr>
        <w:t>may vary based on region</w:t>
      </w:r>
      <w:r w:rsidRPr="00AF60AC">
        <w:rPr>
          <w:lang w:val="en-US"/>
        </w:rPr>
        <w:t>.</w:t>
      </w:r>
    </w:p>
    <w:p w:rsidR="00AF60AC" w:rsidRPr="00AF60AC" w:rsidRDefault="00AF60AC" w:rsidP="00776827">
      <w:pPr>
        <w:pStyle w:val="ListParagraph"/>
        <w:numPr>
          <w:ilvl w:val="1"/>
          <w:numId w:val="6"/>
        </w:numPr>
        <w:jc w:val="both"/>
        <w:rPr>
          <w:lang w:val="en-US"/>
        </w:rPr>
      </w:pPr>
      <w:r w:rsidRPr="00AF60AC">
        <w:rPr>
          <w:lang w:val="en-US"/>
        </w:rPr>
        <w:t xml:space="preserve">When you are based in </w:t>
      </w:r>
      <w:r w:rsidR="00380730">
        <w:rPr>
          <w:lang w:val="en-US"/>
        </w:rPr>
        <w:t>North America</w:t>
      </w:r>
      <w:r w:rsidRPr="00AF60AC">
        <w:rPr>
          <w:lang w:val="en-US"/>
        </w:rPr>
        <w:t>, you must comply with the Personal Account Dealing Policy – U</w:t>
      </w:r>
      <w:r w:rsidR="00380730">
        <w:rPr>
          <w:lang w:val="en-US"/>
        </w:rPr>
        <w:t>.</w:t>
      </w:r>
      <w:r w:rsidRPr="00AF60AC">
        <w:rPr>
          <w:lang w:val="en-US"/>
        </w:rPr>
        <w:t>S</w:t>
      </w:r>
      <w:r w:rsidR="00380730">
        <w:rPr>
          <w:lang w:val="en-US"/>
        </w:rPr>
        <w:t>.</w:t>
      </w:r>
      <w:r w:rsidRPr="00AF60AC">
        <w:rPr>
          <w:lang w:val="en-US"/>
        </w:rPr>
        <w:t xml:space="preserve"> Supplement or Personal Account Dealing Policy – Canada Supplement.  </w:t>
      </w:r>
    </w:p>
    <w:p w:rsidR="00AF60AC" w:rsidRPr="00AF60AC" w:rsidRDefault="00AF60AC" w:rsidP="00776827">
      <w:pPr>
        <w:pStyle w:val="ListParagraph"/>
        <w:numPr>
          <w:ilvl w:val="1"/>
          <w:numId w:val="6"/>
        </w:numPr>
        <w:jc w:val="both"/>
        <w:rPr>
          <w:lang w:val="en-US"/>
        </w:rPr>
      </w:pPr>
      <w:r w:rsidRPr="00AF60AC">
        <w:rPr>
          <w:lang w:val="en-US"/>
        </w:rPr>
        <w:t>When you are based outside</w:t>
      </w:r>
      <w:r w:rsidR="00380730">
        <w:rPr>
          <w:lang w:val="en-US"/>
        </w:rPr>
        <w:t xml:space="preserve"> of North America</w:t>
      </w:r>
      <w:r w:rsidRPr="00AF60AC">
        <w:rPr>
          <w:lang w:val="en-US"/>
        </w:rPr>
        <w:t xml:space="preserve">, you will be subject to the regional personal trading policy for the region where you </w:t>
      </w:r>
      <w:r w:rsidR="00380730">
        <w:rPr>
          <w:lang w:val="en-US"/>
        </w:rPr>
        <w:t>working</w:t>
      </w:r>
      <w:r w:rsidRPr="00AF60AC">
        <w:rPr>
          <w:lang w:val="en-US"/>
        </w:rPr>
        <w:t>.  If you wish, you may avail yourself of the U</w:t>
      </w:r>
      <w:r w:rsidR="00380730">
        <w:rPr>
          <w:lang w:val="en-US"/>
        </w:rPr>
        <w:t>.</w:t>
      </w:r>
      <w:r w:rsidRPr="00AF60AC">
        <w:rPr>
          <w:lang w:val="en-US"/>
        </w:rPr>
        <w:t>S</w:t>
      </w:r>
      <w:r w:rsidR="00380730">
        <w:rPr>
          <w:lang w:val="en-US"/>
        </w:rPr>
        <w:t>. Designated B</w:t>
      </w:r>
      <w:r w:rsidRPr="00AF60AC">
        <w:rPr>
          <w:lang w:val="en-US"/>
        </w:rPr>
        <w:t xml:space="preserve">roker programs to the extent that they comply with the requirements of your current location and local law.  </w:t>
      </w:r>
    </w:p>
    <w:p w:rsidR="00AF60AC" w:rsidRPr="00AF60AC" w:rsidRDefault="00AF60AC" w:rsidP="00AF60AC">
      <w:pPr>
        <w:pStyle w:val="Heading2"/>
        <w:rPr>
          <w:lang w:val="en-US"/>
        </w:rPr>
      </w:pPr>
      <w:bookmarkStart w:id="26" w:name="_Toc387164037"/>
      <w:r w:rsidRPr="00AF60AC">
        <w:rPr>
          <w:lang w:val="en-US"/>
        </w:rPr>
        <w:t>I am a trustee for family accounts which are NOT maintai</w:t>
      </w:r>
      <w:r w:rsidR="00380730">
        <w:rPr>
          <w:lang w:val="en-US"/>
        </w:rPr>
        <w:t>ned at one of the Designated B</w:t>
      </w:r>
      <w:r w:rsidRPr="00AF60AC">
        <w:rPr>
          <w:lang w:val="en-US"/>
        </w:rPr>
        <w:t>rokers.  How should I handle this?</w:t>
      </w:r>
      <w:bookmarkEnd w:id="26"/>
    </w:p>
    <w:p w:rsidR="00AF60AC" w:rsidRPr="00AF60AC" w:rsidRDefault="00AF60AC" w:rsidP="00776827">
      <w:pPr>
        <w:pStyle w:val="ListParagraph"/>
        <w:numPr>
          <w:ilvl w:val="0"/>
          <w:numId w:val="6"/>
        </w:numPr>
        <w:jc w:val="both"/>
        <w:rPr>
          <w:lang w:val="en-US"/>
        </w:rPr>
      </w:pPr>
      <w:r w:rsidRPr="00AF60AC">
        <w:rPr>
          <w:lang w:val="en-US"/>
        </w:rPr>
        <w:t>If you are involved in the investment decisions for this trust account</w:t>
      </w:r>
      <w:r w:rsidR="00380730">
        <w:rPr>
          <w:lang w:val="en-US"/>
        </w:rPr>
        <w:t xml:space="preserve"> (i.e. trustee)</w:t>
      </w:r>
      <w:r w:rsidRPr="00AF60AC">
        <w:rPr>
          <w:lang w:val="en-US"/>
        </w:rPr>
        <w:t xml:space="preserve"> then it </w:t>
      </w:r>
      <w:r w:rsidRPr="00AF60AC">
        <w:rPr>
          <w:b/>
          <w:lang w:val="en-US"/>
        </w:rPr>
        <w:t>IS</w:t>
      </w:r>
      <w:r w:rsidRPr="00AF60AC">
        <w:rPr>
          <w:lang w:val="en-US"/>
        </w:rPr>
        <w:t xml:space="preserve"> subject to the Firm’s policies.</w:t>
      </w:r>
    </w:p>
    <w:p w:rsidR="00AF60AC" w:rsidRPr="00AF60AC" w:rsidRDefault="00AF60AC" w:rsidP="00776827">
      <w:pPr>
        <w:pStyle w:val="ListParagraph"/>
        <w:numPr>
          <w:ilvl w:val="0"/>
          <w:numId w:val="6"/>
        </w:numPr>
        <w:jc w:val="both"/>
        <w:rPr>
          <w:lang w:val="en-US"/>
        </w:rPr>
      </w:pPr>
      <w:r w:rsidRPr="00AF60AC">
        <w:rPr>
          <w:lang w:val="en-US"/>
        </w:rPr>
        <w:t>You must disclose this account and either:</w:t>
      </w:r>
    </w:p>
    <w:p w:rsidR="00AF60AC" w:rsidRPr="00AF60AC" w:rsidRDefault="00AF60AC" w:rsidP="00776827">
      <w:pPr>
        <w:pStyle w:val="ListParagraph"/>
        <w:numPr>
          <w:ilvl w:val="1"/>
          <w:numId w:val="6"/>
        </w:numPr>
        <w:jc w:val="both"/>
        <w:rPr>
          <w:lang w:val="en-US"/>
        </w:rPr>
      </w:pPr>
      <w:r w:rsidRPr="00AF60AC">
        <w:rPr>
          <w:lang w:val="en-US"/>
        </w:rPr>
        <w:t xml:space="preserve">Resign your position as trustee over the account, where you would not be directing investment decisions </w:t>
      </w:r>
      <w:r w:rsidRPr="00AF60AC">
        <w:rPr>
          <w:lang w:val="en-US"/>
        </w:rPr>
        <w:sym w:font="Wingdings" w:char="F0E0"/>
      </w:r>
      <w:r w:rsidRPr="00AF60AC">
        <w:rPr>
          <w:lang w:val="en-US"/>
        </w:rPr>
        <w:t xml:space="preserve"> no longer need to disclose; </w:t>
      </w:r>
    </w:p>
    <w:p w:rsidR="00AF60AC" w:rsidRPr="00AF60AC" w:rsidRDefault="00AF60AC" w:rsidP="00776827">
      <w:pPr>
        <w:pStyle w:val="ListParagraph"/>
        <w:numPr>
          <w:ilvl w:val="1"/>
          <w:numId w:val="6"/>
        </w:numPr>
        <w:jc w:val="both"/>
        <w:rPr>
          <w:b/>
          <w:lang w:val="en-US"/>
        </w:rPr>
      </w:pPr>
      <w:r w:rsidRPr="00AF60AC">
        <w:rPr>
          <w:lang w:val="en-US"/>
        </w:rPr>
        <w:t xml:space="preserve">See if the account qualifies for the managed account exception; </w:t>
      </w:r>
      <w:r w:rsidRPr="00AF60AC">
        <w:rPr>
          <w:b/>
          <w:lang w:val="en-US"/>
        </w:rPr>
        <w:t>or</w:t>
      </w:r>
    </w:p>
    <w:p w:rsidR="00AF60AC" w:rsidRPr="00AF60AC" w:rsidRDefault="00380730" w:rsidP="00776827">
      <w:pPr>
        <w:pStyle w:val="ListParagraph"/>
        <w:numPr>
          <w:ilvl w:val="1"/>
          <w:numId w:val="6"/>
        </w:numPr>
        <w:jc w:val="both"/>
        <w:rPr>
          <w:lang w:val="en-US"/>
        </w:rPr>
      </w:pPr>
      <w:r>
        <w:rPr>
          <w:lang w:val="en-US"/>
        </w:rPr>
        <w:t>Move the account to a Designated B</w:t>
      </w:r>
      <w:r w:rsidR="00AF60AC" w:rsidRPr="00AF60AC">
        <w:rPr>
          <w:lang w:val="en-US"/>
        </w:rPr>
        <w:t xml:space="preserve">roker. </w:t>
      </w:r>
    </w:p>
    <w:p w:rsidR="00AF60AC" w:rsidRPr="00AF60AC" w:rsidRDefault="00AF60AC" w:rsidP="00AF60AC">
      <w:pPr>
        <w:pStyle w:val="Heading2"/>
        <w:rPr>
          <w:lang w:val="en-US"/>
        </w:rPr>
      </w:pPr>
      <w:bookmarkStart w:id="27" w:name="_Toc387164038"/>
      <w:proofErr w:type="gramStart"/>
      <w:r w:rsidRPr="00AF60AC">
        <w:rPr>
          <w:lang w:val="en-US"/>
        </w:rPr>
        <w:t>Are</w:t>
      </w:r>
      <w:proofErr w:type="gramEnd"/>
      <w:r w:rsidRPr="00AF60AC">
        <w:rPr>
          <w:lang w:val="en-US"/>
        </w:rPr>
        <w:t xml:space="preserve"> Employee Stock Purchase Plans and Employee Stock Option Plans permitted?</w:t>
      </w:r>
      <w:bookmarkEnd w:id="27"/>
    </w:p>
    <w:p w:rsidR="00AF60AC" w:rsidRPr="00AF60AC" w:rsidRDefault="00AF60AC" w:rsidP="00776827">
      <w:pPr>
        <w:pStyle w:val="ListParagraph"/>
        <w:numPr>
          <w:ilvl w:val="0"/>
          <w:numId w:val="6"/>
        </w:numPr>
        <w:jc w:val="both"/>
        <w:rPr>
          <w:lang w:val="en-US"/>
        </w:rPr>
      </w:pPr>
      <w:r w:rsidRPr="00AF60AC">
        <w:rPr>
          <w:b/>
          <w:u w:val="single"/>
          <w:lang w:val="en-US"/>
        </w:rPr>
        <w:t>Yes</w:t>
      </w:r>
      <w:r w:rsidRPr="00AF60AC">
        <w:rPr>
          <w:lang w:val="en-US"/>
        </w:rPr>
        <w:t>.  These accounts must be disclosed.</w:t>
      </w:r>
    </w:p>
    <w:p w:rsidR="00AF60AC" w:rsidRPr="00AF60AC" w:rsidRDefault="00AF60AC" w:rsidP="00776827">
      <w:pPr>
        <w:pStyle w:val="ListParagraph"/>
        <w:numPr>
          <w:ilvl w:val="0"/>
          <w:numId w:val="6"/>
        </w:numPr>
        <w:jc w:val="both"/>
        <w:rPr>
          <w:lang w:val="en-US"/>
        </w:rPr>
      </w:pPr>
      <w:r w:rsidRPr="00AF60AC">
        <w:rPr>
          <w:lang w:val="en-US"/>
        </w:rPr>
        <w:t xml:space="preserve">These accounts will be approved if they do not have brokerage capabilities. </w:t>
      </w:r>
    </w:p>
    <w:p w:rsidR="00AF60AC" w:rsidRPr="00AF60AC" w:rsidRDefault="00AF60AC" w:rsidP="00AF60AC">
      <w:pPr>
        <w:pStyle w:val="Heading2"/>
        <w:rPr>
          <w:lang w:val="en-US"/>
        </w:rPr>
      </w:pPr>
      <w:bookmarkStart w:id="28" w:name="_Toc387164039"/>
      <w:r w:rsidRPr="00AF60AC">
        <w:rPr>
          <w:lang w:val="en-US"/>
        </w:rPr>
        <w:t xml:space="preserve">How do I </w:t>
      </w:r>
      <w:proofErr w:type="gramStart"/>
      <w:r w:rsidRPr="00AF60AC">
        <w:rPr>
          <w:lang w:val="en-US"/>
        </w:rPr>
        <w:t>effect</w:t>
      </w:r>
      <w:proofErr w:type="gramEnd"/>
      <w:r w:rsidRPr="00AF60AC">
        <w:rPr>
          <w:lang w:val="en-US"/>
        </w:rPr>
        <w:t xml:space="preserve"> the transfer of accounts?</w:t>
      </w:r>
      <w:bookmarkEnd w:id="28"/>
    </w:p>
    <w:p w:rsidR="00AF60AC" w:rsidRDefault="00AF60AC" w:rsidP="00776827">
      <w:pPr>
        <w:pStyle w:val="ListParagraph"/>
        <w:numPr>
          <w:ilvl w:val="0"/>
          <w:numId w:val="6"/>
        </w:numPr>
        <w:jc w:val="both"/>
        <w:rPr>
          <w:lang w:val="en-US"/>
        </w:rPr>
      </w:pPr>
      <w:r w:rsidRPr="00AF60AC">
        <w:rPr>
          <w:lang w:val="en-US"/>
        </w:rPr>
        <w:t xml:space="preserve">The </w:t>
      </w:r>
      <w:r w:rsidR="00380730">
        <w:rPr>
          <w:lang w:val="en-US"/>
        </w:rPr>
        <w:t>D</w:t>
      </w:r>
      <w:r w:rsidRPr="00AF60AC">
        <w:rPr>
          <w:lang w:val="en-US"/>
        </w:rPr>
        <w:t>esignated</w:t>
      </w:r>
      <w:r w:rsidR="00380730">
        <w:rPr>
          <w:lang w:val="en-US"/>
        </w:rPr>
        <w:t xml:space="preserve"> Broker</w:t>
      </w:r>
      <w:r w:rsidRPr="00AF60AC">
        <w:rPr>
          <w:lang w:val="en-US"/>
        </w:rPr>
        <w:t xml:space="preserve"> you choose will assist you with the process.  You should not liquidate any pos</w:t>
      </w:r>
      <w:r w:rsidR="00380730">
        <w:rPr>
          <w:lang w:val="en-US"/>
        </w:rPr>
        <w:t>itions until you speak to your Designated B</w:t>
      </w:r>
      <w:r w:rsidRPr="00AF60AC">
        <w:rPr>
          <w:lang w:val="en-US"/>
        </w:rPr>
        <w:t xml:space="preserve">roker. If you decide to liquidate your positions, you must </w:t>
      </w:r>
      <w:proofErr w:type="spellStart"/>
      <w:r w:rsidRPr="00AF60AC">
        <w:rPr>
          <w:lang w:val="en-US"/>
        </w:rPr>
        <w:t>preclear</w:t>
      </w:r>
      <w:proofErr w:type="spellEnd"/>
      <w:r w:rsidRPr="00AF60AC">
        <w:rPr>
          <w:lang w:val="en-US"/>
        </w:rPr>
        <w:t xml:space="preserve"> the positions by submitting the preclearance request via the </w:t>
      </w:r>
      <w:hyperlink r:id="rId12" w:history="1">
        <w:r w:rsidRPr="00AF60AC">
          <w:rPr>
            <w:rStyle w:val="Hyperlink"/>
            <w:lang w:val="en-US"/>
          </w:rPr>
          <w:t>Employee Compliance Portal</w:t>
        </w:r>
      </w:hyperlink>
      <w:r w:rsidRPr="00AF60AC">
        <w:rPr>
          <w:lang w:val="en-US"/>
        </w:rPr>
        <w:t xml:space="preserve">. </w:t>
      </w:r>
    </w:p>
    <w:p w:rsidR="00AF60AC" w:rsidRPr="00AF60AC" w:rsidRDefault="00AF60AC" w:rsidP="00AF60AC">
      <w:pPr>
        <w:pStyle w:val="Heading2"/>
        <w:rPr>
          <w:lang w:val="en-US"/>
        </w:rPr>
      </w:pPr>
      <w:bookmarkStart w:id="29" w:name="_Toc387164040"/>
      <w:r w:rsidRPr="00AF60AC">
        <w:rPr>
          <w:lang w:val="en-US"/>
        </w:rPr>
        <w:t>Will there be any fees or costs related to the transfer of my accounts from my current broker to a designated broker?</w:t>
      </w:r>
      <w:bookmarkEnd w:id="29"/>
    </w:p>
    <w:p w:rsidR="00AF60AC" w:rsidRPr="00AF60AC" w:rsidRDefault="00AF60AC" w:rsidP="00776827">
      <w:pPr>
        <w:pStyle w:val="ListParagraph"/>
        <w:numPr>
          <w:ilvl w:val="0"/>
          <w:numId w:val="6"/>
        </w:numPr>
        <w:jc w:val="both"/>
        <w:rPr>
          <w:lang w:val="en-US"/>
        </w:rPr>
      </w:pPr>
      <w:r w:rsidRPr="00AF60AC">
        <w:rPr>
          <w:lang w:val="en-US"/>
        </w:rPr>
        <w:t>Some non-designated brokers may charge an account transfer fee. However, you should advise your broker that the transfer is a corporate requirement with which you, as an employee of the firm, need to comply.  Though not obligated to absorb such fees, the broker community generally understands the regulatory environment that necessitates these policies and may make accommodations accordingly.</w:t>
      </w:r>
    </w:p>
    <w:p w:rsidR="00AF60AC" w:rsidRPr="00AF60AC" w:rsidRDefault="00AF60AC" w:rsidP="00776827">
      <w:pPr>
        <w:pStyle w:val="ListParagraph"/>
        <w:numPr>
          <w:ilvl w:val="0"/>
          <w:numId w:val="6"/>
        </w:numPr>
        <w:jc w:val="both"/>
        <w:rPr>
          <w:lang w:val="en-US"/>
        </w:rPr>
      </w:pPr>
      <w:r w:rsidRPr="00AF60AC">
        <w:rPr>
          <w:lang w:val="en-US"/>
        </w:rPr>
        <w:t xml:space="preserve">JPM will </w:t>
      </w:r>
      <w:r w:rsidRPr="00AF60AC">
        <w:rPr>
          <w:i/>
          <w:lang w:val="en-US"/>
        </w:rPr>
        <w:t>not</w:t>
      </w:r>
      <w:r w:rsidRPr="00AF60AC">
        <w:rPr>
          <w:lang w:val="en-US"/>
        </w:rPr>
        <w:t xml:space="preserve"> be responsible for any transfer fees incurred in conforming </w:t>
      </w:r>
      <w:proofErr w:type="gramStart"/>
      <w:r w:rsidRPr="00AF60AC">
        <w:rPr>
          <w:lang w:val="en-US"/>
        </w:rPr>
        <w:t>with</w:t>
      </w:r>
      <w:proofErr w:type="gramEnd"/>
      <w:r w:rsidRPr="00AF60AC">
        <w:rPr>
          <w:lang w:val="en-US"/>
        </w:rPr>
        <w:t xml:space="preserve"> PAD </w:t>
      </w:r>
      <w:r w:rsidR="00B95063">
        <w:rPr>
          <w:lang w:val="en-US"/>
        </w:rPr>
        <w:t>requirements</w:t>
      </w:r>
      <w:r w:rsidRPr="00AF60AC">
        <w:rPr>
          <w:lang w:val="en-US"/>
        </w:rPr>
        <w:t xml:space="preserve">. </w:t>
      </w:r>
    </w:p>
    <w:p w:rsidR="00AF60AC" w:rsidRPr="00AF60AC" w:rsidRDefault="00AF60AC" w:rsidP="00AF60AC">
      <w:pPr>
        <w:pStyle w:val="Heading2"/>
        <w:rPr>
          <w:lang w:val="en-US"/>
        </w:rPr>
      </w:pPr>
      <w:bookmarkStart w:id="30" w:name="_Toc387164041"/>
      <w:r w:rsidRPr="00AF60AC">
        <w:rPr>
          <w:lang w:val="en-US"/>
        </w:rPr>
        <w:t>I am active in a charitable organization in our community and sit on the financial advisory board which reviews the finances and investment strategy for the organization.  What must I do?</w:t>
      </w:r>
      <w:bookmarkEnd w:id="30"/>
    </w:p>
    <w:p w:rsidR="00AF60AC" w:rsidRPr="00AF60AC" w:rsidRDefault="00AF60AC" w:rsidP="00AF60AC">
      <w:pPr>
        <w:pStyle w:val="ListParagraph"/>
        <w:numPr>
          <w:ilvl w:val="0"/>
          <w:numId w:val="6"/>
        </w:numPr>
        <w:rPr>
          <w:lang w:val="en-US"/>
        </w:rPr>
      </w:pPr>
      <w:r w:rsidRPr="00AF60AC">
        <w:rPr>
          <w:lang w:val="en-US"/>
        </w:rPr>
        <w:t xml:space="preserve">Please refer to the </w:t>
      </w:r>
      <w:r>
        <w:rPr>
          <w:lang w:val="en-US"/>
        </w:rPr>
        <w:t xml:space="preserve">Firm’s </w:t>
      </w:r>
      <w:hyperlink r:id="rId13" w:history="1">
        <w:r w:rsidRPr="00AF60AC">
          <w:rPr>
            <w:rStyle w:val="Hyperlink"/>
            <w:lang w:val="en-US"/>
          </w:rPr>
          <w:t>Code of Conduct</w:t>
        </w:r>
      </w:hyperlink>
      <w:r w:rsidRPr="00AF60AC">
        <w:rPr>
          <w:lang w:val="en-US"/>
        </w:rPr>
        <w:t xml:space="preserve"> on Outside Business Activities. </w:t>
      </w:r>
    </w:p>
    <w:p w:rsidR="00AF60AC" w:rsidRPr="00AF60AC" w:rsidRDefault="00AF60AC" w:rsidP="00AF60AC">
      <w:pPr>
        <w:pStyle w:val="Heading2"/>
        <w:rPr>
          <w:lang w:val="en-US"/>
        </w:rPr>
      </w:pPr>
      <w:bookmarkStart w:id="31" w:name="_Toc387164042"/>
      <w:r w:rsidRPr="00AF60AC">
        <w:rPr>
          <w:lang w:val="en-US"/>
        </w:rPr>
        <w:t>Am I able to trade in options and/or futures transactions?</w:t>
      </w:r>
      <w:bookmarkEnd w:id="31"/>
    </w:p>
    <w:p w:rsidR="00AF60AC" w:rsidRPr="00AF60AC" w:rsidRDefault="00AF60AC" w:rsidP="00776827">
      <w:pPr>
        <w:pStyle w:val="ListParagraph"/>
        <w:numPr>
          <w:ilvl w:val="0"/>
          <w:numId w:val="6"/>
        </w:numPr>
        <w:jc w:val="both"/>
        <w:rPr>
          <w:lang w:val="en-US"/>
        </w:rPr>
      </w:pPr>
      <w:r w:rsidRPr="00AF60AC">
        <w:rPr>
          <w:lang w:val="en-US"/>
        </w:rPr>
        <w:t xml:space="preserve">Generally, </w:t>
      </w:r>
      <w:r w:rsidR="00776827">
        <w:rPr>
          <w:lang w:val="en-US"/>
        </w:rPr>
        <w:t>the Firm’s policy does not permit</w:t>
      </w:r>
      <w:r w:rsidRPr="00AF60AC">
        <w:rPr>
          <w:lang w:val="en-US"/>
        </w:rPr>
        <w:t xml:space="preserve"> options and futures trading.  </w:t>
      </w:r>
    </w:p>
    <w:p w:rsidR="00AF60AC" w:rsidRPr="00AF60AC" w:rsidRDefault="00AF60AC" w:rsidP="00776827">
      <w:pPr>
        <w:pStyle w:val="ListParagraph"/>
        <w:numPr>
          <w:ilvl w:val="0"/>
          <w:numId w:val="6"/>
        </w:numPr>
        <w:jc w:val="both"/>
        <w:rPr>
          <w:lang w:val="en-US"/>
        </w:rPr>
      </w:pPr>
      <w:r w:rsidRPr="00AF60AC">
        <w:rPr>
          <w:lang w:val="en-US"/>
        </w:rPr>
        <w:t xml:space="preserve">There are certain exceptions to this rule: </w:t>
      </w:r>
    </w:p>
    <w:p w:rsidR="00776827" w:rsidRDefault="00AF60AC" w:rsidP="00776827">
      <w:pPr>
        <w:pStyle w:val="ListParagraph"/>
        <w:numPr>
          <w:ilvl w:val="1"/>
          <w:numId w:val="6"/>
        </w:numPr>
        <w:jc w:val="both"/>
        <w:rPr>
          <w:lang w:val="en-US"/>
        </w:rPr>
      </w:pPr>
      <w:r w:rsidRPr="00AF60AC">
        <w:rPr>
          <w:lang w:val="en-US"/>
        </w:rPr>
        <w:lastRenderedPageBreak/>
        <w:t xml:space="preserve">Short sales, derivatives transactions relating to debt and equity, and purchases and sales of options will only be permitted if entered into as a bona fide hedge against an offsetting position on a one-to-one ratio in accordance with local rules and regulations. </w:t>
      </w:r>
    </w:p>
    <w:p w:rsidR="00AF60AC" w:rsidRDefault="002E6E5E" w:rsidP="00776827">
      <w:pPr>
        <w:pStyle w:val="ListParagraph"/>
        <w:numPr>
          <w:ilvl w:val="1"/>
          <w:numId w:val="6"/>
        </w:numPr>
        <w:jc w:val="both"/>
        <w:rPr>
          <w:lang w:val="en-US"/>
        </w:rPr>
      </w:pPr>
      <w:r>
        <w:rPr>
          <w:lang w:val="en-US"/>
        </w:rPr>
        <w:t>The following are the Firm’s approved options strategies:</w:t>
      </w:r>
    </w:p>
    <w:p w:rsidR="002E6E5E" w:rsidRDefault="002E6E5E" w:rsidP="00776827">
      <w:pPr>
        <w:pStyle w:val="ListParagraph"/>
        <w:numPr>
          <w:ilvl w:val="2"/>
          <w:numId w:val="6"/>
        </w:numPr>
        <w:jc w:val="both"/>
        <w:rPr>
          <w:lang w:val="en-US"/>
        </w:rPr>
      </w:pPr>
      <w:r>
        <w:rPr>
          <w:lang w:val="en-US"/>
        </w:rPr>
        <w:t>Writing (sell) a covered call to open a position (must own the underlying shares)</w:t>
      </w:r>
    </w:p>
    <w:p w:rsidR="002E6E5E" w:rsidRDefault="002E6E5E" w:rsidP="00776827">
      <w:pPr>
        <w:pStyle w:val="ListParagraph"/>
        <w:numPr>
          <w:ilvl w:val="3"/>
          <w:numId w:val="6"/>
        </w:numPr>
        <w:jc w:val="both"/>
        <w:rPr>
          <w:lang w:val="en-US"/>
        </w:rPr>
      </w:pPr>
      <w:r>
        <w:rPr>
          <w:lang w:val="en-US"/>
        </w:rPr>
        <w:t>May buy back the call the close the position.</w:t>
      </w:r>
    </w:p>
    <w:p w:rsidR="002E6E5E" w:rsidRDefault="002E6E5E" w:rsidP="00776827">
      <w:pPr>
        <w:pStyle w:val="ListParagraph"/>
        <w:numPr>
          <w:ilvl w:val="2"/>
          <w:numId w:val="6"/>
        </w:numPr>
        <w:jc w:val="both"/>
        <w:rPr>
          <w:lang w:val="en-US"/>
        </w:rPr>
      </w:pPr>
      <w:r>
        <w:rPr>
          <w:lang w:val="en-US"/>
        </w:rPr>
        <w:t>Buying a protective put to open a position (must own the underlying shares)</w:t>
      </w:r>
    </w:p>
    <w:p w:rsidR="002E6E5E" w:rsidRDefault="002E6E5E" w:rsidP="00776827">
      <w:pPr>
        <w:pStyle w:val="ListParagraph"/>
        <w:numPr>
          <w:ilvl w:val="3"/>
          <w:numId w:val="6"/>
        </w:numPr>
        <w:jc w:val="both"/>
        <w:rPr>
          <w:lang w:val="en-US"/>
        </w:rPr>
      </w:pPr>
      <w:r>
        <w:rPr>
          <w:lang w:val="en-US"/>
        </w:rPr>
        <w:t>May sell the put to close the position.</w:t>
      </w:r>
    </w:p>
    <w:p w:rsidR="002E6E5E" w:rsidRDefault="002E6E5E" w:rsidP="00776827">
      <w:pPr>
        <w:pStyle w:val="ListParagraph"/>
        <w:numPr>
          <w:ilvl w:val="2"/>
          <w:numId w:val="6"/>
        </w:numPr>
        <w:jc w:val="both"/>
        <w:rPr>
          <w:lang w:val="en-US"/>
        </w:rPr>
      </w:pPr>
      <w:r>
        <w:rPr>
          <w:lang w:val="en-US"/>
        </w:rPr>
        <w:t>Buying a put and selling a call at the same time (must own the underlying shares).</w:t>
      </w:r>
    </w:p>
    <w:p w:rsidR="002E6E5E" w:rsidRDefault="002E6E5E" w:rsidP="00776827">
      <w:pPr>
        <w:pStyle w:val="ListParagraph"/>
        <w:numPr>
          <w:ilvl w:val="2"/>
          <w:numId w:val="6"/>
        </w:numPr>
        <w:jc w:val="both"/>
        <w:rPr>
          <w:lang w:val="en-US"/>
        </w:rPr>
      </w:pPr>
      <w:r>
        <w:rPr>
          <w:lang w:val="en-US"/>
        </w:rPr>
        <w:t xml:space="preserve">Buying LEAP (puts or calls) to open a position – there must be at least one (1) year until the expiration date and the position is subject to a 60 day minimum holding period. </w:t>
      </w:r>
    </w:p>
    <w:p w:rsidR="002E6E5E" w:rsidRDefault="002E6E5E" w:rsidP="00776827">
      <w:pPr>
        <w:pStyle w:val="ListParagraph"/>
        <w:numPr>
          <w:ilvl w:val="3"/>
          <w:numId w:val="6"/>
        </w:numPr>
        <w:jc w:val="both"/>
        <w:rPr>
          <w:lang w:val="en-US"/>
        </w:rPr>
      </w:pPr>
      <w:r>
        <w:rPr>
          <w:lang w:val="en-US"/>
        </w:rPr>
        <w:t xml:space="preserve">May sell to close as well. </w:t>
      </w:r>
    </w:p>
    <w:p w:rsidR="00776827" w:rsidRDefault="002E6E5E" w:rsidP="00776827">
      <w:pPr>
        <w:pStyle w:val="ListParagraph"/>
        <w:numPr>
          <w:ilvl w:val="2"/>
          <w:numId w:val="6"/>
        </w:numPr>
        <w:jc w:val="both"/>
        <w:rPr>
          <w:lang w:val="en-US"/>
        </w:rPr>
      </w:pPr>
      <w:r>
        <w:rPr>
          <w:lang w:val="en-US"/>
        </w:rPr>
        <w:t xml:space="preserve">Buying a put or a call option </w:t>
      </w:r>
      <w:r w:rsidR="001233C6">
        <w:rPr>
          <w:lang w:val="en-US"/>
        </w:rPr>
        <w:t>on a widely traded Index to open the position</w:t>
      </w:r>
      <w:r w:rsidR="00776827">
        <w:rPr>
          <w:lang w:val="en-US"/>
        </w:rPr>
        <w:t>.</w:t>
      </w:r>
    </w:p>
    <w:p w:rsidR="00776827" w:rsidRDefault="00776827" w:rsidP="00776827">
      <w:pPr>
        <w:pStyle w:val="ListParagraph"/>
        <w:numPr>
          <w:ilvl w:val="3"/>
          <w:numId w:val="6"/>
        </w:numPr>
        <w:jc w:val="both"/>
        <w:rPr>
          <w:lang w:val="en-US"/>
        </w:rPr>
      </w:pPr>
      <w:r>
        <w:rPr>
          <w:lang w:val="en-US"/>
        </w:rPr>
        <w:t>May sell to close.</w:t>
      </w:r>
    </w:p>
    <w:p w:rsidR="00776827" w:rsidRPr="00776827" w:rsidRDefault="00776827" w:rsidP="00776827">
      <w:pPr>
        <w:pStyle w:val="ListParagraph"/>
        <w:numPr>
          <w:ilvl w:val="2"/>
          <w:numId w:val="6"/>
        </w:numPr>
        <w:jc w:val="both"/>
        <w:rPr>
          <w:lang w:val="en-US"/>
        </w:rPr>
      </w:pPr>
      <w:r>
        <w:rPr>
          <w:lang w:val="en-US"/>
        </w:rPr>
        <w:t xml:space="preserve">Options on JPMC securities are generally not allowed unless they are part of the Firm’s compensation/benefits programs or as a bona fide hedge against a long position </w:t>
      </w:r>
      <w:r>
        <w:rPr>
          <w:i/>
          <w:lang w:val="en-US"/>
        </w:rPr>
        <w:t>already held</w:t>
      </w:r>
      <w:r>
        <w:rPr>
          <w:lang w:val="en-US"/>
        </w:rPr>
        <w:t xml:space="preserve">. </w:t>
      </w:r>
    </w:p>
    <w:p w:rsidR="00AF60AC" w:rsidRPr="00AF60AC" w:rsidRDefault="00AF60AC" w:rsidP="00776827">
      <w:pPr>
        <w:pStyle w:val="ListParagraph"/>
        <w:numPr>
          <w:ilvl w:val="1"/>
          <w:numId w:val="6"/>
        </w:numPr>
        <w:jc w:val="both"/>
        <w:rPr>
          <w:lang w:val="en-US"/>
        </w:rPr>
      </w:pPr>
      <w:r w:rsidRPr="00AF60AC">
        <w:rPr>
          <w:lang w:val="en-US"/>
        </w:rPr>
        <w:t xml:space="preserve">Foreign exchange and commodity futures and options are permitted only for bona fide hedging purposes, against an offsetting position, not as a speculative investment. </w:t>
      </w:r>
    </w:p>
    <w:p w:rsidR="00AF60AC" w:rsidRPr="00776827" w:rsidRDefault="00AF60AC" w:rsidP="00776827">
      <w:pPr>
        <w:ind w:left="0"/>
        <w:rPr>
          <w:lang w:val="en-US"/>
        </w:rPr>
      </w:pPr>
    </w:p>
    <w:p w:rsidR="00AF60AC" w:rsidRPr="00AF60AC" w:rsidRDefault="00AF60AC" w:rsidP="00AF60AC">
      <w:pPr>
        <w:pStyle w:val="ListParagraph"/>
        <w:numPr>
          <w:ilvl w:val="0"/>
          <w:numId w:val="6"/>
        </w:numPr>
        <w:rPr>
          <w:b/>
          <w:u w:val="single"/>
          <w:lang w:val="en-US"/>
        </w:rPr>
      </w:pPr>
      <w:r w:rsidRPr="00AF60AC">
        <w:rPr>
          <w:b/>
          <w:u w:val="single"/>
          <w:lang w:val="en-US"/>
        </w:rPr>
        <w:br w:type="page"/>
      </w:r>
    </w:p>
    <w:p w:rsidR="00AF60AC" w:rsidRPr="00776827" w:rsidRDefault="00AF60AC" w:rsidP="00776827">
      <w:pPr>
        <w:pStyle w:val="Heading1"/>
        <w:rPr>
          <w:lang w:val="en-US"/>
        </w:rPr>
      </w:pPr>
      <w:bookmarkStart w:id="32" w:name="_Toc387164043"/>
      <w:r w:rsidRPr="00776827">
        <w:rPr>
          <w:lang w:val="en-US"/>
        </w:rPr>
        <w:lastRenderedPageBreak/>
        <w:t>P</w:t>
      </w:r>
      <w:r w:rsidR="00B95063">
        <w:rPr>
          <w:lang w:val="en-US"/>
        </w:rPr>
        <w:t>reclearance Issues</w:t>
      </w:r>
      <w:bookmarkEnd w:id="32"/>
      <w:r w:rsidRPr="00776827">
        <w:rPr>
          <w:lang w:val="en-US"/>
        </w:rPr>
        <w:tab/>
      </w:r>
    </w:p>
    <w:p w:rsidR="00AF60AC" w:rsidRPr="00AF60AC" w:rsidRDefault="00776827" w:rsidP="00776827">
      <w:pPr>
        <w:pStyle w:val="Heading2"/>
        <w:rPr>
          <w:lang w:val="en-US"/>
        </w:rPr>
      </w:pPr>
      <w:bookmarkStart w:id="33" w:name="_Toc387164044"/>
      <w:r>
        <w:rPr>
          <w:lang w:val="en-US"/>
        </w:rPr>
        <w:t xml:space="preserve">How do I </w:t>
      </w:r>
      <w:proofErr w:type="spellStart"/>
      <w:r>
        <w:rPr>
          <w:lang w:val="en-US"/>
        </w:rPr>
        <w:t>preclear</w:t>
      </w:r>
      <w:proofErr w:type="spellEnd"/>
      <w:r>
        <w:rPr>
          <w:lang w:val="en-US"/>
        </w:rPr>
        <w:t xml:space="preserve"> my trades of publicly traded securities</w:t>
      </w:r>
      <w:r w:rsidR="00AF60AC" w:rsidRPr="00AF60AC">
        <w:rPr>
          <w:lang w:val="en-US"/>
        </w:rPr>
        <w:t>?</w:t>
      </w:r>
      <w:bookmarkEnd w:id="33"/>
    </w:p>
    <w:p w:rsidR="00AF60AC" w:rsidRPr="00AF60AC" w:rsidRDefault="00B95063" w:rsidP="00AF60AC">
      <w:pPr>
        <w:pStyle w:val="ListParagraph"/>
        <w:numPr>
          <w:ilvl w:val="0"/>
          <w:numId w:val="6"/>
        </w:numPr>
        <w:rPr>
          <w:lang w:val="en-US"/>
        </w:rPr>
      </w:pPr>
      <w:r>
        <w:rPr>
          <w:lang w:val="en-US"/>
        </w:rPr>
        <w:t>In North America</w:t>
      </w:r>
      <w:r w:rsidR="00776827">
        <w:rPr>
          <w:lang w:val="en-US"/>
        </w:rPr>
        <w:t xml:space="preserve">, employees may </w:t>
      </w:r>
      <w:proofErr w:type="spellStart"/>
      <w:r w:rsidR="00776827">
        <w:rPr>
          <w:lang w:val="en-US"/>
        </w:rPr>
        <w:t>preclear</w:t>
      </w:r>
      <w:proofErr w:type="spellEnd"/>
      <w:r w:rsidR="00776827">
        <w:rPr>
          <w:lang w:val="en-US"/>
        </w:rPr>
        <w:t xml:space="preserve"> their trades through the </w:t>
      </w:r>
      <w:hyperlink r:id="rId14" w:history="1">
        <w:r w:rsidR="00776827" w:rsidRPr="00AF60AC">
          <w:rPr>
            <w:rStyle w:val="Hyperlink"/>
            <w:lang w:val="en-US"/>
          </w:rPr>
          <w:t>Employee Compliance Portal</w:t>
        </w:r>
      </w:hyperlink>
      <w:r w:rsidR="00AF60AC" w:rsidRPr="00AF60AC">
        <w:rPr>
          <w:lang w:val="en-US"/>
        </w:rPr>
        <w:t>.</w:t>
      </w:r>
    </w:p>
    <w:p w:rsidR="00AF60AC" w:rsidRPr="00AF60AC" w:rsidRDefault="00AF60AC" w:rsidP="005B6A71">
      <w:pPr>
        <w:pStyle w:val="Heading2"/>
        <w:rPr>
          <w:lang w:val="en-US"/>
        </w:rPr>
      </w:pPr>
      <w:bookmarkStart w:id="34" w:name="_Toc387164045"/>
      <w:r w:rsidRPr="00AF60AC">
        <w:rPr>
          <w:lang w:val="en-US"/>
        </w:rPr>
        <w:t>What type of transaction is subject to the preclearance policy?</w:t>
      </w:r>
      <w:bookmarkEnd w:id="34"/>
    </w:p>
    <w:p w:rsidR="00B95063" w:rsidRDefault="00B95063" w:rsidP="005B6A71">
      <w:pPr>
        <w:pStyle w:val="ListParagraph"/>
        <w:numPr>
          <w:ilvl w:val="0"/>
          <w:numId w:val="6"/>
        </w:numPr>
        <w:jc w:val="both"/>
        <w:rPr>
          <w:lang w:val="en-US"/>
        </w:rPr>
      </w:pPr>
      <w:r>
        <w:rPr>
          <w:lang w:val="en-US"/>
        </w:rPr>
        <w:t>Generally, a</w:t>
      </w:r>
      <w:r w:rsidR="00AF60AC" w:rsidRPr="00AF60AC">
        <w:rPr>
          <w:lang w:val="en-US"/>
        </w:rPr>
        <w:t xml:space="preserve">ny security </w:t>
      </w:r>
      <w:r>
        <w:rPr>
          <w:lang w:val="en-US"/>
        </w:rPr>
        <w:t xml:space="preserve">or </w:t>
      </w:r>
      <w:r w:rsidR="00AF60AC" w:rsidRPr="00AF60AC">
        <w:rPr>
          <w:lang w:val="en-US"/>
        </w:rPr>
        <w:t>product that trades on an exchange.  This includes</w:t>
      </w:r>
      <w:r>
        <w:rPr>
          <w:lang w:val="en-US"/>
        </w:rPr>
        <w:t>, but is not limited to:</w:t>
      </w:r>
    </w:p>
    <w:p w:rsidR="00B95063" w:rsidRDefault="00B95063" w:rsidP="00B95063">
      <w:pPr>
        <w:pStyle w:val="ListParagraph"/>
        <w:numPr>
          <w:ilvl w:val="1"/>
          <w:numId w:val="6"/>
        </w:numPr>
        <w:jc w:val="both"/>
        <w:rPr>
          <w:lang w:val="en-US"/>
        </w:rPr>
      </w:pPr>
      <w:r>
        <w:rPr>
          <w:lang w:val="en-US"/>
        </w:rPr>
        <w:t>Equity securities</w:t>
      </w:r>
    </w:p>
    <w:p w:rsidR="00B95063" w:rsidRDefault="00B95063" w:rsidP="00B95063">
      <w:pPr>
        <w:pStyle w:val="ListParagraph"/>
        <w:numPr>
          <w:ilvl w:val="1"/>
          <w:numId w:val="6"/>
        </w:numPr>
        <w:jc w:val="both"/>
        <w:rPr>
          <w:lang w:val="en-US"/>
        </w:rPr>
      </w:pPr>
      <w:r>
        <w:rPr>
          <w:lang w:val="en-US"/>
        </w:rPr>
        <w:t>E</w:t>
      </w:r>
      <w:r w:rsidR="00AF60AC" w:rsidRPr="00AF60AC">
        <w:rPr>
          <w:lang w:val="en-US"/>
        </w:rPr>
        <w:t>xchange traded funds</w:t>
      </w:r>
      <w:r>
        <w:rPr>
          <w:lang w:val="en-US"/>
        </w:rPr>
        <w:t xml:space="preserve"> (ETF) </w:t>
      </w:r>
    </w:p>
    <w:p w:rsidR="00B95063" w:rsidRDefault="00B95063" w:rsidP="00B95063">
      <w:pPr>
        <w:pStyle w:val="ListParagraph"/>
        <w:numPr>
          <w:ilvl w:val="1"/>
          <w:numId w:val="6"/>
        </w:numPr>
        <w:jc w:val="both"/>
        <w:rPr>
          <w:lang w:val="en-US"/>
        </w:rPr>
      </w:pPr>
      <w:r>
        <w:rPr>
          <w:lang w:val="en-US"/>
        </w:rPr>
        <w:t>Corporate bonds</w:t>
      </w:r>
      <w:r w:rsidR="00AF60AC" w:rsidRPr="00AF60AC">
        <w:rPr>
          <w:lang w:val="en-US"/>
        </w:rPr>
        <w:t xml:space="preserve"> </w:t>
      </w:r>
    </w:p>
    <w:p w:rsidR="00B95063" w:rsidRDefault="00AF60AC" w:rsidP="00B95063">
      <w:pPr>
        <w:pStyle w:val="ListParagraph"/>
        <w:numPr>
          <w:ilvl w:val="1"/>
          <w:numId w:val="6"/>
        </w:numPr>
        <w:jc w:val="both"/>
        <w:rPr>
          <w:lang w:val="en-US"/>
        </w:rPr>
      </w:pPr>
      <w:r w:rsidRPr="00AF60AC">
        <w:rPr>
          <w:lang w:val="en-US"/>
        </w:rPr>
        <w:t>DRIP</w:t>
      </w:r>
      <w:r w:rsidR="00B95063">
        <w:rPr>
          <w:lang w:val="en-US"/>
        </w:rPr>
        <w:t>s</w:t>
      </w:r>
      <w:r w:rsidRPr="00AF60AC">
        <w:rPr>
          <w:lang w:val="en-US"/>
        </w:rPr>
        <w:t xml:space="preserve"> </w:t>
      </w:r>
    </w:p>
    <w:p w:rsidR="00B95063" w:rsidRDefault="00B95063" w:rsidP="00B95063">
      <w:pPr>
        <w:pStyle w:val="ListParagraph"/>
        <w:numPr>
          <w:ilvl w:val="1"/>
          <w:numId w:val="6"/>
        </w:numPr>
        <w:jc w:val="both"/>
        <w:rPr>
          <w:lang w:val="en-US"/>
        </w:rPr>
      </w:pPr>
      <w:r>
        <w:rPr>
          <w:lang w:val="en-US"/>
        </w:rPr>
        <w:t>Equity baskets</w:t>
      </w:r>
    </w:p>
    <w:p w:rsidR="00B95063" w:rsidRDefault="00B95063" w:rsidP="00B95063">
      <w:pPr>
        <w:pStyle w:val="ListParagraph"/>
        <w:numPr>
          <w:ilvl w:val="1"/>
          <w:numId w:val="6"/>
        </w:numPr>
        <w:jc w:val="both"/>
        <w:rPr>
          <w:lang w:val="en-US"/>
        </w:rPr>
      </w:pPr>
      <w:r>
        <w:rPr>
          <w:lang w:val="en-US"/>
        </w:rPr>
        <w:t>ADRs</w:t>
      </w:r>
    </w:p>
    <w:p w:rsidR="00B95063" w:rsidRDefault="00B95063" w:rsidP="00B95063">
      <w:pPr>
        <w:pStyle w:val="ListParagraph"/>
        <w:numPr>
          <w:ilvl w:val="1"/>
          <w:numId w:val="6"/>
        </w:numPr>
        <w:jc w:val="both"/>
        <w:rPr>
          <w:lang w:val="en-US"/>
        </w:rPr>
      </w:pPr>
      <w:r>
        <w:rPr>
          <w:lang w:val="en-US"/>
        </w:rPr>
        <w:t>Structured notes/products</w:t>
      </w:r>
      <w:r w:rsidR="00AF60AC" w:rsidRPr="00AF60AC">
        <w:rPr>
          <w:lang w:val="en-US"/>
        </w:rPr>
        <w:t xml:space="preserve"> </w:t>
      </w:r>
    </w:p>
    <w:p w:rsidR="00B95063" w:rsidRDefault="00AF60AC" w:rsidP="00B95063">
      <w:pPr>
        <w:pStyle w:val="ListParagraph"/>
        <w:numPr>
          <w:ilvl w:val="1"/>
          <w:numId w:val="6"/>
        </w:numPr>
        <w:jc w:val="both"/>
        <w:rPr>
          <w:lang w:val="en-US"/>
        </w:rPr>
      </w:pPr>
      <w:r w:rsidRPr="00AF60AC">
        <w:rPr>
          <w:lang w:val="en-US"/>
        </w:rPr>
        <w:t>JPMC securities</w:t>
      </w:r>
      <w:r w:rsidR="00B95063">
        <w:rPr>
          <w:lang w:val="en-US"/>
        </w:rPr>
        <w:t xml:space="preserve"> and JPMC Equivalents</w:t>
      </w:r>
    </w:p>
    <w:p w:rsidR="00B95063" w:rsidRDefault="00B95063" w:rsidP="00B95063">
      <w:pPr>
        <w:pStyle w:val="ListParagraph"/>
        <w:numPr>
          <w:ilvl w:val="1"/>
          <w:numId w:val="6"/>
        </w:numPr>
        <w:jc w:val="both"/>
        <w:rPr>
          <w:lang w:val="en-US"/>
        </w:rPr>
      </w:pPr>
      <w:r>
        <w:rPr>
          <w:lang w:val="en-US"/>
        </w:rPr>
        <w:t>Index options</w:t>
      </w:r>
    </w:p>
    <w:p w:rsidR="00B95063" w:rsidRDefault="00B95063" w:rsidP="00B95063">
      <w:pPr>
        <w:pStyle w:val="ListParagraph"/>
        <w:numPr>
          <w:ilvl w:val="1"/>
          <w:numId w:val="6"/>
        </w:numPr>
        <w:jc w:val="both"/>
        <w:rPr>
          <w:lang w:val="en-US"/>
        </w:rPr>
      </w:pPr>
      <w:proofErr w:type="spellStart"/>
      <w:r>
        <w:rPr>
          <w:lang w:val="en-US"/>
        </w:rPr>
        <w:t>i</w:t>
      </w:r>
      <w:r w:rsidR="00AF60AC" w:rsidRPr="00AF60AC">
        <w:rPr>
          <w:lang w:val="en-US"/>
        </w:rPr>
        <w:t>Shares</w:t>
      </w:r>
      <w:proofErr w:type="spellEnd"/>
      <w:r w:rsidR="00AF60AC" w:rsidRPr="00AF60AC">
        <w:rPr>
          <w:lang w:val="en-US"/>
        </w:rPr>
        <w:t xml:space="preserve"> </w:t>
      </w:r>
    </w:p>
    <w:p w:rsidR="00AF60AC" w:rsidRPr="00AF60AC" w:rsidRDefault="00B95063" w:rsidP="00B95063">
      <w:pPr>
        <w:pStyle w:val="ListParagraph"/>
        <w:numPr>
          <w:ilvl w:val="1"/>
          <w:numId w:val="6"/>
        </w:numPr>
        <w:jc w:val="both"/>
        <w:rPr>
          <w:lang w:val="en-US"/>
        </w:rPr>
      </w:pPr>
      <w:r>
        <w:rPr>
          <w:lang w:val="en-US"/>
        </w:rPr>
        <w:t>C</w:t>
      </w:r>
      <w:r w:rsidR="00AF60AC" w:rsidRPr="00AF60AC">
        <w:rPr>
          <w:lang w:val="en-US"/>
        </w:rPr>
        <w:t xml:space="preserve">ertain covered options permitted under the policy. </w:t>
      </w:r>
    </w:p>
    <w:p w:rsidR="00AF60AC" w:rsidRPr="00AF60AC" w:rsidRDefault="00AF60AC" w:rsidP="00AF60AC">
      <w:pPr>
        <w:pStyle w:val="ListParagraph"/>
        <w:numPr>
          <w:ilvl w:val="0"/>
          <w:numId w:val="6"/>
        </w:numPr>
        <w:rPr>
          <w:lang w:val="en-US"/>
        </w:rPr>
      </w:pPr>
      <w:r w:rsidRPr="00AF60AC">
        <w:rPr>
          <w:lang w:val="en-US"/>
        </w:rPr>
        <w:t xml:space="preserve">Open-end mutual funds, U.S. government securities and certain designated sovereign debt securities </w:t>
      </w:r>
      <w:r w:rsidRPr="00AF60AC">
        <w:rPr>
          <w:b/>
          <w:i/>
          <w:lang w:val="en-US"/>
        </w:rPr>
        <w:t>do not</w:t>
      </w:r>
      <w:r w:rsidRPr="00AF60AC">
        <w:rPr>
          <w:lang w:val="en-US"/>
        </w:rPr>
        <w:t xml:space="preserve"> require preclearance.</w:t>
      </w:r>
    </w:p>
    <w:p w:rsidR="00AF60AC" w:rsidRPr="005B6A71" w:rsidRDefault="00AF60AC" w:rsidP="005B6A71">
      <w:pPr>
        <w:pStyle w:val="Heading2"/>
        <w:rPr>
          <w:lang w:val="en-US"/>
        </w:rPr>
      </w:pPr>
      <w:bookmarkStart w:id="35" w:name="_Toc387164046"/>
      <w:r w:rsidRPr="005B6A71">
        <w:rPr>
          <w:lang w:val="en-US"/>
        </w:rPr>
        <w:t>If I ha</w:t>
      </w:r>
      <w:r w:rsidR="00B95063">
        <w:rPr>
          <w:lang w:val="en-US"/>
        </w:rPr>
        <w:t>ve my account(s) at one of the Designated B</w:t>
      </w:r>
      <w:r w:rsidRPr="005B6A71">
        <w:rPr>
          <w:lang w:val="en-US"/>
        </w:rPr>
        <w:t>rokers, do I need to get preclearance from Compliance?</w:t>
      </w:r>
      <w:bookmarkEnd w:id="35"/>
    </w:p>
    <w:p w:rsidR="00AF60AC" w:rsidRPr="00AF60AC" w:rsidRDefault="00AF60AC" w:rsidP="005B6A71">
      <w:pPr>
        <w:pStyle w:val="ListParagraph"/>
        <w:numPr>
          <w:ilvl w:val="0"/>
          <w:numId w:val="6"/>
        </w:numPr>
        <w:jc w:val="both"/>
        <w:rPr>
          <w:lang w:val="en-US"/>
        </w:rPr>
      </w:pPr>
      <w:r w:rsidRPr="00AF60AC">
        <w:rPr>
          <w:b/>
          <w:u w:val="single"/>
          <w:lang w:val="en-US"/>
        </w:rPr>
        <w:t>Yes</w:t>
      </w:r>
      <w:r w:rsidR="00B95063">
        <w:rPr>
          <w:lang w:val="en-US"/>
        </w:rPr>
        <w:t>.  The Designated B</w:t>
      </w:r>
      <w:r w:rsidRPr="00AF60AC">
        <w:rPr>
          <w:lang w:val="en-US"/>
        </w:rPr>
        <w:t>rokers do not have access to th</w:t>
      </w:r>
      <w:r w:rsidR="00B95063">
        <w:rPr>
          <w:lang w:val="en-US"/>
        </w:rPr>
        <w:t>e Firm’s restricted information</w:t>
      </w:r>
      <w:r w:rsidRPr="00AF60AC">
        <w:rPr>
          <w:lang w:val="en-US"/>
        </w:rPr>
        <w:t xml:space="preserve"> therefore preclearance through </w:t>
      </w:r>
      <w:r w:rsidR="00B95063">
        <w:rPr>
          <w:lang w:val="en-US"/>
        </w:rPr>
        <w:t xml:space="preserve">the </w:t>
      </w:r>
      <w:r w:rsidRPr="00AF60AC">
        <w:rPr>
          <w:lang w:val="en-US"/>
        </w:rPr>
        <w:t>Personal Account Dealing Group is</w:t>
      </w:r>
      <w:r w:rsidR="00B95063">
        <w:rPr>
          <w:lang w:val="en-US"/>
        </w:rPr>
        <w:t xml:space="preserve"> required</w:t>
      </w:r>
      <w:r w:rsidRPr="00AF60AC">
        <w:rPr>
          <w:lang w:val="en-US"/>
        </w:rPr>
        <w:t xml:space="preserve">.   </w:t>
      </w:r>
    </w:p>
    <w:p w:rsidR="00AF60AC" w:rsidRPr="00AF60AC" w:rsidRDefault="00AF60AC" w:rsidP="005B6A71">
      <w:pPr>
        <w:pStyle w:val="Heading2"/>
        <w:rPr>
          <w:lang w:val="en-US"/>
        </w:rPr>
      </w:pPr>
      <w:bookmarkStart w:id="36" w:name="_Toc387164047"/>
      <w:r w:rsidRPr="00AF60AC">
        <w:rPr>
          <w:lang w:val="en-US"/>
        </w:rPr>
        <w:t>How long is the trade approval valid for?</w:t>
      </w:r>
      <w:bookmarkEnd w:id="36"/>
    </w:p>
    <w:p w:rsidR="00AF60AC" w:rsidRPr="00AF60AC" w:rsidRDefault="00AF60AC" w:rsidP="005B6A71">
      <w:pPr>
        <w:pStyle w:val="ListParagraph"/>
        <w:numPr>
          <w:ilvl w:val="0"/>
          <w:numId w:val="6"/>
        </w:numPr>
        <w:jc w:val="both"/>
        <w:rPr>
          <w:lang w:val="en-US"/>
        </w:rPr>
      </w:pPr>
      <w:r w:rsidRPr="00AF60AC">
        <w:rPr>
          <w:lang w:val="en-US"/>
        </w:rPr>
        <w:t xml:space="preserve">Trade approval granted by </w:t>
      </w:r>
      <w:r w:rsidR="00B95063">
        <w:rPr>
          <w:lang w:val="en-US"/>
        </w:rPr>
        <w:t xml:space="preserve">the </w:t>
      </w:r>
      <w:r w:rsidRPr="00AF60AC">
        <w:rPr>
          <w:lang w:val="en-US"/>
        </w:rPr>
        <w:t>Per</w:t>
      </w:r>
      <w:r w:rsidR="00B95063">
        <w:rPr>
          <w:lang w:val="en-US"/>
        </w:rPr>
        <w:t xml:space="preserve">sonal Account Dealing Group </w:t>
      </w:r>
      <w:r w:rsidRPr="00AF60AC">
        <w:rPr>
          <w:lang w:val="en-US"/>
        </w:rPr>
        <w:t xml:space="preserve">is generally good for the day you call to </w:t>
      </w:r>
      <w:proofErr w:type="spellStart"/>
      <w:r w:rsidRPr="00AF60AC">
        <w:rPr>
          <w:lang w:val="en-US"/>
        </w:rPr>
        <w:t>preclear</w:t>
      </w:r>
      <w:proofErr w:type="spellEnd"/>
      <w:r w:rsidRPr="00AF60AC">
        <w:rPr>
          <w:lang w:val="en-US"/>
        </w:rPr>
        <w:t xml:space="preserve"> your transaction and the following business day up to the close of business (4:00pm EST). </w:t>
      </w:r>
    </w:p>
    <w:p w:rsidR="00AF60AC" w:rsidRPr="00AF60AC" w:rsidRDefault="00AF60AC" w:rsidP="005B6A71">
      <w:pPr>
        <w:pStyle w:val="ListParagraph"/>
        <w:numPr>
          <w:ilvl w:val="0"/>
          <w:numId w:val="6"/>
        </w:numPr>
        <w:jc w:val="both"/>
        <w:rPr>
          <w:lang w:val="en-US"/>
        </w:rPr>
      </w:pPr>
      <w:r w:rsidRPr="00AF60AC">
        <w:rPr>
          <w:lang w:val="en-US"/>
        </w:rPr>
        <w:t xml:space="preserve">Certain business groups in Asset Wealth Management have a </w:t>
      </w:r>
      <w:r w:rsidRPr="00AF60AC">
        <w:rPr>
          <w:b/>
          <w:i/>
          <w:lang w:val="en-US"/>
        </w:rPr>
        <w:t>one day</w:t>
      </w:r>
      <w:r w:rsidRPr="00AF60AC">
        <w:rPr>
          <w:lang w:val="en-US"/>
        </w:rPr>
        <w:t xml:space="preserve"> approval period (if applicable, please refer to your business specific policy for further details).  </w:t>
      </w:r>
    </w:p>
    <w:p w:rsidR="00AF60AC" w:rsidRPr="00AF60AC" w:rsidRDefault="00AF60AC" w:rsidP="005B6A71">
      <w:pPr>
        <w:pStyle w:val="ListParagraph"/>
        <w:numPr>
          <w:ilvl w:val="0"/>
          <w:numId w:val="6"/>
        </w:numPr>
        <w:jc w:val="both"/>
        <w:rPr>
          <w:lang w:val="en-US"/>
        </w:rPr>
      </w:pPr>
      <w:r w:rsidRPr="00AF60AC">
        <w:rPr>
          <w:lang w:val="en-US"/>
        </w:rPr>
        <w:t xml:space="preserve">Good-Till-Cancelled (GTC) orders are permitted but the price must be specified at the time of preclearance. GTC approval is good for the life of the order </w:t>
      </w:r>
      <w:r w:rsidRPr="00AF60AC">
        <w:rPr>
          <w:b/>
          <w:i/>
          <w:lang w:val="en-US"/>
        </w:rPr>
        <w:t>but</w:t>
      </w:r>
      <w:r w:rsidRPr="00AF60AC">
        <w:rPr>
          <w:lang w:val="en-US"/>
        </w:rPr>
        <w:t xml:space="preserve"> must be </w:t>
      </w:r>
      <w:proofErr w:type="spellStart"/>
      <w:r w:rsidRPr="00AF60AC">
        <w:rPr>
          <w:lang w:val="en-US"/>
        </w:rPr>
        <w:t>precleared</w:t>
      </w:r>
      <w:proofErr w:type="spellEnd"/>
      <w:r w:rsidRPr="00AF60AC">
        <w:rPr>
          <w:lang w:val="en-US"/>
        </w:rPr>
        <w:t xml:space="preserve"> again in the event that the order is changed in any way or if the order is renewed with the broker at the end of its original time span.  </w:t>
      </w:r>
    </w:p>
    <w:p w:rsidR="00AF60AC" w:rsidRPr="00AF60AC" w:rsidRDefault="00AF60AC" w:rsidP="005B6A71">
      <w:pPr>
        <w:pStyle w:val="Heading2"/>
        <w:rPr>
          <w:lang w:val="en-US"/>
        </w:rPr>
      </w:pPr>
      <w:bookmarkStart w:id="37" w:name="_Toc387164048"/>
      <w:r w:rsidRPr="00AF60AC">
        <w:rPr>
          <w:lang w:val="en-US"/>
        </w:rPr>
        <w:t>Is there a minimum holding period for investments?</w:t>
      </w:r>
      <w:bookmarkEnd w:id="37"/>
    </w:p>
    <w:p w:rsidR="00AF60AC" w:rsidRPr="005B6A71" w:rsidRDefault="00AF60AC" w:rsidP="005B6A71">
      <w:pPr>
        <w:pStyle w:val="ListParagraph"/>
        <w:numPr>
          <w:ilvl w:val="0"/>
          <w:numId w:val="6"/>
        </w:numPr>
        <w:jc w:val="both"/>
        <w:rPr>
          <w:lang w:val="en-US"/>
        </w:rPr>
      </w:pPr>
      <w:r w:rsidRPr="00AF60AC">
        <w:rPr>
          <w:b/>
          <w:u w:val="single"/>
          <w:lang w:val="en-US"/>
        </w:rPr>
        <w:t>Yes.</w:t>
      </w:r>
      <w:r w:rsidRPr="00AF60AC">
        <w:rPr>
          <w:lang w:val="en-US"/>
        </w:rPr>
        <w:t xml:space="preserve"> All personal transactions must be oriented toward investment as distinguished from short-term or speculative trading.  Positions should be held for at least </w:t>
      </w:r>
      <w:r w:rsidRPr="00AF60AC">
        <w:rPr>
          <w:b/>
          <w:u w:val="single"/>
          <w:lang w:val="en-US"/>
        </w:rPr>
        <w:t>30 calendar days</w:t>
      </w:r>
      <w:r w:rsidRPr="00AF60AC">
        <w:rPr>
          <w:lang w:val="en-US"/>
        </w:rPr>
        <w:t xml:space="preserve"> (</w:t>
      </w:r>
      <w:r w:rsidRPr="00AF60AC">
        <w:rPr>
          <w:b/>
          <w:u w:val="single"/>
          <w:lang w:val="en-US"/>
        </w:rPr>
        <w:t>60 calendar days</w:t>
      </w:r>
      <w:r w:rsidRPr="00AF60AC">
        <w:rPr>
          <w:lang w:val="en-US"/>
        </w:rPr>
        <w:t xml:space="preserve"> for Asset Management).  Stop loss orders will be permitted if </w:t>
      </w:r>
      <w:proofErr w:type="spellStart"/>
      <w:r w:rsidRPr="00AF60AC">
        <w:rPr>
          <w:lang w:val="en-US"/>
        </w:rPr>
        <w:t>precleared</w:t>
      </w:r>
      <w:proofErr w:type="spellEnd"/>
      <w:r w:rsidRPr="00AF60AC">
        <w:rPr>
          <w:lang w:val="en-US"/>
        </w:rPr>
        <w:t xml:space="preserve"> and placed simultaneously with a buy (that was also </w:t>
      </w:r>
      <w:proofErr w:type="spellStart"/>
      <w:r w:rsidRPr="00AF60AC">
        <w:rPr>
          <w:lang w:val="en-US"/>
        </w:rPr>
        <w:t>precleared</w:t>
      </w:r>
      <w:proofErr w:type="spellEnd"/>
      <w:r w:rsidRPr="00AF60AC">
        <w:rPr>
          <w:lang w:val="en-US"/>
        </w:rPr>
        <w:t>) and at a price 20% less than the purchase price</w:t>
      </w:r>
      <w:proofErr w:type="gramStart"/>
      <w:r w:rsidRPr="00AF60AC">
        <w:rPr>
          <w:lang w:val="en-US"/>
        </w:rPr>
        <w:t>.</w:t>
      </w:r>
      <w:r w:rsidRPr="005B6A71">
        <w:rPr>
          <w:lang w:val="en-US"/>
        </w:rPr>
        <w:t>.</w:t>
      </w:r>
      <w:proofErr w:type="gramEnd"/>
      <w:r w:rsidRPr="005B6A71">
        <w:rPr>
          <w:lang w:val="en-US"/>
        </w:rPr>
        <w:t xml:space="preserve"> </w:t>
      </w:r>
    </w:p>
    <w:p w:rsidR="00AF60AC" w:rsidRPr="00AF60AC" w:rsidRDefault="00AF60AC" w:rsidP="005B6A71">
      <w:pPr>
        <w:pStyle w:val="Heading2"/>
        <w:rPr>
          <w:lang w:val="en-US"/>
        </w:rPr>
      </w:pPr>
      <w:bookmarkStart w:id="38" w:name="_Toc387164049"/>
      <w:r w:rsidRPr="00AF60AC">
        <w:rPr>
          <w:lang w:val="en-US"/>
        </w:rPr>
        <w:t>I am planning on making a charitable donation of securities; will I need approval from The Personal Account Dealing Group to do so?</w:t>
      </w:r>
      <w:bookmarkEnd w:id="38"/>
    </w:p>
    <w:p w:rsidR="00AF60AC" w:rsidRPr="00AF60AC" w:rsidRDefault="00AF60AC" w:rsidP="005B6A71">
      <w:pPr>
        <w:pStyle w:val="ListParagraph"/>
        <w:numPr>
          <w:ilvl w:val="0"/>
          <w:numId w:val="6"/>
        </w:numPr>
        <w:jc w:val="both"/>
        <w:rPr>
          <w:lang w:val="en-US"/>
        </w:rPr>
      </w:pPr>
      <w:r w:rsidRPr="00AF60AC">
        <w:rPr>
          <w:b/>
          <w:u w:val="single"/>
          <w:lang w:val="en-US"/>
        </w:rPr>
        <w:t>Yes</w:t>
      </w:r>
      <w:r w:rsidRPr="00AF60AC">
        <w:rPr>
          <w:lang w:val="en-US"/>
        </w:rPr>
        <w:t xml:space="preserve">, all gifts and pledges of securities, such as charitable donations, require approval from The Personal Account Dealing Group. </w:t>
      </w:r>
    </w:p>
    <w:p w:rsidR="00AF60AC" w:rsidRPr="00AF60AC" w:rsidRDefault="00AF60AC" w:rsidP="005B6A71">
      <w:pPr>
        <w:pStyle w:val="Heading2"/>
        <w:rPr>
          <w:lang w:val="en-US"/>
        </w:rPr>
      </w:pPr>
      <w:bookmarkStart w:id="39" w:name="_Toc387164050"/>
      <w:r w:rsidRPr="00AF60AC">
        <w:rPr>
          <w:lang w:val="en-US"/>
        </w:rPr>
        <w:lastRenderedPageBreak/>
        <w:t xml:space="preserve">Do I have to </w:t>
      </w:r>
      <w:proofErr w:type="spellStart"/>
      <w:r w:rsidRPr="00AF60AC">
        <w:rPr>
          <w:lang w:val="en-US"/>
        </w:rPr>
        <w:t>preclear</w:t>
      </w:r>
      <w:proofErr w:type="spellEnd"/>
      <w:r w:rsidRPr="00AF60AC">
        <w:rPr>
          <w:lang w:val="en-US"/>
        </w:rPr>
        <w:t xml:space="preserve"> sales of JPMorgan</w:t>
      </w:r>
      <w:r w:rsidR="005B6A71">
        <w:rPr>
          <w:lang w:val="en-US"/>
        </w:rPr>
        <w:t xml:space="preserve"> </w:t>
      </w:r>
      <w:r w:rsidRPr="00AF60AC">
        <w:rPr>
          <w:lang w:val="en-US"/>
        </w:rPr>
        <w:t>Chase securities?</w:t>
      </w:r>
      <w:bookmarkEnd w:id="39"/>
    </w:p>
    <w:p w:rsidR="005B6A71" w:rsidRDefault="00AF60AC" w:rsidP="005B6A71">
      <w:pPr>
        <w:pStyle w:val="ListParagraph"/>
        <w:numPr>
          <w:ilvl w:val="0"/>
          <w:numId w:val="6"/>
        </w:numPr>
        <w:jc w:val="both"/>
        <w:rPr>
          <w:lang w:val="en-US"/>
        </w:rPr>
      </w:pPr>
      <w:r w:rsidRPr="005B6A71">
        <w:rPr>
          <w:b/>
          <w:u w:val="single"/>
          <w:lang w:val="en-US"/>
        </w:rPr>
        <w:t>Yes</w:t>
      </w:r>
      <w:r w:rsidRPr="005B6A71">
        <w:rPr>
          <w:lang w:val="en-US"/>
        </w:rPr>
        <w:t xml:space="preserve">, you must </w:t>
      </w:r>
      <w:proofErr w:type="spellStart"/>
      <w:r w:rsidRPr="005B6A71">
        <w:rPr>
          <w:lang w:val="en-US"/>
        </w:rPr>
        <w:t>preclear</w:t>
      </w:r>
      <w:proofErr w:type="spellEnd"/>
      <w:r w:rsidRPr="005B6A71">
        <w:rPr>
          <w:lang w:val="en-US"/>
        </w:rPr>
        <w:t xml:space="preserve"> direct purchases </w:t>
      </w:r>
      <w:r w:rsidRPr="005B6A71">
        <w:rPr>
          <w:b/>
          <w:lang w:val="en-US"/>
        </w:rPr>
        <w:t>and</w:t>
      </w:r>
      <w:r w:rsidRPr="005B6A71">
        <w:rPr>
          <w:lang w:val="en-US"/>
        </w:rPr>
        <w:t xml:space="preserve"> sales of JPMorgan Chase securities; Employee Stock Option exercises; and changes </w:t>
      </w:r>
      <w:r w:rsidR="005B6A71">
        <w:rPr>
          <w:lang w:val="en-US"/>
        </w:rPr>
        <w:t xml:space="preserve">to elections involving the JPMorgan Chase &amp; Co. common stock fund in a 401(k) plan or elections under any other employee benefit plan. </w:t>
      </w:r>
    </w:p>
    <w:p w:rsidR="00AF60AC" w:rsidRPr="005B6A71" w:rsidRDefault="00AF60AC" w:rsidP="005B6A71">
      <w:pPr>
        <w:pStyle w:val="ListParagraph"/>
        <w:numPr>
          <w:ilvl w:val="0"/>
          <w:numId w:val="6"/>
        </w:numPr>
        <w:jc w:val="both"/>
        <w:rPr>
          <w:lang w:val="en-US"/>
        </w:rPr>
      </w:pPr>
      <w:r w:rsidRPr="005B6A71">
        <w:rPr>
          <w:lang w:val="en-US"/>
        </w:rPr>
        <w:t>Employees that have been specifically notified that they are subject to the “</w:t>
      </w:r>
      <w:r w:rsidRPr="005B6A71">
        <w:rPr>
          <w:b/>
          <w:u w:val="single"/>
          <w:lang w:val="en-US"/>
        </w:rPr>
        <w:t>Window</w:t>
      </w:r>
      <w:r w:rsidRPr="005B6A71">
        <w:rPr>
          <w:lang w:val="en-US"/>
        </w:rPr>
        <w:t>” are only allowed to transact in JPMC</w:t>
      </w:r>
      <w:r w:rsidR="00B95063">
        <w:rPr>
          <w:lang w:val="en-US"/>
        </w:rPr>
        <w:t xml:space="preserve"> securities and JPMC Equivalents</w:t>
      </w:r>
      <w:r w:rsidRPr="005B6A71">
        <w:rPr>
          <w:lang w:val="en-US"/>
        </w:rPr>
        <w:t xml:space="preserve"> during certain window periods and they must </w:t>
      </w:r>
      <w:proofErr w:type="spellStart"/>
      <w:r w:rsidRPr="005B6A71">
        <w:rPr>
          <w:lang w:val="en-US"/>
        </w:rPr>
        <w:t>preclear</w:t>
      </w:r>
      <w:proofErr w:type="spellEnd"/>
      <w:r w:rsidRPr="005B6A71">
        <w:rPr>
          <w:lang w:val="en-US"/>
        </w:rPr>
        <w:t xml:space="preserve"> all transactions in our Firm’s securities. </w:t>
      </w:r>
    </w:p>
    <w:p w:rsidR="00AF60AC" w:rsidRPr="00AF60AC" w:rsidRDefault="00AF60AC" w:rsidP="005B6A71">
      <w:pPr>
        <w:pStyle w:val="ListParagraph"/>
        <w:numPr>
          <w:ilvl w:val="1"/>
          <w:numId w:val="6"/>
        </w:numPr>
        <w:jc w:val="both"/>
        <w:rPr>
          <w:lang w:val="en-US"/>
        </w:rPr>
      </w:pPr>
      <w:r w:rsidRPr="00AF60AC">
        <w:rPr>
          <w:lang w:val="en-US"/>
        </w:rPr>
        <w:t xml:space="preserve">This includes: </w:t>
      </w:r>
    </w:p>
    <w:p w:rsidR="00AF60AC" w:rsidRPr="00AF60AC" w:rsidRDefault="00AF60AC" w:rsidP="005B6A71">
      <w:pPr>
        <w:pStyle w:val="ListParagraph"/>
        <w:numPr>
          <w:ilvl w:val="2"/>
          <w:numId w:val="6"/>
        </w:numPr>
        <w:jc w:val="both"/>
        <w:rPr>
          <w:lang w:val="en-US"/>
        </w:rPr>
      </w:pPr>
      <w:r w:rsidRPr="00AF60AC">
        <w:rPr>
          <w:lang w:val="en-US"/>
        </w:rPr>
        <w:t xml:space="preserve">Direct purchases and sales; </w:t>
      </w:r>
    </w:p>
    <w:p w:rsidR="00AF60AC" w:rsidRPr="00AF60AC" w:rsidRDefault="00AF60AC" w:rsidP="005B6A71">
      <w:pPr>
        <w:pStyle w:val="ListParagraph"/>
        <w:numPr>
          <w:ilvl w:val="2"/>
          <w:numId w:val="6"/>
        </w:numPr>
        <w:jc w:val="both"/>
        <w:rPr>
          <w:lang w:val="en-US"/>
        </w:rPr>
      </w:pPr>
      <w:r w:rsidRPr="00AF60AC">
        <w:rPr>
          <w:lang w:val="en-US"/>
        </w:rPr>
        <w:t xml:space="preserve">Sales of JPMorgan Chase securities to meet a margin call, with or without your personal involvement; </w:t>
      </w:r>
    </w:p>
    <w:p w:rsidR="00AF60AC" w:rsidRPr="00AF60AC" w:rsidRDefault="00AF60AC" w:rsidP="005B6A71">
      <w:pPr>
        <w:pStyle w:val="ListParagraph"/>
        <w:numPr>
          <w:ilvl w:val="2"/>
          <w:numId w:val="6"/>
        </w:numPr>
        <w:jc w:val="both"/>
        <w:rPr>
          <w:lang w:val="en-US"/>
        </w:rPr>
      </w:pPr>
      <w:r w:rsidRPr="00AF60AC">
        <w:rPr>
          <w:lang w:val="en-US"/>
        </w:rPr>
        <w:t>Placing, canceling or amending limit orders; and</w:t>
      </w:r>
    </w:p>
    <w:p w:rsidR="00AF60AC" w:rsidRPr="00AF60AC" w:rsidRDefault="00AF60AC" w:rsidP="005B6A71">
      <w:pPr>
        <w:pStyle w:val="ListParagraph"/>
        <w:numPr>
          <w:ilvl w:val="2"/>
          <w:numId w:val="6"/>
        </w:numPr>
        <w:jc w:val="both"/>
        <w:rPr>
          <w:lang w:val="en-US"/>
        </w:rPr>
      </w:pPr>
      <w:r w:rsidRPr="00AF60AC">
        <w:rPr>
          <w:lang w:val="en-US"/>
        </w:rPr>
        <w:t xml:space="preserve">Entering into, canceling or amending sales plans, sometimes referred to as 10b-5(1) plans. </w:t>
      </w:r>
    </w:p>
    <w:p w:rsidR="00AF60AC" w:rsidRPr="00AF60AC" w:rsidRDefault="00AF60AC" w:rsidP="005B6A71">
      <w:pPr>
        <w:pStyle w:val="ListParagraph"/>
        <w:numPr>
          <w:ilvl w:val="0"/>
          <w:numId w:val="6"/>
        </w:numPr>
        <w:jc w:val="both"/>
        <w:rPr>
          <w:lang w:val="en-US"/>
        </w:rPr>
      </w:pPr>
      <w:r w:rsidRPr="00AF60AC">
        <w:rPr>
          <w:lang w:val="en-US"/>
        </w:rPr>
        <w:t>Any transactions in JPM that are not done in a Computershare account (formerly Mellon Investor Services) m</w:t>
      </w:r>
      <w:r w:rsidR="00B95063">
        <w:rPr>
          <w:lang w:val="en-US"/>
        </w:rPr>
        <w:t>ust be done in an account at a Designated B</w:t>
      </w:r>
      <w:r w:rsidRPr="00AF60AC">
        <w:rPr>
          <w:lang w:val="en-US"/>
        </w:rPr>
        <w:t xml:space="preserve">roker.  Changes to elections involving the JPMorgan Chase &amp; Co. common stock fund in a 401(k) plan or elections under any other employee benefit plan are prohibited for window employees during certain periods. </w:t>
      </w:r>
    </w:p>
    <w:p w:rsidR="00AF60AC" w:rsidRPr="00AF60AC" w:rsidRDefault="00AF60AC" w:rsidP="005B6A71">
      <w:pPr>
        <w:pStyle w:val="ListParagraph"/>
        <w:numPr>
          <w:ilvl w:val="0"/>
          <w:numId w:val="6"/>
        </w:numPr>
        <w:jc w:val="both"/>
        <w:rPr>
          <w:lang w:val="en-US"/>
        </w:rPr>
      </w:pPr>
      <w:r w:rsidRPr="00AF60AC">
        <w:rPr>
          <w:lang w:val="en-US"/>
        </w:rPr>
        <w:t xml:space="preserve">Furthermore, for subject employees, there is a </w:t>
      </w:r>
      <w:r w:rsidRPr="00AF60AC">
        <w:rPr>
          <w:b/>
          <w:u w:val="single"/>
          <w:lang w:val="en-US"/>
        </w:rPr>
        <w:t>Quarterly Blackout Period</w:t>
      </w:r>
      <w:r w:rsidRPr="00AF60AC">
        <w:rPr>
          <w:lang w:val="en-US"/>
        </w:rPr>
        <w:t xml:space="preserve"> for trading in JPM</w:t>
      </w:r>
      <w:r w:rsidR="00B95063">
        <w:rPr>
          <w:lang w:val="en-US"/>
        </w:rPr>
        <w:t>C</w:t>
      </w:r>
      <w:r w:rsidRPr="00AF60AC">
        <w:rPr>
          <w:lang w:val="en-US"/>
        </w:rPr>
        <w:t xml:space="preserve"> securities</w:t>
      </w:r>
      <w:r w:rsidR="00B95063">
        <w:rPr>
          <w:lang w:val="en-US"/>
        </w:rPr>
        <w:t xml:space="preserve"> and JPMC Equivalents</w:t>
      </w:r>
      <w:r w:rsidRPr="00AF60AC">
        <w:rPr>
          <w:lang w:val="en-US"/>
        </w:rPr>
        <w:t xml:space="preserve">. This Blackout Period </w:t>
      </w:r>
      <w:r w:rsidR="00B95063">
        <w:rPr>
          <w:lang w:val="en-US"/>
        </w:rPr>
        <w:t xml:space="preserve">generally </w:t>
      </w:r>
      <w:r w:rsidRPr="00AF60AC">
        <w:rPr>
          <w:lang w:val="en-US"/>
        </w:rPr>
        <w:t>begins the day after the final day of every quarter and is lifted the day after the quarterly earnings announcement. Subject employees are strictly prohibited from trading JPM during the Quarterly Blackout Period.</w:t>
      </w:r>
    </w:p>
    <w:p w:rsidR="00AF60AC" w:rsidRPr="00AF60AC" w:rsidRDefault="00AF60AC" w:rsidP="005B6A71">
      <w:pPr>
        <w:pStyle w:val="Heading2"/>
        <w:rPr>
          <w:lang w:val="en-US"/>
        </w:rPr>
      </w:pPr>
      <w:bookmarkStart w:id="40" w:name="_Toc387164051"/>
      <w:r w:rsidRPr="00AF60AC">
        <w:rPr>
          <w:lang w:val="en-US"/>
        </w:rPr>
        <w:t xml:space="preserve">Do I have </w:t>
      </w:r>
      <w:r w:rsidR="00CC76F0">
        <w:rPr>
          <w:lang w:val="en-US"/>
        </w:rPr>
        <w:t xml:space="preserve">to </w:t>
      </w:r>
      <w:proofErr w:type="spellStart"/>
      <w:r w:rsidR="00CC76F0">
        <w:rPr>
          <w:lang w:val="en-US"/>
        </w:rPr>
        <w:t>preclear</w:t>
      </w:r>
      <w:proofErr w:type="spellEnd"/>
      <w:r w:rsidR="00CC76F0">
        <w:rPr>
          <w:lang w:val="en-US"/>
        </w:rPr>
        <w:t xml:space="preserve"> private investments – investments in non</w:t>
      </w:r>
      <w:r w:rsidRPr="00AF60AC">
        <w:rPr>
          <w:lang w:val="en-US"/>
        </w:rPr>
        <w:t xml:space="preserve"> investments in hedge funds or limited partnerships?</w:t>
      </w:r>
      <w:bookmarkEnd w:id="40"/>
    </w:p>
    <w:p w:rsidR="005B6A71" w:rsidRDefault="00AF60AC" w:rsidP="005B6A71">
      <w:pPr>
        <w:pStyle w:val="ListParagraph"/>
        <w:numPr>
          <w:ilvl w:val="0"/>
          <w:numId w:val="6"/>
        </w:numPr>
        <w:jc w:val="both"/>
        <w:rPr>
          <w:lang w:val="en-US"/>
        </w:rPr>
      </w:pPr>
      <w:r w:rsidRPr="00AF60AC">
        <w:rPr>
          <w:b/>
          <w:u w:val="single"/>
          <w:lang w:val="en-US"/>
        </w:rPr>
        <w:t>Yes</w:t>
      </w:r>
      <w:r w:rsidRPr="00AF60AC">
        <w:rPr>
          <w:lang w:val="en-US"/>
        </w:rPr>
        <w:t xml:space="preserve">, these </w:t>
      </w:r>
      <w:r w:rsidR="00B95063">
        <w:rPr>
          <w:lang w:val="en-US"/>
        </w:rPr>
        <w:t xml:space="preserve">private investments must be </w:t>
      </w:r>
      <w:proofErr w:type="spellStart"/>
      <w:r w:rsidR="00B95063">
        <w:rPr>
          <w:lang w:val="en-US"/>
        </w:rPr>
        <w:t>precleared</w:t>
      </w:r>
      <w:proofErr w:type="spellEnd"/>
      <w:r w:rsidR="00B95063">
        <w:rPr>
          <w:lang w:val="en-US"/>
        </w:rPr>
        <w:t xml:space="preserve"> and approved by t</w:t>
      </w:r>
      <w:r w:rsidRPr="00AF60AC">
        <w:rPr>
          <w:lang w:val="en-US"/>
        </w:rPr>
        <w:t xml:space="preserve">he Personal Account Dealing Group in order to prevent any potential conflicts of interest. You must fill out a </w:t>
      </w:r>
      <w:hyperlink r:id="rId15" w:history="1">
        <w:r w:rsidRPr="005B6A71">
          <w:rPr>
            <w:rStyle w:val="Hyperlink"/>
            <w:lang w:val="en-US"/>
          </w:rPr>
          <w:t>Clearance Form for Non-Public Investments</w:t>
        </w:r>
      </w:hyperlink>
      <w:r w:rsidRPr="00AF60AC">
        <w:rPr>
          <w:lang w:val="en-US"/>
        </w:rPr>
        <w:t xml:space="preserve"> which is to be reviewed and approved by your manager before you send the Clearance Form to PAD. </w:t>
      </w:r>
    </w:p>
    <w:p w:rsidR="00AF60AC" w:rsidRPr="00AF60AC" w:rsidRDefault="00B95063" w:rsidP="005B6A71">
      <w:pPr>
        <w:pStyle w:val="ListParagraph"/>
        <w:numPr>
          <w:ilvl w:val="0"/>
          <w:numId w:val="6"/>
        </w:numPr>
        <w:jc w:val="both"/>
        <w:rPr>
          <w:lang w:val="en-US"/>
        </w:rPr>
      </w:pPr>
      <w:r>
        <w:rPr>
          <w:lang w:val="en-US"/>
        </w:rPr>
        <w:t>The completed Form as well as</w:t>
      </w:r>
      <w:r w:rsidR="005B6A71">
        <w:rPr>
          <w:lang w:val="en-US"/>
        </w:rPr>
        <w:t xml:space="preserve"> any additional questions</w:t>
      </w:r>
      <w:r>
        <w:rPr>
          <w:lang w:val="en-US"/>
        </w:rPr>
        <w:t xml:space="preserve"> pertaining to private investments</w:t>
      </w:r>
      <w:r w:rsidR="005B6A71">
        <w:rPr>
          <w:lang w:val="en-US"/>
        </w:rPr>
        <w:t xml:space="preserve"> should be directed to </w:t>
      </w:r>
      <w:r w:rsidR="00371DEE">
        <w:rPr>
          <w:lang w:val="en-US"/>
        </w:rPr>
        <w:t xml:space="preserve">the </w:t>
      </w:r>
      <w:hyperlink r:id="rId16" w:history="1">
        <w:r w:rsidR="00371DEE" w:rsidRPr="00371DEE">
          <w:rPr>
            <w:rStyle w:val="Hyperlink"/>
            <w:lang w:val="en-US"/>
          </w:rPr>
          <w:t>Private Investment Mailbox</w:t>
        </w:r>
      </w:hyperlink>
      <w:r w:rsidR="00371DEE">
        <w:rPr>
          <w:lang w:val="en-US"/>
        </w:rPr>
        <w:t xml:space="preserve">. </w:t>
      </w:r>
    </w:p>
    <w:p w:rsidR="00AF60AC" w:rsidRPr="00AF60AC" w:rsidRDefault="00AF60AC" w:rsidP="005B6A71">
      <w:pPr>
        <w:pStyle w:val="Heading2"/>
        <w:rPr>
          <w:lang w:val="en-US"/>
        </w:rPr>
      </w:pPr>
      <w:bookmarkStart w:id="41" w:name="_Toc387164052"/>
      <w:r w:rsidRPr="00AF60AC">
        <w:rPr>
          <w:lang w:val="en-US"/>
        </w:rPr>
        <w:t xml:space="preserve">Do I have to </w:t>
      </w:r>
      <w:proofErr w:type="spellStart"/>
      <w:r w:rsidRPr="00AF60AC">
        <w:rPr>
          <w:lang w:val="en-US"/>
        </w:rPr>
        <w:t>preclear</w:t>
      </w:r>
      <w:proofErr w:type="spellEnd"/>
      <w:r w:rsidRPr="00AF60AC">
        <w:rPr>
          <w:lang w:val="en-US"/>
        </w:rPr>
        <w:t xml:space="preserve"> transactions in my children’s account?</w:t>
      </w:r>
      <w:bookmarkEnd w:id="41"/>
    </w:p>
    <w:p w:rsidR="00AF60AC" w:rsidRPr="00AF60AC" w:rsidRDefault="00AF60AC" w:rsidP="005B6A71">
      <w:pPr>
        <w:pStyle w:val="ListParagraph"/>
        <w:numPr>
          <w:ilvl w:val="0"/>
          <w:numId w:val="6"/>
        </w:numPr>
        <w:jc w:val="both"/>
        <w:rPr>
          <w:lang w:val="en-US"/>
        </w:rPr>
      </w:pPr>
      <w:r w:rsidRPr="00AF60AC">
        <w:rPr>
          <w:b/>
          <w:u w:val="single"/>
          <w:lang w:val="en-US"/>
        </w:rPr>
        <w:t>Yes</w:t>
      </w:r>
      <w:r w:rsidRPr="00AF60AC">
        <w:rPr>
          <w:lang w:val="en-US"/>
        </w:rPr>
        <w:t>.  Any account where the owner is financially dependent upon you or your spouse/domestic partner, or you make or have the ability to make the investment decisions or give investment advice is subject to the preclearance policy.</w:t>
      </w:r>
    </w:p>
    <w:p w:rsidR="00AF60AC" w:rsidRPr="00AF60AC" w:rsidRDefault="00AF60AC" w:rsidP="005B6A71">
      <w:pPr>
        <w:pStyle w:val="Heading2"/>
        <w:rPr>
          <w:lang w:val="en-US"/>
        </w:rPr>
      </w:pPr>
      <w:bookmarkStart w:id="42" w:name="_Toc387164053"/>
      <w:r w:rsidRPr="00AF60AC">
        <w:rPr>
          <w:lang w:val="en-US"/>
        </w:rPr>
        <w:t>Do I need preclearance for securities I had before I joined the firm?</w:t>
      </w:r>
      <w:bookmarkEnd w:id="42"/>
      <w:r w:rsidRPr="00AF60AC">
        <w:rPr>
          <w:lang w:val="en-US"/>
        </w:rPr>
        <w:t xml:space="preserve"> </w:t>
      </w:r>
    </w:p>
    <w:p w:rsidR="00B95063" w:rsidRDefault="00AF60AC" w:rsidP="005B6A71">
      <w:pPr>
        <w:pStyle w:val="ListParagraph"/>
        <w:numPr>
          <w:ilvl w:val="0"/>
          <w:numId w:val="6"/>
        </w:numPr>
        <w:jc w:val="both"/>
        <w:rPr>
          <w:lang w:val="en-US"/>
        </w:rPr>
      </w:pPr>
      <w:r w:rsidRPr="00AF60AC">
        <w:rPr>
          <w:lang w:val="en-US"/>
        </w:rPr>
        <w:t xml:space="preserve">If you want to add to an existing position or sell stock you had prior to your employment with the firm, preclearance is required. </w:t>
      </w:r>
    </w:p>
    <w:p w:rsidR="00AF60AC" w:rsidRDefault="00AF60AC" w:rsidP="005B6A71">
      <w:pPr>
        <w:pStyle w:val="ListParagraph"/>
        <w:numPr>
          <w:ilvl w:val="0"/>
          <w:numId w:val="6"/>
        </w:numPr>
        <w:jc w:val="both"/>
        <w:rPr>
          <w:lang w:val="en-US"/>
        </w:rPr>
      </w:pPr>
      <w:r w:rsidRPr="00AF60AC">
        <w:rPr>
          <w:lang w:val="en-US"/>
        </w:rPr>
        <w:t xml:space="preserve">Remember, as a new hire </w:t>
      </w:r>
      <w:r w:rsidR="00B95063">
        <w:rPr>
          <w:lang w:val="en-US"/>
        </w:rPr>
        <w:t xml:space="preserve">you must </w:t>
      </w:r>
      <w:r w:rsidRPr="00AF60AC">
        <w:rPr>
          <w:lang w:val="en-US"/>
        </w:rPr>
        <w:t xml:space="preserve">disclose all of your </w:t>
      </w:r>
      <w:r w:rsidR="00B95063">
        <w:rPr>
          <w:lang w:val="en-US"/>
        </w:rPr>
        <w:t>current account information to t</w:t>
      </w:r>
      <w:r w:rsidRPr="00AF60AC">
        <w:rPr>
          <w:lang w:val="en-US"/>
        </w:rPr>
        <w:t>he Personal Account Dealing Group immediately. You will have 30 days to transfer any accounts that are not in compliance with our policy. Once you disclose your accounts, a member of the Personal Account Dealing Group will contact you and help you through the process.</w:t>
      </w:r>
    </w:p>
    <w:p w:rsidR="005B6A71" w:rsidRDefault="005B6A71" w:rsidP="005B6A71">
      <w:pPr>
        <w:rPr>
          <w:lang w:val="en-US"/>
        </w:rPr>
      </w:pPr>
    </w:p>
    <w:p w:rsidR="005B6A71" w:rsidRPr="005B6A71" w:rsidRDefault="005B6A71" w:rsidP="00B95063">
      <w:pPr>
        <w:ind w:left="0"/>
        <w:rPr>
          <w:lang w:val="en-US"/>
        </w:rPr>
      </w:pPr>
    </w:p>
    <w:p w:rsidR="004537D3" w:rsidRDefault="004537D3" w:rsidP="004537D3">
      <w:pPr>
        <w:pStyle w:val="Heading1"/>
      </w:pPr>
      <w:bookmarkStart w:id="43" w:name="_Toc387164054"/>
      <w:bookmarkStart w:id="44" w:name="_Toc356915155"/>
      <w:r>
        <w:lastRenderedPageBreak/>
        <w:t>Defined Terms</w:t>
      </w:r>
      <w:bookmarkEnd w:id="43"/>
      <w:r>
        <w:t xml:space="preserve"> </w:t>
      </w:r>
      <w:bookmarkEnd w:id="44"/>
    </w:p>
    <w:tbl>
      <w:tblPr>
        <w:tblW w:w="8568" w:type="dxa"/>
        <w:tblInd w:w="612" w:type="dxa"/>
        <w:tblBorders>
          <w:top w:val="single" w:sz="12" w:space="0" w:color="FFFFFF"/>
          <w:left w:val="single" w:sz="12" w:space="0" w:color="FFFFFF"/>
          <w:bottom w:val="single" w:sz="6" w:space="0" w:color="A1BCDF"/>
          <w:right w:val="single" w:sz="12" w:space="0" w:color="FFFFFF"/>
          <w:insideH w:val="single" w:sz="12" w:space="0" w:color="FFFFFF"/>
          <w:insideV w:val="single" w:sz="12" w:space="0" w:color="FFFFFF"/>
        </w:tblBorders>
        <w:tblLook w:val="04A0"/>
      </w:tblPr>
      <w:tblGrid>
        <w:gridCol w:w="1728"/>
        <w:gridCol w:w="6840"/>
      </w:tblGrid>
      <w:tr w:rsidR="004537D3" w:rsidRPr="00ED6D8B" w:rsidTr="00B05C95">
        <w:tc>
          <w:tcPr>
            <w:tcW w:w="1728" w:type="dxa"/>
            <w:shd w:val="clear" w:color="auto" w:fill="A1BCDF"/>
            <w:tcMar>
              <w:top w:w="72" w:type="dxa"/>
              <w:left w:w="72" w:type="dxa"/>
              <w:bottom w:w="72" w:type="dxa"/>
              <w:right w:w="72" w:type="dxa"/>
            </w:tcMar>
          </w:tcPr>
          <w:p w:rsidR="004537D3" w:rsidRDefault="00780E62" w:rsidP="00B05C95">
            <w:pPr>
              <w:pStyle w:val="TableHeading"/>
            </w:pPr>
            <w:r>
              <w:t>Employee-Associated</w:t>
            </w:r>
            <w:r w:rsidR="00DC23AC">
              <w:t xml:space="preserve"> Accounts</w:t>
            </w:r>
          </w:p>
        </w:tc>
        <w:tc>
          <w:tcPr>
            <w:tcW w:w="6840" w:type="dxa"/>
            <w:shd w:val="clear" w:color="auto" w:fill="DFE8F4"/>
            <w:tcMar>
              <w:top w:w="72" w:type="dxa"/>
              <w:left w:w="72" w:type="dxa"/>
              <w:bottom w:w="72" w:type="dxa"/>
              <w:right w:w="72" w:type="dxa"/>
            </w:tcMar>
          </w:tcPr>
          <w:p w:rsidR="00DC23AC" w:rsidRPr="00DC23AC" w:rsidRDefault="00DC23AC" w:rsidP="00DC23AC">
            <w:pPr>
              <w:pStyle w:val="TableBody"/>
              <w:rPr>
                <w:lang w:val="en-US"/>
              </w:rPr>
            </w:pPr>
            <w:r w:rsidRPr="00DC23AC">
              <w:rPr>
                <w:bCs/>
                <w:lang w:val="en-US"/>
              </w:rPr>
              <w:t>An</w:t>
            </w:r>
            <w:r w:rsidRPr="00DC23AC">
              <w:rPr>
                <w:b/>
                <w:bCs/>
                <w:lang w:val="en-US"/>
              </w:rPr>
              <w:t xml:space="preserve"> Employee-Associated </w:t>
            </w:r>
            <w:r w:rsidRPr="00DC23AC">
              <w:rPr>
                <w:bCs/>
                <w:lang w:val="en-US"/>
              </w:rPr>
              <w:t>account</w:t>
            </w:r>
            <w:r w:rsidRPr="00DC23AC">
              <w:rPr>
                <w:b/>
                <w:bCs/>
                <w:lang w:val="en-US"/>
              </w:rPr>
              <w:t xml:space="preserve"> </w:t>
            </w:r>
            <w:r w:rsidRPr="00DC23AC">
              <w:rPr>
                <w:bCs/>
                <w:lang w:val="en-US"/>
              </w:rPr>
              <w:t>is one:</w:t>
            </w:r>
            <w:r w:rsidRPr="00DC23AC">
              <w:rPr>
                <w:lang w:val="en-US"/>
              </w:rPr>
              <w:t xml:space="preserve"> </w:t>
            </w:r>
          </w:p>
          <w:p w:rsidR="00DC23AC" w:rsidRPr="00DC23AC" w:rsidRDefault="00DC23AC" w:rsidP="00DC23AC">
            <w:pPr>
              <w:pStyle w:val="TableBody"/>
              <w:rPr>
                <w:lang w:val="en-US"/>
              </w:rPr>
            </w:pPr>
            <w:r w:rsidRPr="00DC23AC">
              <w:rPr>
                <w:lang w:val="en-US"/>
              </w:rPr>
              <w:t xml:space="preserve">(a) That is maintained by you, your spouse, domestic partner, minor children, or any other person to whom you provide significant financial support; </w:t>
            </w:r>
          </w:p>
          <w:p w:rsidR="00DC23AC" w:rsidRPr="00DC23AC" w:rsidRDefault="00DC23AC" w:rsidP="00DC23AC">
            <w:pPr>
              <w:pStyle w:val="TableBody"/>
              <w:rPr>
                <w:lang w:val="en-US"/>
              </w:rPr>
            </w:pPr>
            <w:r w:rsidRPr="00DC23AC">
              <w:rPr>
                <w:lang w:val="en-US"/>
              </w:rPr>
              <w:t xml:space="preserve">(b) Over which you, or any of the other persons referred to in (a), have or share the power, directly or indirectly, to make investment decisions, regardless of beneficial interest; or </w:t>
            </w:r>
          </w:p>
          <w:p w:rsidR="004537D3" w:rsidRPr="00DC23AC" w:rsidRDefault="00DC23AC" w:rsidP="00B05C95">
            <w:pPr>
              <w:pStyle w:val="TableBody"/>
              <w:rPr>
                <w:lang w:val="en-US"/>
              </w:rPr>
            </w:pPr>
            <w:r w:rsidRPr="00DC23AC">
              <w:rPr>
                <w:lang w:val="en-US"/>
              </w:rPr>
              <w:t>(</w:t>
            </w:r>
            <w:proofErr w:type="gramStart"/>
            <w:r w:rsidRPr="00DC23AC">
              <w:rPr>
                <w:lang w:val="en-US"/>
              </w:rPr>
              <w:t>c</w:t>
            </w:r>
            <w:proofErr w:type="gramEnd"/>
            <w:r w:rsidRPr="00DC23AC">
              <w:rPr>
                <w:lang w:val="en-US"/>
              </w:rPr>
              <w:t xml:space="preserve">) That is established or maintained by you or with your consent or knowledge, and in which you have a direct or indirect financial interest. </w:t>
            </w:r>
          </w:p>
        </w:tc>
      </w:tr>
      <w:tr w:rsidR="00780E62" w:rsidRPr="00ED6D8B" w:rsidTr="00B05C95">
        <w:tc>
          <w:tcPr>
            <w:tcW w:w="1728" w:type="dxa"/>
            <w:shd w:val="clear" w:color="auto" w:fill="A1BCDF"/>
            <w:tcMar>
              <w:top w:w="72" w:type="dxa"/>
              <w:left w:w="72" w:type="dxa"/>
              <w:bottom w:w="72" w:type="dxa"/>
              <w:right w:w="72" w:type="dxa"/>
            </w:tcMar>
          </w:tcPr>
          <w:p w:rsidR="00780E62" w:rsidRDefault="00780E62" w:rsidP="00B05C95">
            <w:pPr>
              <w:pStyle w:val="TableHeading"/>
            </w:pPr>
            <w:r>
              <w:t>PAD</w:t>
            </w:r>
          </w:p>
        </w:tc>
        <w:tc>
          <w:tcPr>
            <w:tcW w:w="6840" w:type="dxa"/>
            <w:shd w:val="clear" w:color="auto" w:fill="DFE8F4"/>
            <w:tcMar>
              <w:top w:w="72" w:type="dxa"/>
              <w:left w:w="72" w:type="dxa"/>
              <w:bottom w:w="72" w:type="dxa"/>
              <w:right w:w="72" w:type="dxa"/>
            </w:tcMar>
          </w:tcPr>
          <w:p w:rsidR="00780E62" w:rsidRDefault="00780E62" w:rsidP="00B05C95">
            <w:pPr>
              <w:pStyle w:val="TableBody"/>
            </w:pPr>
            <w:r>
              <w:t>Personal Account Dealing</w:t>
            </w:r>
          </w:p>
        </w:tc>
      </w:tr>
    </w:tbl>
    <w:p w:rsidR="004537D3" w:rsidRDefault="005B6A71" w:rsidP="00DC23AC">
      <w:pPr>
        <w:pStyle w:val="Heading1"/>
      </w:pPr>
      <w:bookmarkStart w:id="45" w:name="_Toc387164055"/>
      <w:bookmarkStart w:id="46" w:name="_Toc356915157"/>
      <w:r>
        <w:t>F</w:t>
      </w:r>
      <w:r w:rsidR="004537D3">
        <w:t>irm References</w:t>
      </w:r>
      <w:bookmarkEnd w:id="45"/>
      <w:r w:rsidR="004537D3">
        <w:t xml:space="preserve"> </w:t>
      </w:r>
      <w:bookmarkEnd w:id="46"/>
    </w:p>
    <w:tbl>
      <w:tblPr>
        <w:tblW w:w="8568" w:type="dxa"/>
        <w:tblInd w:w="612" w:type="dxa"/>
        <w:tblBorders>
          <w:top w:val="single" w:sz="12" w:space="0" w:color="FFFFFF"/>
          <w:left w:val="single" w:sz="12" w:space="0" w:color="FFFFFF"/>
          <w:bottom w:val="single" w:sz="6" w:space="0" w:color="A1BCDF"/>
          <w:right w:val="single" w:sz="12" w:space="0" w:color="FFFFFF"/>
          <w:insideH w:val="single" w:sz="12" w:space="0" w:color="FFFFFF"/>
          <w:insideV w:val="single" w:sz="12" w:space="0" w:color="FFFFFF"/>
        </w:tblBorders>
        <w:tblLook w:val="04A0"/>
      </w:tblPr>
      <w:tblGrid>
        <w:gridCol w:w="2160"/>
        <w:gridCol w:w="6408"/>
      </w:tblGrid>
      <w:tr w:rsidR="0067255A" w:rsidRPr="000A731D" w:rsidTr="00B05C95">
        <w:tc>
          <w:tcPr>
            <w:tcW w:w="2160" w:type="dxa"/>
            <w:shd w:val="clear" w:color="auto" w:fill="A1BCDF"/>
            <w:tcMar>
              <w:top w:w="72" w:type="dxa"/>
              <w:left w:w="72" w:type="dxa"/>
              <w:bottom w:w="72" w:type="dxa"/>
              <w:right w:w="72" w:type="dxa"/>
            </w:tcMar>
          </w:tcPr>
          <w:p w:rsidR="0067255A" w:rsidRPr="00EB3A1E" w:rsidRDefault="0067255A" w:rsidP="00B05C95">
            <w:pPr>
              <w:pStyle w:val="TableHeading"/>
            </w:pPr>
            <w:r w:rsidRPr="00EB3A1E">
              <w:t>Other Firm Policies</w:t>
            </w:r>
          </w:p>
        </w:tc>
        <w:tc>
          <w:tcPr>
            <w:tcW w:w="6408" w:type="dxa"/>
            <w:shd w:val="clear" w:color="auto" w:fill="DFE8F4"/>
            <w:tcMar>
              <w:top w:w="72" w:type="dxa"/>
              <w:left w:w="72" w:type="dxa"/>
              <w:bottom w:w="72" w:type="dxa"/>
              <w:right w:w="72" w:type="dxa"/>
            </w:tcMar>
          </w:tcPr>
          <w:p w:rsidR="003F4FA6" w:rsidRDefault="00AC331E" w:rsidP="00B05C95">
            <w:pPr>
              <w:pStyle w:val="TableBullet1"/>
            </w:pPr>
            <w:hyperlink r:id="rId17" w:history="1">
              <w:r w:rsidR="003F4FA6" w:rsidRPr="003F4FA6">
                <w:rPr>
                  <w:rStyle w:val="Hyperlink"/>
                </w:rPr>
                <w:t>Code of Conduct</w:t>
              </w:r>
            </w:hyperlink>
            <w:r w:rsidR="003F4FA6">
              <w:t xml:space="preserve"> </w:t>
            </w:r>
          </w:p>
          <w:p w:rsidR="003F4FA6" w:rsidRDefault="00AC331E" w:rsidP="00B05C95">
            <w:pPr>
              <w:pStyle w:val="TableBullet1"/>
            </w:pPr>
            <w:hyperlink r:id="rId18" w:history="1">
              <w:r w:rsidR="003F4FA6" w:rsidRPr="003F4FA6">
                <w:rPr>
                  <w:rStyle w:val="Hyperlink"/>
                </w:rPr>
                <w:t>Personal Account Dealing Policy – U.S. Designated Broker Summary</w:t>
              </w:r>
            </w:hyperlink>
          </w:p>
          <w:p w:rsidR="003A5C67" w:rsidRDefault="00AC331E" w:rsidP="00B05C95">
            <w:pPr>
              <w:pStyle w:val="TableBullet1"/>
            </w:pPr>
            <w:hyperlink r:id="rId19" w:history="1">
              <w:r w:rsidR="003A5C67" w:rsidRPr="003A5C67">
                <w:rPr>
                  <w:rStyle w:val="Hyperlink"/>
                </w:rPr>
                <w:t>Personal Account Dealing Policy – Global</w:t>
              </w:r>
            </w:hyperlink>
          </w:p>
          <w:p w:rsidR="004B7797" w:rsidRDefault="00AC331E" w:rsidP="00B95063">
            <w:pPr>
              <w:pStyle w:val="TableBullet1"/>
            </w:pPr>
            <w:hyperlink r:id="rId20" w:history="1">
              <w:r w:rsidR="003A5C67" w:rsidRPr="003A5C67">
                <w:rPr>
                  <w:rStyle w:val="Hyperlink"/>
                </w:rPr>
                <w:t>Personal Account Dealing Policy and Procedure- U.S. Supplement</w:t>
              </w:r>
            </w:hyperlink>
          </w:p>
          <w:p w:rsidR="00B95063" w:rsidRPr="000746B9" w:rsidRDefault="00AC331E" w:rsidP="00B95063">
            <w:pPr>
              <w:pStyle w:val="TableBullet1"/>
            </w:pPr>
            <w:hyperlink r:id="rId21" w:history="1">
              <w:r w:rsidR="00B95063" w:rsidRPr="00E81598">
                <w:rPr>
                  <w:rStyle w:val="Hyperlink"/>
                </w:rPr>
                <w:t>Personal Account Dealing Policy – Global Corporate &amp; Investment Bank</w:t>
              </w:r>
            </w:hyperlink>
          </w:p>
        </w:tc>
      </w:tr>
      <w:tr w:rsidR="0067255A" w:rsidRPr="000A731D" w:rsidTr="00B05C95">
        <w:tc>
          <w:tcPr>
            <w:tcW w:w="2160" w:type="dxa"/>
            <w:shd w:val="clear" w:color="auto" w:fill="A1BCDF"/>
            <w:tcMar>
              <w:top w:w="72" w:type="dxa"/>
              <w:left w:w="72" w:type="dxa"/>
              <w:bottom w:w="72" w:type="dxa"/>
              <w:right w:w="72" w:type="dxa"/>
            </w:tcMar>
          </w:tcPr>
          <w:p w:rsidR="0067255A" w:rsidRPr="00EB3A1E" w:rsidRDefault="0067255A" w:rsidP="00B05C95">
            <w:pPr>
              <w:pStyle w:val="TableHeading"/>
            </w:pPr>
            <w:r w:rsidRPr="00EB3A1E">
              <w:t>Forms</w:t>
            </w:r>
            <w:r>
              <w:t>/Systems</w:t>
            </w:r>
          </w:p>
        </w:tc>
        <w:tc>
          <w:tcPr>
            <w:tcW w:w="6408" w:type="dxa"/>
            <w:shd w:val="clear" w:color="auto" w:fill="DFE8F4"/>
            <w:tcMar>
              <w:top w:w="72" w:type="dxa"/>
              <w:left w:w="72" w:type="dxa"/>
              <w:bottom w:w="72" w:type="dxa"/>
              <w:right w:w="72" w:type="dxa"/>
            </w:tcMar>
          </w:tcPr>
          <w:p w:rsidR="0067255A" w:rsidRDefault="00AC331E" w:rsidP="00B05C95">
            <w:pPr>
              <w:pStyle w:val="TableBullet1"/>
            </w:pPr>
            <w:hyperlink r:id="rId22" w:history="1">
              <w:r w:rsidR="00FD17F7" w:rsidRPr="00FD17F7">
                <w:rPr>
                  <w:rStyle w:val="Hyperlink"/>
                </w:rPr>
                <w:t>Employee Compliance Portal</w:t>
              </w:r>
            </w:hyperlink>
            <w:r w:rsidR="00FD17F7">
              <w:t xml:space="preserve"> </w:t>
            </w:r>
          </w:p>
          <w:p w:rsidR="00371DEE" w:rsidRPr="000746B9" w:rsidRDefault="00AC331E" w:rsidP="00B05C95">
            <w:pPr>
              <w:pStyle w:val="TableBullet1"/>
            </w:pPr>
            <w:hyperlink r:id="rId23" w:history="1">
              <w:r w:rsidR="00371DEE" w:rsidRPr="005B6A71">
                <w:rPr>
                  <w:rStyle w:val="Hyperlink"/>
                  <w:lang w:val="en-US"/>
                </w:rPr>
                <w:t>Clearance Form for Non-Public Investments</w:t>
              </w:r>
            </w:hyperlink>
          </w:p>
        </w:tc>
      </w:tr>
    </w:tbl>
    <w:p w:rsidR="004537D3" w:rsidRDefault="004537D3" w:rsidP="0067255A">
      <w:pPr>
        <w:pStyle w:val="Heading1"/>
      </w:pPr>
      <w:bookmarkStart w:id="47" w:name="_Toc387164056"/>
      <w:bookmarkStart w:id="48" w:name="_Toc356915158"/>
      <w:r>
        <w:t>Document Information</w:t>
      </w:r>
      <w:bookmarkEnd w:id="47"/>
      <w:r>
        <w:t xml:space="preserve"> </w:t>
      </w:r>
      <w:bookmarkEnd w:id="48"/>
    </w:p>
    <w:tbl>
      <w:tblPr>
        <w:tblW w:w="8892" w:type="dxa"/>
        <w:tblInd w:w="612" w:type="dxa"/>
        <w:tblBorders>
          <w:top w:val="single" w:sz="12" w:space="0" w:color="FFFFFF"/>
          <w:left w:val="single" w:sz="12" w:space="0" w:color="FFFFFF"/>
          <w:bottom w:val="single" w:sz="6" w:space="0" w:color="A1BCDF"/>
          <w:right w:val="single" w:sz="12" w:space="0" w:color="FFFFFF"/>
          <w:insideH w:val="single" w:sz="12" w:space="0" w:color="FFFFFF"/>
          <w:insideV w:val="single" w:sz="12" w:space="0" w:color="FFFFFF"/>
        </w:tblBorders>
        <w:tblLook w:val="06A0"/>
      </w:tblPr>
      <w:tblGrid>
        <w:gridCol w:w="2704"/>
        <w:gridCol w:w="1547"/>
        <w:gridCol w:w="1547"/>
        <w:gridCol w:w="1547"/>
        <w:gridCol w:w="1547"/>
      </w:tblGrid>
      <w:tr w:rsidR="00345925" w:rsidRPr="005D48F7" w:rsidTr="00AE52F7">
        <w:tc>
          <w:tcPr>
            <w:tcW w:w="2704" w:type="dxa"/>
            <w:shd w:val="clear" w:color="auto" w:fill="A1BCDF"/>
            <w:tcMar>
              <w:top w:w="72" w:type="dxa"/>
              <w:left w:w="72" w:type="dxa"/>
              <w:bottom w:w="72" w:type="dxa"/>
              <w:right w:w="72" w:type="dxa"/>
            </w:tcMar>
          </w:tcPr>
          <w:p w:rsidR="00345925" w:rsidRPr="005D48F7" w:rsidRDefault="00345925" w:rsidP="00B05C95">
            <w:pPr>
              <w:pStyle w:val="TableHeading"/>
              <w:rPr>
                <w:szCs w:val="16"/>
              </w:rPr>
            </w:pPr>
            <w:r>
              <w:rPr>
                <w:szCs w:val="16"/>
              </w:rPr>
              <w:t xml:space="preserve">Policy </w:t>
            </w:r>
            <w:r w:rsidRPr="005D48F7">
              <w:rPr>
                <w:szCs w:val="16"/>
              </w:rPr>
              <w:t>Owner / Primary Contact / Secondary Contact</w:t>
            </w:r>
            <w:r>
              <w:rPr>
                <w:szCs w:val="16"/>
              </w:rPr>
              <w:t>/Policy Manager</w:t>
            </w:r>
          </w:p>
        </w:tc>
        <w:tc>
          <w:tcPr>
            <w:tcW w:w="1547" w:type="dxa"/>
            <w:shd w:val="clear" w:color="auto" w:fill="DFE8F4"/>
            <w:tcMar>
              <w:top w:w="72" w:type="dxa"/>
              <w:left w:w="72" w:type="dxa"/>
              <w:bottom w:w="72" w:type="dxa"/>
              <w:right w:w="72" w:type="dxa"/>
            </w:tcMar>
          </w:tcPr>
          <w:p w:rsidR="00345925" w:rsidRDefault="00FA7A30" w:rsidP="005B6A71">
            <w:pPr>
              <w:pStyle w:val="TableBody"/>
            </w:pPr>
            <w:r>
              <w:t>Andrew Pfaff, Executive Director</w:t>
            </w:r>
          </w:p>
        </w:tc>
        <w:tc>
          <w:tcPr>
            <w:tcW w:w="1547" w:type="dxa"/>
            <w:shd w:val="clear" w:color="auto" w:fill="DFE8F4"/>
          </w:tcPr>
          <w:p w:rsidR="00345925" w:rsidRDefault="00FA7A30" w:rsidP="005B6A71">
            <w:pPr>
              <w:pStyle w:val="TableBody"/>
            </w:pPr>
            <w:r>
              <w:t>Andrew Pfaff, Executive Director</w:t>
            </w:r>
          </w:p>
        </w:tc>
        <w:tc>
          <w:tcPr>
            <w:tcW w:w="1547" w:type="dxa"/>
            <w:shd w:val="clear" w:color="auto" w:fill="DFE8F4"/>
          </w:tcPr>
          <w:p w:rsidR="00345925" w:rsidRPr="000746B9" w:rsidRDefault="00FA7A30" w:rsidP="00F17110">
            <w:pPr>
              <w:pStyle w:val="TableBody"/>
            </w:pPr>
            <w:r>
              <w:t>Mary Romano, Executive Director</w:t>
            </w:r>
          </w:p>
        </w:tc>
        <w:tc>
          <w:tcPr>
            <w:tcW w:w="1547" w:type="dxa"/>
            <w:shd w:val="clear" w:color="auto" w:fill="DFE8F4"/>
          </w:tcPr>
          <w:p w:rsidR="00F17110" w:rsidRPr="000746B9" w:rsidRDefault="00FA7A30" w:rsidP="00B05C95">
            <w:pPr>
              <w:pStyle w:val="TableBody"/>
            </w:pPr>
            <w:r>
              <w:t>Samuel Siegel, Vice President</w:t>
            </w:r>
          </w:p>
        </w:tc>
      </w:tr>
      <w:tr w:rsidR="00345925" w:rsidRPr="005D48F7" w:rsidTr="00AE3877">
        <w:tc>
          <w:tcPr>
            <w:tcW w:w="2704" w:type="dxa"/>
            <w:shd w:val="clear" w:color="auto" w:fill="A1BCDF"/>
            <w:tcMar>
              <w:top w:w="72" w:type="dxa"/>
              <w:left w:w="72" w:type="dxa"/>
              <w:bottom w:w="72" w:type="dxa"/>
              <w:right w:w="72" w:type="dxa"/>
            </w:tcMar>
          </w:tcPr>
          <w:p w:rsidR="00345925" w:rsidRPr="005D48F7" w:rsidRDefault="00345925" w:rsidP="00B05C95">
            <w:pPr>
              <w:pStyle w:val="TableHeading"/>
              <w:rPr>
                <w:szCs w:val="16"/>
              </w:rPr>
            </w:pPr>
            <w:r>
              <w:rPr>
                <w:szCs w:val="16"/>
              </w:rPr>
              <w:t xml:space="preserve">Policy Owner’s </w:t>
            </w:r>
            <w:r w:rsidRPr="005D48F7">
              <w:rPr>
                <w:szCs w:val="16"/>
              </w:rPr>
              <w:t>Function or Line of Business</w:t>
            </w:r>
            <w:r>
              <w:rPr>
                <w:szCs w:val="16"/>
              </w:rPr>
              <w:t>/Region/Country</w:t>
            </w:r>
          </w:p>
        </w:tc>
        <w:tc>
          <w:tcPr>
            <w:tcW w:w="6188" w:type="dxa"/>
            <w:gridSpan w:val="4"/>
            <w:shd w:val="clear" w:color="auto" w:fill="DFE8F4"/>
            <w:tcMar>
              <w:top w:w="72" w:type="dxa"/>
              <w:left w:w="72" w:type="dxa"/>
              <w:bottom w:w="72" w:type="dxa"/>
              <w:right w:w="72" w:type="dxa"/>
            </w:tcMar>
          </w:tcPr>
          <w:p w:rsidR="00345925" w:rsidRPr="000746B9" w:rsidRDefault="004B7797" w:rsidP="00B05C95">
            <w:pPr>
              <w:pStyle w:val="TableBody"/>
            </w:pPr>
            <w:r>
              <w:t xml:space="preserve">Compliance </w:t>
            </w:r>
          </w:p>
        </w:tc>
      </w:tr>
      <w:tr w:rsidR="00345925" w:rsidRPr="005D48F7" w:rsidTr="00AE3877">
        <w:tc>
          <w:tcPr>
            <w:tcW w:w="2704" w:type="dxa"/>
            <w:shd w:val="clear" w:color="auto" w:fill="A1BCDF"/>
            <w:tcMar>
              <w:top w:w="72" w:type="dxa"/>
              <w:left w:w="72" w:type="dxa"/>
              <w:bottom w:w="72" w:type="dxa"/>
              <w:right w:w="72" w:type="dxa"/>
            </w:tcMar>
          </w:tcPr>
          <w:p w:rsidR="00345925" w:rsidRPr="005D48F7" w:rsidRDefault="00345925" w:rsidP="00B05C95">
            <w:pPr>
              <w:pStyle w:val="TableHeading"/>
              <w:rPr>
                <w:szCs w:val="16"/>
              </w:rPr>
            </w:pPr>
            <w:r>
              <w:rPr>
                <w:szCs w:val="16"/>
              </w:rPr>
              <w:t>Policy Approver</w:t>
            </w:r>
          </w:p>
        </w:tc>
        <w:tc>
          <w:tcPr>
            <w:tcW w:w="6188" w:type="dxa"/>
            <w:gridSpan w:val="4"/>
            <w:shd w:val="clear" w:color="auto" w:fill="DFE8F4"/>
            <w:tcMar>
              <w:top w:w="72" w:type="dxa"/>
              <w:left w:w="72" w:type="dxa"/>
              <w:bottom w:w="72" w:type="dxa"/>
              <w:right w:w="72" w:type="dxa"/>
            </w:tcMar>
          </w:tcPr>
          <w:p w:rsidR="00345925" w:rsidRPr="000746B9" w:rsidRDefault="004B7797" w:rsidP="00B05C95">
            <w:pPr>
              <w:pStyle w:val="TableBody"/>
            </w:pPr>
            <w:r>
              <w:t xml:space="preserve">Andrew Pfaff </w:t>
            </w:r>
          </w:p>
        </w:tc>
      </w:tr>
      <w:tr w:rsidR="00345925" w:rsidRPr="005D48F7" w:rsidTr="00AE3877">
        <w:tc>
          <w:tcPr>
            <w:tcW w:w="2704" w:type="dxa"/>
            <w:shd w:val="clear" w:color="auto" w:fill="A1BCDF"/>
            <w:tcMar>
              <w:top w:w="72" w:type="dxa"/>
              <w:left w:w="72" w:type="dxa"/>
              <w:bottom w:w="72" w:type="dxa"/>
              <w:right w:w="72" w:type="dxa"/>
            </w:tcMar>
          </w:tcPr>
          <w:p w:rsidR="00345925" w:rsidRDefault="00345925" w:rsidP="004B7797">
            <w:pPr>
              <w:pStyle w:val="TableHeading"/>
              <w:rPr>
                <w:szCs w:val="16"/>
              </w:rPr>
            </w:pPr>
            <w:r>
              <w:rPr>
                <w:szCs w:val="16"/>
              </w:rPr>
              <w:t>Original Effective Date</w:t>
            </w:r>
          </w:p>
        </w:tc>
        <w:tc>
          <w:tcPr>
            <w:tcW w:w="6188" w:type="dxa"/>
            <w:gridSpan w:val="4"/>
            <w:shd w:val="clear" w:color="auto" w:fill="DFE8F4"/>
            <w:tcMar>
              <w:top w:w="72" w:type="dxa"/>
              <w:left w:w="72" w:type="dxa"/>
              <w:bottom w:w="72" w:type="dxa"/>
              <w:right w:w="72" w:type="dxa"/>
            </w:tcMar>
          </w:tcPr>
          <w:p w:rsidR="00345925" w:rsidRDefault="005B6A71" w:rsidP="00B05C95">
            <w:pPr>
              <w:pStyle w:val="TableBody"/>
            </w:pPr>
            <w:r>
              <w:t>November 20</w:t>
            </w:r>
            <w:r w:rsidR="004B7797">
              <w:t>, 20</w:t>
            </w:r>
            <w:r>
              <w:t>05</w:t>
            </w:r>
          </w:p>
        </w:tc>
      </w:tr>
      <w:tr w:rsidR="00345925" w:rsidRPr="005D48F7" w:rsidTr="00AE3877">
        <w:tc>
          <w:tcPr>
            <w:tcW w:w="2704" w:type="dxa"/>
            <w:shd w:val="clear" w:color="auto" w:fill="A1BCDF"/>
            <w:tcMar>
              <w:top w:w="72" w:type="dxa"/>
              <w:left w:w="72" w:type="dxa"/>
              <w:bottom w:w="72" w:type="dxa"/>
              <w:right w:w="72" w:type="dxa"/>
            </w:tcMar>
          </w:tcPr>
          <w:p w:rsidR="00345925" w:rsidRDefault="004B7797" w:rsidP="00F81F1A">
            <w:pPr>
              <w:pStyle w:val="TableHeading"/>
              <w:rPr>
                <w:szCs w:val="16"/>
              </w:rPr>
            </w:pPr>
            <w:r>
              <w:rPr>
                <w:szCs w:val="16"/>
              </w:rPr>
              <w:t>Last Review Date</w:t>
            </w:r>
          </w:p>
        </w:tc>
        <w:tc>
          <w:tcPr>
            <w:tcW w:w="6188" w:type="dxa"/>
            <w:gridSpan w:val="4"/>
            <w:shd w:val="clear" w:color="auto" w:fill="DFE8F4"/>
            <w:tcMar>
              <w:top w:w="72" w:type="dxa"/>
              <w:left w:w="72" w:type="dxa"/>
              <w:bottom w:w="72" w:type="dxa"/>
              <w:right w:w="72" w:type="dxa"/>
            </w:tcMar>
          </w:tcPr>
          <w:p w:rsidR="00345925" w:rsidRDefault="00F17110" w:rsidP="002910ED">
            <w:pPr>
              <w:pStyle w:val="TableBody"/>
            </w:pPr>
            <w:r>
              <w:t>May 7, 2014</w:t>
            </w:r>
          </w:p>
        </w:tc>
      </w:tr>
      <w:tr w:rsidR="00345925" w:rsidRPr="005D48F7" w:rsidTr="00AE3877">
        <w:tc>
          <w:tcPr>
            <w:tcW w:w="2704" w:type="dxa"/>
            <w:shd w:val="clear" w:color="auto" w:fill="A1BCDF"/>
            <w:tcMar>
              <w:top w:w="72" w:type="dxa"/>
              <w:left w:w="72" w:type="dxa"/>
              <w:bottom w:w="72" w:type="dxa"/>
              <w:right w:w="72" w:type="dxa"/>
            </w:tcMar>
          </w:tcPr>
          <w:p w:rsidR="00345925" w:rsidRPr="005D48F7" w:rsidRDefault="004B7797" w:rsidP="004B7797">
            <w:pPr>
              <w:pStyle w:val="TableHeading"/>
              <w:rPr>
                <w:szCs w:val="16"/>
              </w:rPr>
            </w:pPr>
            <w:r>
              <w:rPr>
                <w:szCs w:val="16"/>
              </w:rPr>
              <w:t>Contact Information</w:t>
            </w:r>
          </w:p>
        </w:tc>
        <w:tc>
          <w:tcPr>
            <w:tcW w:w="6188" w:type="dxa"/>
            <w:gridSpan w:val="4"/>
            <w:shd w:val="clear" w:color="auto" w:fill="DFE8F4"/>
            <w:tcMar>
              <w:top w:w="72" w:type="dxa"/>
              <w:left w:w="72" w:type="dxa"/>
              <w:bottom w:w="72" w:type="dxa"/>
              <w:right w:w="72" w:type="dxa"/>
            </w:tcMar>
          </w:tcPr>
          <w:p w:rsidR="00345925" w:rsidRDefault="004B7797" w:rsidP="005B6A71">
            <w:pPr>
              <w:pStyle w:val="TableBody"/>
            </w:pPr>
            <w:r>
              <w:t xml:space="preserve">For any questions pertaining to the personal trading policies, please contact the PAD Group via </w:t>
            </w:r>
            <w:r>
              <w:rPr>
                <w:b/>
              </w:rPr>
              <w:t>E</w:t>
            </w:r>
            <w:r w:rsidRPr="004B7797">
              <w:rPr>
                <w:b/>
              </w:rPr>
              <w:t>-mail</w:t>
            </w:r>
            <w:r>
              <w:t xml:space="preserve"> (</w:t>
            </w:r>
            <w:hyperlink r:id="rId24" w:history="1">
              <w:r w:rsidRPr="00B02041">
                <w:rPr>
                  <w:rStyle w:val="Hyperlink"/>
                </w:rPr>
                <w:t>LC_-_NY_Preclearance_Team@jpmchase.com</w:t>
              </w:r>
            </w:hyperlink>
            <w:r>
              <w:t xml:space="preserve">). </w:t>
            </w:r>
          </w:p>
        </w:tc>
      </w:tr>
      <w:bookmarkEnd w:id="0"/>
    </w:tbl>
    <w:p w:rsidR="004537D3" w:rsidRDefault="004537D3" w:rsidP="0067255A"/>
    <w:sectPr w:rsidR="004537D3" w:rsidSect="007245E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EA5" w:rsidRDefault="00E94EA5" w:rsidP="0067255A">
      <w:pPr>
        <w:spacing w:after="0"/>
      </w:pPr>
      <w:r>
        <w:separator/>
      </w:r>
    </w:p>
  </w:endnote>
  <w:endnote w:type="continuationSeparator" w:id="0">
    <w:p w:rsidR="00E94EA5" w:rsidRDefault="00E94EA5" w:rsidP="0067255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063" w:rsidRDefault="00B95063">
    <w:pPr>
      <w:pStyle w:val="Footer"/>
    </w:pPr>
    <w:r w:rsidRPr="00912365">
      <w:rPr>
        <w:noProof/>
        <w:lang w:val="en-US" w:eastAsia="en-US"/>
      </w:rPr>
      <w:drawing>
        <wp:anchor distT="0" distB="0" distL="114300" distR="114300" simplePos="0" relativeHeight="251659264" behindDoc="0" locked="0" layoutInCell="1" allowOverlap="1">
          <wp:simplePos x="0" y="0"/>
          <wp:positionH relativeFrom="margin">
            <wp:posOffset>3910566</wp:posOffset>
          </wp:positionH>
          <wp:positionV relativeFrom="margin">
            <wp:posOffset>8406189</wp:posOffset>
          </wp:positionV>
          <wp:extent cx="1856563" cy="138223"/>
          <wp:effectExtent l="19050" t="0" r="6350" b="0"/>
          <wp:wrapNone/>
          <wp:docPr id="5" name="shp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pBrand"/>
                  <pic:cNvPicPr>
                    <a:picLocks noChangeAspect="1" noChangeArrowheads="1"/>
                  </pic:cNvPicPr>
                </pic:nvPicPr>
                <pic:blipFill>
                  <a:blip r:embed="rId1"/>
                  <a:srcRect/>
                  <a:stretch>
                    <a:fillRect/>
                  </a:stretch>
                </pic:blipFill>
                <pic:spPr bwMode="blackGray">
                  <a:xfrm>
                    <a:off x="0" y="0"/>
                    <a:ext cx="1860550" cy="133350"/>
                  </a:xfrm>
                  <a:prstGeom prst="rect">
                    <a:avLst/>
                  </a:prstGeom>
                  <a:noFill/>
                  <a:ln w="9525">
                    <a:noFill/>
                    <a:miter lim="800000"/>
                    <a:headEnd/>
                    <a:tailEnd/>
                  </a:ln>
                </pic:spPr>
              </pic:pic>
            </a:graphicData>
          </a:graphic>
        </wp:anchor>
      </w:drawing>
    </w:r>
    <w:sdt>
      <w:sdtPr>
        <w:id w:val="1489062105"/>
        <w:docPartObj>
          <w:docPartGallery w:val="Page Numbers (Bottom of Page)"/>
          <w:docPartUnique/>
        </w:docPartObj>
      </w:sdtPr>
      <w:sdtContent>
        <w:fldSimple w:instr=" PAGE   \* MERGEFORMAT ">
          <w:r w:rsidR="0031209E">
            <w:rPr>
              <w:noProof/>
            </w:rPr>
            <w:t>5</w:t>
          </w:r>
        </w:fldSimple>
        <w:r w:rsidRPr="00F17110">
          <w:t xml:space="preserve"> </w:t>
        </w:r>
        <w:r>
          <w:tab/>
          <w:t>For Internal Use Only</w:t>
        </w:r>
      </w:sdtContent>
    </w:sdt>
  </w:p>
  <w:p w:rsidR="00B95063" w:rsidRDefault="00B95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EA5" w:rsidRDefault="00E94EA5" w:rsidP="0067255A">
      <w:pPr>
        <w:spacing w:after="0"/>
      </w:pPr>
      <w:r>
        <w:separator/>
      </w:r>
    </w:p>
  </w:footnote>
  <w:footnote w:type="continuationSeparator" w:id="0">
    <w:p w:rsidR="00E94EA5" w:rsidRDefault="00E94EA5" w:rsidP="0067255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063" w:rsidRDefault="00AC331E" w:rsidP="0067255A">
    <w:pPr>
      <w:pStyle w:val="Mainheading"/>
      <w:jc w:val="right"/>
    </w:pPr>
    <w:r>
      <w:rPr>
        <w:noProof/>
        <w:lang w:val="en-US"/>
      </w:rPr>
      <w:pict>
        <v:shapetype id="_x0000_t202" coordsize="21600,21600" o:spt="202" path="m,l,21600r21600,l21600,xe">
          <v:stroke joinstyle="miter"/>
          <v:path gradientshapeok="t" o:connecttype="rect"/>
        </v:shapetype>
        <v:shape id="_x0000_s2049" type="#_x0000_t202" style="position:absolute;left:0;text-align:left;margin-left:37.7pt;margin-top:112.25pt;width:32.2pt;height:633.75pt;z-index:251660288;mso-width-percent:400;mso-position-horizontal-relative:page;mso-position-vertical-relative:page;mso-width-percent:400;mso-width-relative:margin;mso-height-relative:margin" filled="f" stroked="f">
          <v:textbox style="layout-flow:vertical;mso-layout-flow-alt:bottom-to-top;mso-next-textbox:#_x0000_s2049;mso-fit-shape-to-text:t">
            <w:txbxContent>
              <w:p w:rsidR="00B95063" w:rsidRPr="00912365" w:rsidRDefault="00B95063" w:rsidP="00912365">
                <w:pPr>
                  <w:rPr>
                    <w:color w:val="808080" w:themeColor="background1" w:themeShade="80"/>
                  </w:rPr>
                </w:pPr>
                <w:r>
                  <w:rPr>
                    <w:color w:val="808080" w:themeColor="background1" w:themeShade="80"/>
                  </w:rPr>
                  <w:t>COMPLIANCE</w:t>
                </w:r>
                <w:r w:rsidRPr="00912365">
                  <w:rPr>
                    <w:color w:val="808080" w:themeColor="background1" w:themeShade="80"/>
                  </w:rPr>
                  <w:tab/>
                </w:r>
              </w:p>
            </w:txbxContent>
          </v:textbox>
          <w10:wrap anchorx="page" anchory="page"/>
        </v:shape>
      </w:pict>
    </w:r>
    <w:r>
      <w:rPr>
        <w:noProof/>
        <w:lang w:val="en-US"/>
      </w:rPr>
      <w:pict>
        <v:line id="shpRulePrimary" o:spid="_x0000_s2050" alt="shpRulePrimary" style="position:absolute;left:0;text-align:left;z-index:251661312;mso-wrap-distance-left:0;mso-wrap-distance-right:0;mso-position-horizontal-relative:page;mso-position-vertical-relative:page" from="63.75pt,72.5pt" to="63.75pt,756pt" strokecolor="#6d6e71" strokeweight=".32pt">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1326"/>
    <w:multiLevelType w:val="hybridMultilevel"/>
    <w:tmpl w:val="83C0F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B0A65"/>
    <w:multiLevelType w:val="hybridMultilevel"/>
    <w:tmpl w:val="0636B6C4"/>
    <w:lvl w:ilvl="0" w:tplc="1B26D02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62A952A">
      <w:start w:val="1"/>
      <w:numFmt w:val="decimal"/>
      <w:lvlText w:val="%4."/>
      <w:lvlJc w:val="left"/>
      <w:pPr>
        <w:ind w:left="36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587DE6"/>
    <w:multiLevelType w:val="hybridMultilevel"/>
    <w:tmpl w:val="67827A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34B12BA4"/>
    <w:multiLevelType w:val="multilevel"/>
    <w:tmpl w:val="393AE6EC"/>
    <w:lvl w:ilvl="0">
      <w:start w:val="1"/>
      <w:numFmt w:val="decimal"/>
      <w:pStyle w:val="Heading1"/>
      <w:lvlText w:val="%1."/>
      <w:lvlJc w:val="left"/>
      <w:pPr>
        <w:ind w:left="360" w:hanging="360"/>
      </w:pPr>
      <w:rPr>
        <w:rFonts w:ascii="Arial" w:hAnsi="Arial" w:hint="default"/>
        <w:b w:val="0"/>
        <w:bCs w:val="0"/>
        <w:i w:val="0"/>
        <w:iCs w:val="0"/>
        <w:caps w:val="0"/>
        <w:smallCaps w:val="0"/>
        <w:strike w:val="0"/>
        <w:dstrike w:val="0"/>
        <w:outline w:val="0"/>
        <w:shadow w:val="0"/>
        <w:emboss w:val="0"/>
        <w:imprint w:val="0"/>
        <w:noProof w:val="0"/>
        <w:vanish w:val="0"/>
        <w:spacing w:val="0"/>
        <w:kern w:val="0"/>
        <w:position w:val="0"/>
        <w:sz w:val="26"/>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5250865"/>
    <w:multiLevelType w:val="hybridMultilevel"/>
    <w:tmpl w:val="897258AA"/>
    <w:lvl w:ilvl="0" w:tplc="7D1E8042">
      <w:start w:val="1"/>
      <w:numFmt w:val="bullet"/>
      <w:lvlText w:val=""/>
      <w:lvlJc w:val="left"/>
      <w:pPr>
        <w:ind w:left="720" w:hanging="360"/>
      </w:pPr>
      <w:rPr>
        <w:rFonts w:ascii="Wingdings" w:hAnsi="Wingdings" w:hint="default"/>
        <w:color w:val="93B1CC"/>
      </w:rPr>
    </w:lvl>
    <w:lvl w:ilvl="1" w:tplc="F04E7C78" w:tentative="1">
      <w:start w:val="1"/>
      <w:numFmt w:val="bullet"/>
      <w:lvlText w:val="o"/>
      <w:lvlJc w:val="left"/>
      <w:pPr>
        <w:ind w:left="1440" w:hanging="360"/>
      </w:pPr>
      <w:rPr>
        <w:rFonts w:ascii="Courier New" w:hAnsi="Courier New" w:cs="Courier New" w:hint="default"/>
      </w:rPr>
    </w:lvl>
    <w:lvl w:ilvl="2" w:tplc="6E320BF2" w:tentative="1">
      <w:start w:val="1"/>
      <w:numFmt w:val="bullet"/>
      <w:lvlText w:val=""/>
      <w:lvlJc w:val="left"/>
      <w:pPr>
        <w:ind w:left="2160" w:hanging="360"/>
      </w:pPr>
      <w:rPr>
        <w:rFonts w:ascii="Wingdings" w:hAnsi="Wingdings" w:hint="default"/>
      </w:rPr>
    </w:lvl>
    <w:lvl w:ilvl="3" w:tplc="8754018A" w:tentative="1">
      <w:start w:val="1"/>
      <w:numFmt w:val="bullet"/>
      <w:lvlText w:val=""/>
      <w:lvlJc w:val="left"/>
      <w:pPr>
        <w:ind w:left="2880" w:hanging="360"/>
      </w:pPr>
      <w:rPr>
        <w:rFonts w:ascii="Symbol" w:hAnsi="Symbol" w:hint="default"/>
      </w:rPr>
    </w:lvl>
    <w:lvl w:ilvl="4" w:tplc="4C76BDE8" w:tentative="1">
      <w:start w:val="1"/>
      <w:numFmt w:val="bullet"/>
      <w:lvlText w:val="o"/>
      <w:lvlJc w:val="left"/>
      <w:pPr>
        <w:ind w:left="3600" w:hanging="360"/>
      </w:pPr>
      <w:rPr>
        <w:rFonts w:ascii="Courier New" w:hAnsi="Courier New" w:cs="Courier New" w:hint="default"/>
      </w:rPr>
    </w:lvl>
    <w:lvl w:ilvl="5" w:tplc="024204CC" w:tentative="1">
      <w:start w:val="1"/>
      <w:numFmt w:val="bullet"/>
      <w:lvlText w:val=""/>
      <w:lvlJc w:val="left"/>
      <w:pPr>
        <w:ind w:left="4320" w:hanging="360"/>
      </w:pPr>
      <w:rPr>
        <w:rFonts w:ascii="Wingdings" w:hAnsi="Wingdings" w:hint="default"/>
      </w:rPr>
    </w:lvl>
    <w:lvl w:ilvl="6" w:tplc="567AFCDE" w:tentative="1">
      <w:start w:val="1"/>
      <w:numFmt w:val="bullet"/>
      <w:lvlText w:val=""/>
      <w:lvlJc w:val="left"/>
      <w:pPr>
        <w:ind w:left="5040" w:hanging="360"/>
      </w:pPr>
      <w:rPr>
        <w:rFonts w:ascii="Symbol" w:hAnsi="Symbol" w:hint="default"/>
      </w:rPr>
    </w:lvl>
    <w:lvl w:ilvl="7" w:tplc="863AEA20" w:tentative="1">
      <w:start w:val="1"/>
      <w:numFmt w:val="bullet"/>
      <w:lvlText w:val="o"/>
      <w:lvlJc w:val="left"/>
      <w:pPr>
        <w:ind w:left="5760" w:hanging="360"/>
      </w:pPr>
      <w:rPr>
        <w:rFonts w:ascii="Courier New" w:hAnsi="Courier New" w:cs="Courier New" w:hint="default"/>
      </w:rPr>
    </w:lvl>
    <w:lvl w:ilvl="8" w:tplc="561AA912" w:tentative="1">
      <w:start w:val="1"/>
      <w:numFmt w:val="bullet"/>
      <w:lvlText w:val=""/>
      <w:lvlJc w:val="left"/>
      <w:pPr>
        <w:ind w:left="6480" w:hanging="360"/>
      </w:pPr>
      <w:rPr>
        <w:rFonts w:ascii="Wingdings" w:hAnsi="Wingdings" w:hint="default"/>
      </w:rPr>
    </w:lvl>
  </w:abstractNum>
  <w:abstractNum w:abstractNumId="5">
    <w:nsid w:val="4BA70FDB"/>
    <w:multiLevelType w:val="multilevel"/>
    <w:tmpl w:val="AD9A8904"/>
    <w:lvl w:ilvl="0">
      <w:start w:val="1"/>
      <w:numFmt w:val="decimal"/>
      <w:pStyle w:val="TableBullet1"/>
      <w:lvlText w:val="%1)"/>
      <w:lvlJc w:val="left"/>
      <w:pPr>
        <w:ind w:left="360" w:hanging="360"/>
      </w:pPr>
    </w:lvl>
    <w:lvl w:ilvl="1">
      <w:start w:val="1"/>
      <w:numFmt w:val="lowerLetter"/>
      <w:pStyle w:val="TableBullet2"/>
      <w:lvlText w:val="%2)"/>
      <w:lvlJc w:val="left"/>
      <w:pPr>
        <w:ind w:left="720" w:hanging="360"/>
      </w:pPr>
    </w:lvl>
    <w:lvl w:ilvl="2">
      <w:start w:val="1"/>
      <w:numFmt w:val="lowerRoman"/>
      <w:pStyle w:val="Bullet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6F70EC0"/>
    <w:multiLevelType w:val="multilevel"/>
    <w:tmpl w:val="AEE64360"/>
    <w:lvl w:ilvl="0">
      <w:start w:val="1"/>
      <w:numFmt w:val="bullet"/>
      <w:pStyle w:val="Bullet1"/>
      <w:lvlText w:val=""/>
      <w:lvlJc w:val="left"/>
      <w:pPr>
        <w:ind w:left="720" w:hanging="360"/>
      </w:pPr>
      <w:rPr>
        <w:rFonts w:ascii="Symbol" w:hAnsi="Symbol" w:hint="default"/>
        <w:color w:val="95B3D7" w:themeColor="accent1" w:themeTint="99"/>
      </w:rPr>
    </w:lvl>
    <w:lvl w:ilvl="1">
      <w:start w:val="1"/>
      <w:numFmt w:val="bullet"/>
      <w:pStyle w:val="Bullet2"/>
      <w:lvlText w:val="—"/>
      <w:lvlJc w:val="left"/>
      <w:pPr>
        <w:ind w:left="1080" w:hanging="360"/>
      </w:pPr>
      <w:rPr>
        <w:rFonts w:ascii="Calibri" w:hAnsi="Calibri" w:hint="default"/>
        <w:color w:val="95B3D7" w:themeColor="accent1" w:themeTint="99"/>
      </w:rPr>
    </w:lvl>
    <w:lvl w:ilvl="2">
      <w:start w:val="1"/>
      <w:numFmt w:val="bullet"/>
      <w:lvlText w:val=""/>
      <w:lvlJc w:val="left"/>
      <w:pPr>
        <w:ind w:left="1440" w:hanging="360"/>
      </w:pPr>
      <w:rPr>
        <w:rFonts w:ascii="Symbol" w:hAnsi="Symbol" w:hint="default"/>
        <w:color w:val="95B3D7" w:themeColor="accent1" w:themeTint="99"/>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9FC4458"/>
    <w:multiLevelType w:val="hybridMultilevel"/>
    <w:tmpl w:val="5524C1A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78CE4F25"/>
    <w:multiLevelType w:val="hybridMultilevel"/>
    <w:tmpl w:val="255A6580"/>
    <w:lvl w:ilvl="0" w:tplc="48E4C03E">
      <w:numFmt w:val="bullet"/>
      <w:lvlText w:val="•"/>
      <w:lvlJc w:val="left"/>
      <w:pPr>
        <w:ind w:left="1080" w:hanging="720"/>
      </w:pPr>
      <w:rPr>
        <w:rFonts w:ascii="Calibri" w:eastAsia="Times New Roman" w:hAnsi="Calibri" w:cs="Calibri" w:hint="default"/>
      </w:rPr>
    </w:lvl>
    <w:lvl w:ilvl="1" w:tplc="C5E6C086" w:tentative="1">
      <w:start w:val="1"/>
      <w:numFmt w:val="bullet"/>
      <w:lvlText w:val="o"/>
      <w:lvlJc w:val="left"/>
      <w:pPr>
        <w:ind w:left="1440" w:hanging="360"/>
      </w:pPr>
      <w:rPr>
        <w:rFonts w:ascii="Courier New" w:hAnsi="Courier New" w:cs="Courier New" w:hint="default"/>
      </w:rPr>
    </w:lvl>
    <w:lvl w:ilvl="2" w:tplc="65DC3C86" w:tentative="1">
      <w:start w:val="1"/>
      <w:numFmt w:val="bullet"/>
      <w:lvlText w:val=""/>
      <w:lvlJc w:val="left"/>
      <w:pPr>
        <w:ind w:left="2160" w:hanging="360"/>
      </w:pPr>
      <w:rPr>
        <w:rFonts w:ascii="Wingdings" w:hAnsi="Wingdings" w:hint="default"/>
      </w:rPr>
    </w:lvl>
    <w:lvl w:ilvl="3" w:tplc="5874E0AC" w:tentative="1">
      <w:start w:val="1"/>
      <w:numFmt w:val="bullet"/>
      <w:lvlText w:val=""/>
      <w:lvlJc w:val="left"/>
      <w:pPr>
        <w:ind w:left="2880" w:hanging="360"/>
      </w:pPr>
      <w:rPr>
        <w:rFonts w:ascii="Symbol" w:hAnsi="Symbol" w:hint="default"/>
      </w:rPr>
    </w:lvl>
    <w:lvl w:ilvl="4" w:tplc="E97E3F00" w:tentative="1">
      <w:start w:val="1"/>
      <w:numFmt w:val="bullet"/>
      <w:lvlText w:val="o"/>
      <w:lvlJc w:val="left"/>
      <w:pPr>
        <w:ind w:left="3600" w:hanging="360"/>
      </w:pPr>
      <w:rPr>
        <w:rFonts w:ascii="Courier New" w:hAnsi="Courier New" w:cs="Courier New" w:hint="default"/>
      </w:rPr>
    </w:lvl>
    <w:lvl w:ilvl="5" w:tplc="7020D65A" w:tentative="1">
      <w:start w:val="1"/>
      <w:numFmt w:val="bullet"/>
      <w:lvlText w:val=""/>
      <w:lvlJc w:val="left"/>
      <w:pPr>
        <w:ind w:left="4320" w:hanging="360"/>
      </w:pPr>
      <w:rPr>
        <w:rFonts w:ascii="Wingdings" w:hAnsi="Wingdings" w:hint="default"/>
      </w:rPr>
    </w:lvl>
    <w:lvl w:ilvl="6" w:tplc="DE449798" w:tentative="1">
      <w:start w:val="1"/>
      <w:numFmt w:val="bullet"/>
      <w:lvlText w:val=""/>
      <w:lvlJc w:val="left"/>
      <w:pPr>
        <w:ind w:left="5040" w:hanging="360"/>
      </w:pPr>
      <w:rPr>
        <w:rFonts w:ascii="Symbol" w:hAnsi="Symbol" w:hint="default"/>
      </w:rPr>
    </w:lvl>
    <w:lvl w:ilvl="7" w:tplc="2C4AA28A" w:tentative="1">
      <w:start w:val="1"/>
      <w:numFmt w:val="bullet"/>
      <w:lvlText w:val="o"/>
      <w:lvlJc w:val="left"/>
      <w:pPr>
        <w:ind w:left="5760" w:hanging="360"/>
      </w:pPr>
      <w:rPr>
        <w:rFonts w:ascii="Courier New" w:hAnsi="Courier New" w:cs="Courier New" w:hint="default"/>
      </w:rPr>
    </w:lvl>
    <w:lvl w:ilvl="8" w:tplc="FF7AB5EC"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lvlOverride w:ilvl="0">
      <w:lvl w:ilvl="0">
        <w:start w:val="1"/>
        <w:numFmt w:val="bullet"/>
        <w:pStyle w:val="TableBullet1"/>
        <w:lvlText w:val=""/>
        <w:lvlJc w:val="left"/>
        <w:pPr>
          <w:ind w:left="720" w:hanging="360"/>
        </w:pPr>
        <w:rPr>
          <w:rFonts w:ascii="Symbol" w:hAnsi="Symbol" w:hint="default"/>
          <w:color w:val="95B3D7" w:themeColor="accent1" w:themeTint="99"/>
        </w:rPr>
      </w:lvl>
    </w:lvlOverride>
    <w:lvlOverride w:ilvl="1">
      <w:lvl w:ilvl="1">
        <w:start w:val="1"/>
        <w:numFmt w:val="bullet"/>
        <w:pStyle w:val="TableBullet2"/>
        <w:lvlText w:val="—"/>
        <w:lvlJc w:val="left"/>
        <w:pPr>
          <w:ind w:left="1530" w:hanging="360"/>
        </w:pPr>
        <w:rPr>
          <w:rFonts w:ascii="Calibri" w:hAnsi="Calibri" w:hint="default"/>
          <w:color w:val="95B3D7" w:themeColor="accent1" w:themeTint="99"/>
        </w:rPr>
      </w:lvl>
    </w:lvlOverride>
    <w:lvlOverride w:ilvl="2">
      <w:lvl w:ilvl="2">
        <w:start w:val="1"/>
        <w:numFmt w:val="bullet"/>
        <w:pStyle w:val="Bullet3"/>
        <w:lvlText w:val=""/>
        <w:lvlJc w:val="left"/>
        <w:pPr>
          <w:ind w:left="1440" w:hanging="360"/>
        </w:pPr>
        <w:rPr>
          <w:rFonts w:ascii="Symbol" w:hAnsi="Symbol" w:hint="default"/>
          <w:color w:val="95B3D7" w:themeColor="accent1" w:themeTint="99"/>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5D4BCB"/>
    <w:rsid w:val="00002179"/>
    <w:rsid w:val="00003C7E"/>
    <w:rsid w:val="00052736"/>
    <w:rsid w:val="000E480C"/>
    <w:rsid w:val="001233C6"/>
    <w:rsid w:val="0016596D"/>
    <w:rsid w:val="001A3703"/>
    <w:rsid w:val="001F6061"/>
    <w:rsid w:val="002268D6"/>
    <w:rsid w:val="0026407F"/>
    <w:rsid w:val="00283683"/>
    <w:rsid w:val="002910ED"/>
    <w:rsid w:val="002B344A"/>
    <w:rsid w:val="002B3A72"/>
    <w:rsid w:val="002D7116"/>
    <w:rsid w:val="002E6E5E"/>
    <w:rsid w:val="00304839"/>
    <w:rsid w:val="0031209E"/>
    <w:rsid w:val="00327B6F"/>
    <w:rsid w:val="00344A23"/>
    <w:rsid w:val="00345925"/>
    <w:rsid w:val="00346EBE"/>
    <w:rsid w:val="00371DEE"/>
    <w:rsid w:val="00380730"/>
    <w:rsid w:val="003A5C67"/>
    <w:rsid w:val="003B0582"/>
    <w:rsid w:val="003E0088"/>
    <w:rsid w:val="003F4FA6"/>
    <w:rsid w:val="004400C8"/>
    <w:rsid w:val="00446C7A"/>
    <w:rsid w:val="004537D3"/>
    <w:rsid w:val="00480DF6"/>
    <w:rsid w:val="004869CD"/>
    <w:rsid w:val="004A3053"/>
    <w:rsid w:val="004B7797"/>
    <w:rsid w:val="004B7C06"/>
    <w:rsid w:val="004D3002"/>
    <w:rsid w:val="005429FD"/>
    <w:rsid w:val="00563A73"/>
    <w:rsid w:val="0059116D"/>
    <w:rsid w:val="005B6A71"/>
    <w:rsid w:val="005C6A8B"/>
    <w:rsid w:val="005D4BCB"/>
    <w:rsid w:val="005F538F"/>
    <w:rsid w:val="00607442"/>
    <w:rsid w:val="0067255A"/>
    <w:rsid w:val="006A7189"/>
    <w:rsid w:val="006B66D7"/>
    <w:rsid w:val="00710EEE"/>
    <w:rsid w:val="00722840"/>
    <w:rsid w:val="007245E9"/>
    <w:rsid w:val="007652B0"/>
    <w:rsid w:val="00776827"/>
    <w:rsid w:val="00780E62"/>
    <w:rsid w:val="007E222B"/>
    <w:rsid w:val="00880F27"/>
    <w:rsid w:val="00881064"/>
    <w:rsid w:val="008B71C8"/>
    <w:rsid w:val="00912365"/>
    <w:rsid w:val="0092273B"/>
    <w:rsid w:val="00931C8A"/>
    <w:rsid w:val="009924E9"/>
    <w:rsid w:val="009C5C97"/>
    <w:rsid w:val="009D18BA"/>
    <w:rsid w:val="00A17163"/>
    <w:rsid w:val="00A20240"/>
    <w:rsid w:val="00A31D5E"/>
    <w:rsid w:val="00A56973"/>
    <w:rsid w:val="00A8022D"/>
    <w:rsid w:val="00A96A02"/>
    <w:rsid w:val="00AA3402"/>
    <w:rsid w:val="00AB2123"/>
    <w:rsid w:val="00AC331E"/>
    <w:rsid w:val="00AC4B5E"/>
    <w:rsid w:val="00AC6320"/>
    <w:rsid w:val="00AD0298"/>
    <w:rsid w:val="00AD7EA8"/>
    <w:rsid w:val="00AE2E78"/>
    <w:rsid w:val="00AE3877"/>
    <w:rsid w:val="00AE52F7"/>
    <w:rsid w:val="00AF60AC"/>
    <w:rsid w:val="00B05C95"/>
    <w:rsid w:val="00B64083"/>
    <w:rsid w:val="00B95063"/>
    <w:rsid w:val="00BF66EF"/>
    <w:rsid w:val="00C81CE1"/>
    <w:rsid w:val="00CA1917"/>
    <w:rsid w:val="00CC0590"/>
    <w:rsid w:val="00CC76F0"/>
    <w:rsid w:val="00D061F5"/>
    <w:rsid w:val="00D23F6C"/>
    <w:rsid w:val="00D26D04"/>
    <w:rsid w:val="00D37DF3"/>
    <w:rsid w:val="00D53459"/>
    <w:rsid w:val="00D86163"/>
    <w:rsid w:val="00D9438E"/>
    <w:rsid w:val="00D952C7"/>
    <w:rsid w:val="00DB49B4"/>
    <w:rsid w:val="00DC23AC"/>
    <w:rsid w:val="00DE0EA2"/>
    <w:rsid w:val="00DE31E0"/>
    <w:rsid w:val="00DF0EA1"/>
    <w:rsid w:val="00E43EA2"/>
    <w:rsid w:val="00E81598"/>
    <w:rsid w:val="00E94EA5"/>
    <w:rsid w:val="00EA36DA"/>
    <w:rsid w:val="00EC0643"/>
    <w:rsid w:val="00EC1DC9"/>
    <w:rsid w:val="00F17110"/>
    <w:rsid w:val="00F32871"/>
    <w:rsid w:val="00F652D5"/>
    <w:rsid w:val="00F81F1A"/>
    <w:rsid w:val="00F90653"/>
    <w:rsid w:val="00FA7A30"/>
    <w:rsid w:val="00FB24A4"/>
    <w:rsid w:val="00FB6FBC"/>
    <w:rsid w:val="00FC1052"/>
    <w:rsid w:val="00FD17F7"/>
    <w:rsid w:val="00FF164B"/>
    <w:rsid w:val="00FF4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B6F"/>
    <w:pPr>
      <w:spacing w:after="120" w:line="240" w:lineRule="auto"/>
      <w:ind w:left="540"/>
    </w:pPr>
    <w:rPr>
      <w:rFonts w:ascii="Arial" w:eastAsia="Arial" w:hAnsi="Arial" w:cs="Times New Roman"/>
      <w:sz w:val="20"/>
      <w:lang w:val="en-GB" w:eastAsia="en-GB"/>
    </w:rPr>
  </w:style>
  <w:style w:type="paragraph" w:styleId="Heading1">
    <w:name w:val="heading 1"/>
    <w:basedOn w:val="Normal"/>
    <w:next w:val="Normal"/>
    <w:link w:val="Heading1Char"/>
    <w:uiPriority w:val="9"/>
    <w:qFormat/>
    <w:rsid w:val="00F90653"/>
    <w:pPr>
      <w:keepNext/>
      <w:numPr>
        <w:numId w:val="1"/>
      </w:numPr>
      <w:tabs>
        <w:tab w:val="left" w:pos="540"/>
      </w:tabs>
      <w:spacing w:before="480" w:line="264" w:lineRule="auto"/>
      <w:ind w:left="540" w:hanging="540"/>
      <w:outlineLvl w:val="0"/>
    </w:pPr>
    <w:rPr>
      <w:rFonts w:eastAsia="Times New Roman" w:cs="Arial"/>
      <w:b/>
      <w:color w:val="7397BC"/>
      <w:sz w:val="26"/>
      <w:szCs w:val="26"/>
    </w:rPr>
  </w:style>
  <w:style w:type="paragraph" w:styleId="Heading2">
    <w:name w:val="heading 2"/>
    <w:basedOn w:val="Normal"/>
    <w:next w:val="Normal"/>
    <w:link w:val="Heading2Char"/>
    <w:uiPriority w:val="9"/>
    <w:unhideWhenUsed/>
    <w:qFormat/>
    <w:rsid w:val="004537D3"/>
    <w:pPr>
      <w:keepNext/>
      <w:numPr>
        <w:ilvl w:val="1"/>
        <w:numId w:val="1"/>
      </w:numPr>
      <w:tabs>
        <w:tab w:val="num" w:pos="360"/>
        <w:tab w:val="left" w:pos="540"/>
      </w:tabs>
      <w:spacing w:before="240" w:line="264" w:lineRule="auto"/>
      <w:ind w:left="1170" w:hanging="630"/>
      <w:outlineLvl w:val="1"/>
    </w:pPr>
    <w:rPr>
      <w:rFonts w:ascii="Arial Narrow" w:eastAsia="Times New Roman" w:hAnsi="Arial Narrow" w:cs="Arial"/>
      <w:b/>
      <w:color w:val="808080"/>
      <w:szCs w:val="24"/>
    </w:rPr>
  </w:style>
  <w:style w:type="paragraph" w:styleId="Heading3">
    <w:name w:val="heading 3"/>
    <w:basedOn w:val="Normal"/>
    <w:next w:val="Normal"/>
    <w:link w:val="Heading3Char"/>
    <w:uiPriority w:val="9"/>
    <w:unhideWhenUsed/>
    <w:qFormat/>
    <w:rsid w:val="004537D3"/>
    <w:pPr>
      <w:keepNext/>
      <w:numPr>
        <w:ilvl w:val="2"/>
        <w:numId w:val="1"/>
      </w:numPr>
      <w:tabs>
        <w:tab w:val="num" w:pos="360"/>
        <w:tab w:val="left" w:pos="1170"/>
      </w:tabs>
      <w:spacing w:before="240" w:line="264" w:lineRule="auto"/>
      <w:ind w:left="1890" w:hanging="720"/>
      <w:outlineLvl w:val="2"/>
    </w:pPr>
    <w:rPr>
      <w:rFonts w:ascii="Arial Narrow" w:eastAsia="Times New Roman" w:hAnsi="Arial Narrow" w:cs="Arial"/>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53"/>
    <w:rPr>
      <w:rFonts w:ascii="Arial" w:eastAsia="Times New Roman" w:hAnsi="Arial" w:cs="Arial"/>
      <w:b/>
      <w:color w:val="7397BC"/>
      <w:sz w:val="26"/>
      <w:szCs w:val="26"/>
      <w:lang w:val="en-GB"/>
    </w:rPr>
  </w:style>
  <w:style w:type="character" w:customStyle="1" w:styleId="Heading2Char">
    <w:name w:val="Heading 2 Char"/>
    <w:basedOn w:val="DefaultParagraphFont"/>
    <w:link w:val="Heading2"/>
    <w:uiPriority w:val="9"/>
    <w:rsid w:val="004537D3"/>
    <w:rPr>
      <w:rFonts w:ascii="Arial Narrow" w:eastAsia="Times New Roman" w:hAnsi="Arial Narrow" w:cs="Arial"/>
      <w:b/>
      <w:color w:val="808080"/>
      <w:szCs w:val="24"/>
      <w:lang w:val="en-GB"/>
    </w:rPr>
  </w:style>
  <w:style w:type="character" w:customStyle="1" w:styleId="Heading3Char">
    <w:name w:val="Heading 3 Char"/>
    <w:basedOn w:val="DefaultParagraphFont"/>
    <w:link w:val="Heading3"/>
    <w:uiPriority w:val="9"/>
    <w:rsid w:val="004537D3"/>
    <w:rPr>
      <w:rFonts w:ascii="Arial Narrow" w:eastAsia="Times New Roman" w:hAnsi="Arial Narrow" w:cs="Arial"/>
      <w:color w:val="000000" w:themeColor="text1"/>
      <w:szCs w:val="24"/>
      <w:lang w:val="en-GB"/>
    </w:rPr>
  </w:style>
  <w:style w:type="paragraph" w:styleId="NoSpacing">
    <w:name w:val="No Spacing"/>
    <w:link w:val="NoSpacingChar"/>
    <w:uiPriority w:val="1"/>
    <w:qFormat/>
    <w:rsid w:val="00FC1052"/>
    <w:pPr>
      <w:spacing w:after="0" w:line="240" w:lineRule="auto"/>
    </w:pPr>
    <w:rPr>
      <w:rFonts w:eastAsiaTheme="minorEastAsia"/>
    </w:rPr>
  </w:style>
  <w:style w:type="character" w:customStyle="1" w:styleId="NoSpacingChar">
    <w:name w:val="No Spacing Char"/>
    <w:basedOn w:val="DefaultParagraphFont"/>
    <w:link w:val="NoSpacing"/>
    <w:uiPriority w:val="1"/>
    <w:rsid w:val="00FC1052"/>
    <w:rPr>
      <w:rFonts w:eastAsiaTheme="minorEastAsia"/>
    </w:rPr>
  </w:style>
  <w:style w:type="paragraph" w:styleId="BalloonText">
    <w:name w:val="Balloon Text"/>
    <w:basedOn w:val="Normal"/>
    <w:link w:val="BalloonTextChar"/>
    <w:uiPriority w:val="99"/>
    <w:semiHidden/>
    <w:unhideWhenUsed/>
    <w:rsid w:val="00FC105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052"/>
    <w:rPr>
      <w:rFonts w:ascii="Tahoma" w:hAnsi="Tahoma" w:cs="Tahoma"/>
      <w:sz w:val="16"/>
      <w:szCs w:val="16"/>
    </w:rPr>
  </w:style>
  <w:style w:type="paragraph" w:styleId="TOCHeading">
    <w:name w:val="TOC Heading"/>
    <w:basedOn w:val="Heading1"/>
    <w:next w:val="Normal"/>
    <w:uiPriority w:val="39"/>
    <w:unhideWhenUsed/>
    <w:qFormat/>
    <w:rsid w:val="000E480C"/>
    <w:pPr>
      <w:outlineLvl w:val="9"/>
    </w:pPr>
  </w:style>
  <w:style w:type="paragraph" w:styleId="TOC1">
    <w:name w:val="toc 1"/>
    <w:basedOn w:val="Normal"/>
    <w:next w:val="Normal"/>
    <w:autoRedefine/>
    <w:uiPriority w:val="39"/>
    <w:unhideWhenUsed/>
    <w:rsid w:val="00371DEE"/>
    <w:pPr>
      <w:tabs>
        <w:tab w:val="left" w:pos="360"/>
        <w:tab w:val="right" w:leader="dot" w:pos="9360"/>
      </w:tabs>
      <w:spacing w:before="80" w:after="40" w:line="264" w:lineRule="auto"/>
      <w:ind w:left="360" w:hanging="360"/>
    </w:pPr>
    <w:rPr>
      <w:rFonts w:cs="Arial"/>
      <w:noProof/>
    </w:rPr>
  </w:style>
  <w:style w:type="character" w:styleId="Hyperlink">
    <w:name w:val="Hyperlink"/>
    <w:basedOn w:val="DefaultParagraphFont"/>
    <w:uiPriority w:val="99"/>
    <w:unhideWhenUsed/>
    <w:rsid w:val="000E480C"/>
    <w:rPr>
      <w:color w:val="0000FF" w:themeColor="hyperlink"/>
      <w:u w:val="single"/>
    </w:rPr>
  </w:style>
  <w:style w:type="paragraph" w:customStyle="1" w:styleId="Mainheading">
    <w:name w:val="Mainheading"/>
    <w:link w:val="MainheadingChar"/>
    <w:qFormat/>
    <w:rsid w:val="000E480C"/>
    <w:pPr>
      <w:spacing w:after="480" w:line="240" w:lineRule="auto"/>
    </w:pPr>
    <w:rPr>
      <w:rFonts w:ascii="Arial" w:eastAsia="Times New Roman" w:hAnsi="Arial" w:cs="Arial"/>
      <w:b/>
      <w:color w:val="808080"/>
      <w:spacing w:val="4"/>
      <w:sz w:val="36"/>
      <w:szCs w:val="20"/>
      <w:lang w:val="en-GB"/>
    </w:rPr>
  </w:style>
  <w:style w:type="character" w:customStyle="1" w:styleId="MainheadingChar">
    <w:name w:val="Mainheading Char"/>
    <w:basedOn w:val="DefaultParagraphFont"/>
    <w:link w:val="Mainheading"/>
    <w:rsid w:val="000E480C"/>
    <w:rPr>
      <w:rFonts w:ascii="Arial" w:eastAsia="Times New Roman" w:hAnsi="Arial" w:cs="Arial"/>
      <w:b/>
      <w:color w:val="808080"/>
      <w:spacing w:val="4"/>
      <w:sz w:val="36"/>
      <w:szCs w:val="20"/>
      <w:lang w:val="en-GB"/>
    </w:rPr>
  </w:style>
  <w:style w:type="character" w:customStyle="1" w:styleId="headertext1">
    <w:name w:val="headertext1"/>
    <w:basedOn w:val="DefaultParagraphFont"/>
    <w:rsid w:val="000E480C"/>
    <w:rPr>
      <w:rFonts w:ascii="Arial" w:hAnsi="Arial" w:cs="Arial" w:hint="default"/>
      <w:b w:val="0"/>
      <w:bCs w:val="0"/>
      <w:i w:val="0"/>
      <w:iCs w:val="0"/>
      <w:sz w:val="16"/>
      <w:szCs w:val="16"/>
    </w:rPr>
  </w:style>
  <w:style w:type="paragraph" w:styleId="TOC2">
    <w:name w:val="toc 2"/>
    <w:basedOn w:val="Normal"/>
    <w:next w:val="Normal"/>
    <w:autoRedefine/>
    <w:uiPriority w:val="39"/>
    <w:unhideWhenUsed/>
    <w:rsid w:val="00371DEE"/>
    <w:pPr>
      <w:tabs>
        <w:tab w:val="left" w:pos="880"/>
        <w:tab w:val="right" w:leader="dot" w:pos="9360"/>
      </w:tabs>
      <w:spacing w:line="264" w:lineRule="auto"/>
      <w:ind w:left="360"/>
    </w:pPr>
    <w:rPr>
      <w:rFonts w:cs="Arial"/>
      <w:noProof/>
    </w:rPr>
  </w:style>
  <w:style w:type="paragraph" w:customStyle="1" w:styleId="TableHeading">
    <w:name w:val="TableHeading"/>
    <w:link w:val="TableHeadingChar"/>
    <w:qFormat/>
    <w:rsid w:val="004537D3"/>
    <w:pPr>
      <w:spacing w:before="60" w:after="60" w:line="240" w:lineRule="auto"/>
      <w:jc w:val="right"/>
    </w:pPr>
    <w:rPr>
      <w:rFonts w:ascii="Arial" w:eastAsia="Times New Roman" w:hAnsi="Arial" w:cs="Arial"/>
      <w:b/>
      <w:color w:val="FFFFFF"/>
      <w:sz w:val="16"/>
      <w:szCs w:val="18"/>
      <w:lang w:val="en-GB"/>
    </w:rPr>
  </w:style>
  <w:style w:type="character" w:customStyle="1" w:styleId="TableHeadingChar">
    <w:name w:val="TableHeading Char"/>
    <w:basedOn w:val="DefaultParagraphFont"/>
    <w:link w:val="TableHeading"/>
    <w:rsid w:val="004537D3"/>
    <w:rPr>
      <w:rFonts w:ascii="Arial" w:eastAsia="Times New Roman" w:hAnsi="Arial" w:cs="Arial"/>
      <w:b/>
      <w:color w:val="FFFFFF"/>
      <w:sz w:val="16"/>
      <w:szCs w:val="18"/>
      <w:lang w:val="en-GB"/>
    </w:rPr>
  </w:style>
  <w:style w:type="paragraph" w:customStyle="1" w:styleId="TableBody">
    <w:name w:val="TableBody"/>
    <w:link w:val="TableBodyChar"/>
    <w:qFormat/>
    <w:rsid w:val="004537D3"/>
    <w:pPr>
      <w:spacing w:before="60" w:after="60" w:line="264" w:lineRule="auto"/>
    </w:pPr>
    <w:rPr>
      <w:rFonts w:ascii="Arial" w:eastAsia="Times New Roman" w:hAnsi="Arial" w:cs="Arial"/>
      <w:color w:val="000000"/>
      <w:spacing w:val="2"/>
      <w:sz w:val="16"/>
      <w:szCs w:val="18"/>
      <w:lang w:val="en-GB"/>
    </w:rPr>
  </w:style>
  <w:style w:type="character" w:customStyle="1" w:styleId="TableBodyChar">
    <w:name w:val="TableBody Char"/>
    <w:basedOn w:val="DefaultParagraphFont"/>
    <w:link w:val="TableBody"/>
    <w:rsid w:val="004537D3"/>
    <w:rPr>
      <w:rFonts w:ascii="Arial" w:eastAsia="Times New Roman" w:hAnsi="Arial" w:cs="Arial"/>
      <w:color w:val="000000"/>
      <w:spacing w:val="2"/>
      <w:sz w:val="16"/>
      <w:szCs w:val="18"/>
      <w:lang w:val="en-GB"/>
    </w:rPr>
  </w:style>
  <w:style w:type="paragraph" w:customStyle="1" w:styleId="Bullet1">
    <w:name w:val="Bullet1"/>
    <w:basedOn w:val="ListBullet"/>
    <w:link w:val="Bullet1Char"/>
    <w:qFormat/>
    <w:rsid w:val="00346EBE"/>
    <w:pPr>
      <w:numPr>
        <w:numId w:val="3"/>
      </w:numPr>
      <w:spacing w:before="60" w:after="60" w:line="264" w:lineRule="auto"/>
      <w:ind w:left="900"/>
      <w:contextualSpacing w:val="0"/>
    </w:pPr>
    <w:rPr>
      <w:rFonts w:cs="Arial"/>
      <w:color w:val="000000"/>
      <w:spacing w:val="2"/>
    </w:rPr>
  </w:style>
  <w:style w:type="character" w:customStyle="1" w:styleId="Bullet1Char">
    <w:name w:val="Bullet1 Char"/>
    <w:basedOn w:val="DefaultParagraphFont"/>
    <w:link w:val="Bullet1"/>
    <w:rsid w:val="00346EBE"/>
    <w:rPr>
      <w:rFonts w:ascii="Arial" w:eastAsia="Arial" w:hAnsi="Arial" w:cs="Arial"/>
      <w:color w:val="000000"/>
      <w:spacing w:val="2"/>
      <w:sz w:val="20"/>
      <w:lang w:val="en-GB" w:eastAsia="en-GB"/>
    </w:rPr>
  </w:style>
  <w:style w:type="paragraph" w:customStyle="1" w:styleId="Bullet2">
    <w:name w:val="Bullet2"/>
    <w:basedOn w:val="Bullet1"/>
    <w:link w:val="Bullet2Char"/>
    <w:qFormat/>
    <w:rsid w:val="00346EBE"/>
    <w:pPr>
      <w:numPr>
        <w:ilvl w:val="1"/>
      </w:numPr>
      <w:tabs>
        <w:tab w:val="num" w:pos="360"/>
      </w:tabs>
      <w:ind w:left="1267"/>
    </w:pPr>
  </w:style>
  <w:style w:type="character" w:styleId="SubtleEmphasis">
    <w:name w:val="Subtle Emphasis"/>
    <w:basedOn w:val="DefaultParagraphFont"/>
    <w:uiPriority w:val="19"/>
    <w:qFormat/>
    <w:rsid w:val="004537D3"/>
    <w:rPr>
      <w:i/>
      <w:iCs/>
      <w:color w:val="808080"/>
    </w:rPr>
  </w:style>
  <w:style w:type="paragraph" w:styleId="ListBullet">
    <w:name w:val="List Bullet"/>
    <w:basedOn w:val="Normal"/>
    <w:uiPriority w:val="99"/>
    <w:semiHidden/>
    <w:unhideWhenUsed/>
    <w:rsid w:val="004537D3"/>
    <w:pPr>
      <w:ind w:left="720" w:hanging="360"/>
      <w:contextualSpacing/>
    </w:pPr>
  </w:style>
  <w:style w:type="paragraph" w:customStyle="1" w:styleId="TableBullet1">
    <w:name w:val="TableBullet1"/>
    <w:basedOn w:val="ListParagraph"/>
    <w:link w:val="TableBullet1Char"/>
    <w:qFormat/>
    <w:rsid w:val="0067255A"/>
    <w:pPr>
      <w:numPr>
        <w:numId w:val="4"/>
      </w:numPr>
      <w:ind w:left="270" w:hanging="270"/>
      <w:contextualSpacing w:val="0"/>
    </w:pPr>
    <w:rPr>
      <w:rFonts w:cs="Arial"/>
      <w:sz w:val="16"/>
      <w:szCs w:val="16"/>
    </w:rPr>
  </w:style>
  <w:style w:type="character" w:customStyle="1" w:styleId="TableBullet1Char">
    <w:name w:val="TableBullet1 Char"/>
    <w:basedOn w:val="Bullet1Char"/>
    <w:link w:val="TableBullet1"/>
    <w:rsid w:val="0067255A"/>
    <w:rPr>
      <w:sz w:val="16"/>
      <w:szCs w:val="16"/>
    </w:rPr>
  </w:style>
  <w:style w:type="paragraph" w:customStyle="1" w:styleId="TableBullet2">
    <w:name w:val="TableBullet2"/>
    <w:basedOn w:val="ListParagraph"/>
    <w:qFormat/>
    <w:rsid w:val="0067255A"/>
    <w:pPr>
      <w:numPr>
        <w:ilvl w:val="1"/>
        <w:numId w:val="4"/>
      </w:numPr>
      <w:spacing w:before="60" w:after="60"/>
      <w:ind w:left="540" w:hanging="270"/>
      <w:contextualSpacing w:val="0"/>
    </w:pPr>
    <w:rPr>
      <w:rFonts w:cs="Arial"/>
      <w:sz w:val="16"/>
      <w:szCs w:val="16"/>
    </w:rPr>
  </w:style>
  <w:style w:type="paragraph" w:customStyle="1" w:styleId="Bullet3">
    <w:name w:val="Bullet3"/>
    <w:basedOn w:val="Normal"/>
    <w:link w:val="Bullet3Char"/>
    <w:qFormat/>
    <w:rsid w:val="00346EBE"/>
    <w:pPr>
      <w:numPr>
        <w:ilvl w:val="2"/>
        <w:numId w:val="4"/>
      </w:numPr>
      <w:spacing w:after="0"/>
      <w:ind w:left="1627"/>
    </w:pPr>
    <w:rPr>
      <w:rFonts w:cs="Arial"/>
      <w:color w:val="000000"/>
    </w:rPr>
  </w:style>
  <w:style w:type="paragraph" w:styleId="ListParagraph">
    <w:name w:val="List Paragraph"/>
    <w:basedOn w:val="Normal"/>
    <w:uiPriority w:val="34"/>
    <w:qFormat/>
    <w:rsid w:val="0067255A"/>
    <w:pPr>
      <w:ind w:left="720"/>
      <w:contextualSpacing/>
    </w:pPr>
  </w:style>
  <w:style w:type="paragraph" w:styleId="Header">
    <w:name w:val="header"/>
    <w:basedOn w:val="Normal"/>
    <w:link w:val="HeaderChar"/>
    <w:uiPriority w:val="99"/>
    <w:semiHidden/>
    <w:unhideWhenUsed/>
    <w:rsid w:val="0067255A"/>
    <w:pPr>
      <w:tabs>
        <w:tab w:val="center" w:pos="4680"/>
        <w:tab w:val="right" w:pos="9360"/>
      </w:tabs>
      <w:spacing w:after="0"/>
    </w:pPr>
  </w:style>
  <w:style w:type="character" w:customStyle="1" w:styleId="HeaderChar">
    <w:name w:val="Header Char"/>
    <w:basedOn w:val="DefaultParagraphFont"/>
    <w:link w:val="Header"/>
    <w:uiPriority w:val="99"/>
    <w:semiHidden/>
    <w:rsid w:val="0067255A"/>
    <w:rPr>
      <w:rFonts w:ascii="Arial" w:eastAsia="Arial" w:hAnsi="Arial" w:cs="Times New Roman"/>
      <w:sz w:val="20"/>
      <w:lang w:val="en-GB" w:eastAsia="en-GB"/>
    </w:rPr>
  </w:style>
  <w:style w:type="paragraph" w:styleId="Footer">
    <w:name w:val="footer"/>
    <w:basedOn w:val="Normal"/>
    <w:link w:val="FooterChar"/>
    <w:uiPriority w:val="99"/>
    <w:unhideWhenUsed/>
    <w:rsid w:val="0067255A"/>
    <w:pPr>
      <w:tabs>
        <w:tab w:val="center" w:pos="4680"/>
        <w:tab w:val="right" w:pos="9360"/>
      </w:tabs>
      <w:spacing w:after="0"/>
    </w:pPr>
  </w:style>
  <w:style w:type="character" w:customStyle="1" w:styleId="FooterChar">
    <w:name w:val="Footer Char"/>
    <w:basedOn w:val="DefaultParagraphFont"/>
    <w:link w:val="Footer"/>
    <w:uiPriority w:val="99"/>
    <w:rsid w:val="0067255A"/>
    <w:rPr>
      <w:rFonts w:ascii="Arial" w:eastAsia="Arial" w:hAnsi="Arial" w:cs="Times New Roman"/>
      <w:sz w:val="20"/>
      <w:lang w:val="en-GB" w:eastAsia="en-GB"/>
    </w:rPr>
  </w:style>
  <w:style w:type="character" w:customStyle="1" w:styleId="Bullet2Char">
    <w:name w:val="Bullet2 Char"/>
    <w:basedOn w:val="DefaultParagraphFont"/>
    <w:link w:val="Bullet2"/>
    <w:rsid w:val="00346EBE"/>
    <w:rPr>
      <w:rFonts w:ascii="Arial" w:eastAsia="Arial" w:hAnsi="Arial" w:cs="Arial"/>
      <w:color w:val="000000"/>
      <w:spacing w:val="2"/>
      <w:sz w:val="20"/>
      <w:lang w:val="en-GB" w:eastAsia="en-GB"/>
    </w:rPr>
  </w:style>
  <w:style w:type="character" w:customStyle="1" w:styleId="Bullet3Char">
    <w:name w:val="Bullet3 Char"/>
    <w:basedOn w:val="DefaultParagraphFont"/>
    <w:link w:val="Bullet3"/>
    <w:rsid w:val="00346EBE"/>
    <w:rPr>
      <w:rFonts w:ascii="Arial" w:eastAsia="Arial" w:hAnsi="Arial" w:cs="Arial"/>
      <w:color w:val="000000"/>
      <w:sz w:val="20"/>
      <w:lang w:val="en-GB" w:eastAsia="en-GB"/>
    </w:rPr>
  </w:style>
  <w:style w:type="paragraph" w:customStyle="1" w:styleId="Default">
    <w:name w:val="Default"/>
    <w:rsid w:val="00AC4B5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AF60A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jpmchase.net/sites/codeofconduct/Pages/CodeofConduct.aspx" TargetMode="External"/><Relationship Id="rId18" Type="http://schemas.openxmlformats.org/officeDocument/2006/relationships/hyperlink" Target="http://legalweb.legal.chase.com/Legal/ctcprepo.nsf/a024201380fb22d985256a0e006542e8/6322bbbe16ddf17b85256ae6004e6b1f?OpenDocumen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legalweb.legal.chase.com/Legal/ctcprepo.nsf/a024201380fb22d985256a0e006542e8/d33856f7dd43d72985257ada00571892?OpenDocument" TargetMode="External"/><Relationship Id="rId7" Type="http://schemas.openxmlformats.org/officeDocument/2006/relationships/settings" Target="settings.xml"/><Relationship Id="rId12" Type="http://schemas.openxmlformats.org/officeDocument/2006/relationships/hyperlink" Target="https://ecp.jpmchase.net/ecp/LoginAction.action" TargetMode="External"/><Relationship Id="rId17" Type="http://schemas.openxmlformats.org/officeDocument/2006/relationships/hyperlink" Target="https://portal.jpmchase.net/sites/codeofconduct/Pages/CodeofConduct.aspx"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i.and.oba.compliance.northamerica@jpmorgan.com" TargetMode="External"/><Relationship Id="rId20" Type="http://schemas.openxmlformats.org/officeDocument/2006/relationships/hyperlink" Target="http://legalweb.legal.chase.com/Legal/ctcprepo.nsf/a024201380fb22d985256a0e006542e8/dd1d7783f4e5628885256ae6004ba30d?OpenDocu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egalweb.legal.chase.com/Legal/ctcprepo.nsf/a024201380fb22d985256a0e006542e8/6322bbbe16ddf17b85256ae6004e6b1f?OpenDocument" TargetMode="External"/><Relationship Id="rId24" Type="http://schemas.openxmlformats.org/officeDocument/2006/relationships/hyperlink" Target="mailto:LC_-_NY_Preclearance_Team@jpmchase.com" TargetMode="External"/><Relationship Id="rId5" Type="http://schemas.openxmlformats.org/officeDocument/2006/relationships/numbering" Target="numbering.xml"/><Relationship Id="rId15" Type="http://schemas.openxmlformats.org/officeDocument/2006/relationships/hyperlink" Target="http://legalweb.legal.chase.com/legal/ctcprepo.nsf/a024201380fb22d985256a0e006542e8/b41193b164c6cdf485256f3a0069c374?OpenDocument" TargetMode="External"/><Relationship Id="rId23" Type="http://schemas.openxmlformats.org/officeDocument/2006/relationships/hyperlink" Target="http://legalweb.legal.chase.com/legal/ctcprepo.nsf/a024201380fb22d985256a0e006542e8/b41193b164c6cdf485256f3a0069c374?OpenDocumen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legalweb.legal.chase.com/Legal/ctcprepo.nsf/a024201380fb22d985256a0e006542e8/8b60b4d6ebb543ca85256ae6004951e1?OpenDocu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p.jpmchase.net/ecp/LoginAction.action" TargetMode="External"/><Relationship Id="rId22" Type="http://schemas.openxmlformats.org/officeDocument/2006/relationships/hyperlink" Target="https://ecp.jpmchase.net/ecp/LoginAction.action"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154C50A7AA1A428B0F376891CE298C" ma:contentTypeVersion="1" ma:contentTypeDescription="Create a new document." ma:contentTypeScope="" ma:versionID="02a16fef68a1b9cbcf7038190cc2471d">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D51E27-36A6-4343-B024-C00BF38D1098}">
  <ds:schemaRefs>
    <ds:schemaRef ds:uri="http://schemas.microsoft.com/sharepoint/v3/contenttype/forms"/>
  </ds:schemaRefs>
</ds:datastoreItem>
</file>

<file path=customXml/itemProps2.xml><?xml version="1.0" encoding="utf-8"?>
<ds:datastoreItem xmlns:ds="http://schemas.openxmlformats.org/officeDocument/2006/customXml" ds:itemID="{B0C6E6C0-2454-401D-AA50-29F5073EF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9C20AD8-28E0-480F-A89C-6562A46298E0}">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2211BC88-8BCC-4EFB-903E-93129CE9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23035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F516044</dc:creator>
  <cp:lastModifiedBy>JPMorgan Chase &amp; Co.</cp:lastModifiedBy>
  <cp:revision>2</cp:revision>
  <cp:lastPrinted>2014-02-07T16:24:00Z</cp:lastPrinted>
  <dcterms:created xsi:type="dcterms:W3CDTF">2015-03-18T13:55:00Z</dcterms:created>
  <dcterms:modified xsi:type="dcterms:W3CDTF">2015-03-18T13:55:00Z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0x01010013154C50A7AA1A428B0F376891CE298C</vt:lpwstr>
  </property>
</Properties>
</file>