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arget="docProps/custom.xml" Type="http://schemas.openxmlformats.org/officeDocument/2006/relationships/custom-properties"/></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7"/>
        <w:widowControl w:val="off"/>
      </w:pPr>
      <w:r>
        <w:rPr/>
        <w:t>공직사회 담론의 구조적 재편</w:t>
      </w:r>
      <w:r>
        <w:br/>
        <w:rPr/>
        <w:t>: 박근혜 정부와 문재인 정부 시기 언론 담론의 비교 분석</w:t>
      </w:r>
    </w:p>
    <w:p>
      <w:pPr>
        <w:pStyle w:val="9"/>
        <w:widowControl w:val="off"/>
        <w:rPr/>
      </w:pPr>
    </w:p>
    <w:p>
      <w:pPr>
        <w:pStyle w:val="9"/>
        <w:widowControl w:val="off"/>
      </w:pPr>
      <w:r>
        <w:rPr/>
        <w:t>초록</w:t>
      </w:r>
    </w:p>
    <w:p>
      <w:pPr>
        <w:pStyle w:val="9"/>
        <w:widowControl w:val="off"/>
        <w:rPr/>
      </w:pPr>
    </w:p>
    <w:p>
      <w:pPr>
        <w:pStyle w:val="8"/>
        <w:widowControl w:val="off"/>
      </w:pPr>
      <w:r>
        <w:rPr/>
        <w:t>본 연구는 2013년부터 2022년까지 빅카인즈(BigKinds) 뉴스 데이터를 활용하여 박근혜 정부와 문재인 정부 시기 한국 언론에 나타난 공직사회 담론의 구조적 차이를 분석하였다. 분석 대상은 공직사회 관련 뉴스 기사 1,105,749건이며, 텍스트마이닝 기법을 활용하여 의제(agenda), 프레임(frame), 구조(structure)의 세 수준에서 담론 변화를 분석하였다. 이를 위해 TF-IDF 및 log-odds 분석을 통해 의제 수준의 차이를 분석하였다. 분석 결과, 박근혜 정부 시기 공직사회 담론은 연금, 성과, 개혁, 효율 등 제도개혁 및 성과관리 중심 의제에 의해 상대적으로 응집된 구조를 보인 반면, 문재인 정부 시기에는 코로나19 대응, 디지털 전환, 조직문화, 공정성, 구성원 경험 관련 의제가 결합되면서 보다 복합적인 담론 구조가 형성된 것으로 나타났다. 의제 수준에서는 코로나, 방역, 플랫폼, 디지털 관련 키워드가 두드러지게 등장하였으며, 프레임 수준에서는 조직 내부 운영, 공정성, 책임성, 위기 대응과 관련된 토픽이 확대되었다. 구조 수준에서는 기존의 제도개혁 중심 담론이 청년, 공정, 인권, 디지털, 혁신 등 새로운 개념들과 결합하면서 재구성되는 경향이 관찰되었다. 다만 중심성 지표에 대한 통계 검정에서는 전반적인 구조 차이는 통계적으로 유의하지 않았으나, 개별 키워드 수준에서는 변화 경향이 확인되었다. 이는 공직사회 담론이 정부 교체에 따라 일정한 시기별 차이를 보이면서도, 정책 기조, 팬데믹, 디지털 전환, 환경 변화 등 다양한 요인이 결합하여 기존 구조 위에서 재편되는 양상을 보였음을 시사한다.</w:t>
      </w:r>
    </w:p>
    <w:p>
      <w:pPr>
        <w:pStyle w:val="8"/>
        <w:widowControl w:val="off"/>
        <w:rPr/>
      </w:pPr>
    </w:p>
    <w:p>
      <w:pPr>
        <w:pStyle w:val="10"/>
        <w:widowControl w:val="off"/>
      </w:pPr>
      <w:r>
        <w:rPr/>
        <w:t>주제어: 공직사회 담론, 빅카인즈, 텍스트마이닝, 토픽모델링, 공출현 네트워크</w:t>
      </w:r>
    </w:p>
    <w:p>
      <w:r>
        <w:br w:type="page"/>
      </w:r>
    </w:p>
    <w:p>
      <w:pPr>
        <w:pStyle w:val="2"/>
        <w:widowControl w:val="off"/>
      </w:pPr>
      <w:r>
        <w:rPr/>
        <w:t>Ⅰ</w:t>
      </w:r>
      <w:r>
        <w:rPr/>
        <w:t>. 서론</w:t>
      </w:r>
    </w:p>
    <w:p>
      <w:pPr>
        <w:pStyle w:val="1"/>
        <w:widowControl w:val="off"/>
      </w:pPr>
      <w:r>
        <w:rPr/>
        <w:t>지난 10년간 한국 언론이 재현한 공직사회 담론은 어떠한 의제, 프레임, 구조 속에서 형성되어 왔는가. 본 연구는 이를 실증적으로 분석하고, 시기별 차이와 연속성을 검토한다. 이를 위해 박근혜 정부와 문재인 정부 시기를 비교하여 담론의 시기별 차이를 분석하고, 다음과 같은 연구 질문을 제기한다. 첫째, 지난 10년간 한국 언론에서 공직사회와 관련하여 어떠한 핵심 의제가 형성되어 왔는가? 둘째, 공직사회 담론은 시기별로 어떠한 프레임과 의미 구조를 보이는가? 셋째, 공직사회 담론을 구성하는 핵심 개념 간 관계 구조는 두 정부 시기 동안 어떠한 차이를 보이는가? 나아가 두 시기 담론에서 공통적으로 유지되는 기반 구조는 무엇인가? 본 연구는 이러한 질문을 통해 공직사회 담론의 시기별 차이와 연속성을 통합적으로 검토한다.</w:t>
      </w:r>
    </w:p>
    <w:p>
      <w:pPr>
        <w:pStyle w:val="1"/>
        <w:widowControl w:val="off"/>
      </w:pPr>
      <w:r>
        <w:rPr/>
        <w:t>한국의 공직사회는 지난 10여 년간 행정개혁, 디지털 전환, 조직문화 변화 등 복합적 환경 변화 속에서 구조적 변화를 겪어왔다. 특히 2013년부터 2017년까지는 신공공관리론(NPM)에 기반한 행정개혁 담론이 두드러진 시기로 평가된다. 이 시기 공직사회 논의는 공무원연금 개혁, 성과관리 강화, 조직 효율성 제고와 같은 제도적 개혁 의제를 중심으로 전개되었으며(Lane, 2002: 14-16; Indahsari &amp; Raharja, 2020: 73-74; 박지홍, 2012: 1-2), 박근혜 정부 역시 구조개혁과 성과관리 강화를 주요 정책 기조로 제시하였다(임주영·박형준, 2015: 149). 이러한 정책 흐름은 공직사회 담론에서도 제도개혁과 행정 효율성 중심의 논의를 강화하는 방향으로 작용하였다.</w:t>
      </w:r>
    </w:p>
    <w:p>
      <w:pPr>
        <w:pStyle w:val="1"/>
        <w:widowControl w:val="off"/>
      </w:pPr>
      <w:r>
        <w:rPr/>
        <w:t>언론은 특정 이슈를 선택하고 강조함으로써 공중이 사회 현실을 인식하는 방식에 영향을 미치는 핵심 매체로 간주된다(McCombs &amp; Shaw, 1972: 176-177; Entman, 1993: 52-53). 의제설정 이론과 프레이밍 이론에 따르면 언론은 특정 문제를 공적 의제로 부각시키고 해석의 틀을 제공함으로써 사회적 현실을 구성하는 역할을 수행한다(Scheufele, 1999: 105-106). 이러한 관점에서 언론 텍스트는 공직사회를 둘러싼 가치체계와 인식 구조를 분석할 수 있는 중요한 자료로 기능한다(Berger &amp; Luckmann, 1966: 33-36; Foster, 2016: 378-380).</w:t>
      </w:r>
    </w:p>
    <w:p>
      <w:pPr>
        <w:pStyle w:val="1"/>
        <w:widowControl w:val="off"/>
      </w:pPr>
      <w:r>
        <w:rPr/>
        <w:t>이러한 맥락에서 볼 때, 2017년 이후 공직사회를 둘러싼 담론은 단순한 제도개혁 의제를 넘어 보다 다양한 사회적 이슈를 포괄하는 방향으로 확장된 것으로 보인다. 문재인 정부 시기에는 사람 중심 행정, 사회적 가치, 유연근무, 워라밸, 세대 관련 의제와 공정성 요구 등이 정책 담론과 언론 보도에서 빈번하게 등장하였으며(Joo et al., 2020: 5-7; Lee &amp; Kim, 2023: 106-108; 김지성, 2019: 152-153, 155; 정희정, 2019: 49-50), 동시에 코로나19 대응과 디지털 행정 전환과 같은 새로운 정책 의제도 부상하였다. 이러한 변화는 공직사회 담론이 단순한 정부 교체의 결과라기보다, 팬데믹, 디지털 전환, 세대 구성 변화 등 다양한 요인이 결합되는 과정에서 재구성되고 있음을 시사한다.</w:t>
      </w:r>
    </w:p>
    <w:p>
      <w:pPr>
        <w:pStyle w:val="1"/>
        <w:widowControl w:val="off"/>
      </w:pPr>
      <w:r>
        <w:rPr/>
        <w:t>최근 언론 보도에서도 유연근무제, 조직문화, 공정성, 조직 경험, MZ세대 공무원 등 가치 인식과 조직 경험을 반영하는 키워드가 반복적으로 등장하고 있다(김진영 외, 2024: 148, 153). 그러나 이러한 변화를 단선적인 전환으로 해석하기보다는, 제도개혁·성과관리 의제와 조직문화·공정성 의제, 그리고 위기 대응 및 디지털 전환 의제가 어떠한 방식으로 병존하고 재구성되고 있는지를 실증적으로 검토할 필요가 있다.</w:t>
      </w:r>
    </w:p>
    <w:p>
      <w:pPr>
        <w:pStyle w:val="1"/>
        <w:widowControl w:val="off"/>
      </w:pPr>
      <w:r>
        <w:rPr/>
        <w:t>주요 선행 연구들은 설문조사와 사례 연구를 통해 세대 차이, 조직문화 갈등, 직무만족, 이직의도 등을 설명해 왔다(Parker &amp; Bradley, 2000: 125-127; Wright &amp; Davis, 2003: 72-74; Jurkiewicz &amp; Brown, 1998: 20-22, 30-31). 구자군·이정욱(2024)은 X세대와 MZ세대 공무원의 이직의도를 비교하여 세대 간 워라밸 선호 차이를 제시하였고, 서진우·강종수(2022)는 MZ세대 공무원의 이직 사유로 조직문화 부적합 문제를 분석하였다. 또한 김진영 외(2024)와 황성호(2023)는 공정성 담론과 조직몰입 변화 등을 분석하며 공직사회 담론 변화의 가능성을 보여주었다. 그러나 기존 연구는 개인 수준의 분석에 주로 초점을 두고 있어, 언론 담론이 시기별로 형성하는 의제, 프레임, 구조를 장기 시계열 관점에서 체계적으로 분석할 필요가 있다.</w:t>
      </w:r>
    </w:p>
    <w:p>
      <w:pPr>
        <w:pStyle w:val="1"/>
        <w:widowControl w:val="off"/>
      </w:pPr>
      <w:r>
        <w:rPr/>
        <w:t>이를 위해 한국언론진흥재단 빅카인즈 데이터를 활용하여(2013~2022) 공직사회 담론의 구조와 변화 양상을 분석한다. 키워드 분석, 토픽모델링, 공출현 네트워크 분석을 결합하여 110만 건 이상의 뉴스 데이터를 다층적으로 분석하고, 해당 담론이 어떠한 요인들과 결합되어 형성되는지를 규명한다.</w:t>
      </w:r>
    </w:p>
    <w:p>
      <w:pPr>
        <w:pStyle w:val="2"/>
        <w:widowControl w:val="off"/>
      </w:pPr>
      <w:r>
        <w:rPr/>
        <w:t>Ⅱ</w:t>
      </w:r>
      <w:r>
        <w:rPr/>
        <w:t>. 이론적 배경</w:t>
      </w:r>
    </w:p>
    <w:p>
      <w:pPr>
        <w:pStyle w:val="3"/>
        <w:widowControl w:val="off"/>
      </w:pPr>
      <w:r>
        <w:rPr/>
        <w:t>1. 신공공관리론(NPM)과 박근혜 정부의 제도 중심 공직개혁 프레임</w:t>
      </w:r>
    </w:p>
    <w:p>
      <w:pPr>
        <w:pStyle w:val="1"/>
        <w:widowControl w:val="off"/>
      </w:pPr>
      <w:r>
        <w:rPr/>
        <w:t>신공공관리론(New Public Management, NPM)은 신제도주의 경제학에 뿌리를 두고 있으며, 공공조직의 비효율 문제를 제도 설계와 성과관리의 관점에서 설명한다(Williamson, 1985: 17-19; Jensen &amp; Meckling, 1976: 308-310). 이러한 이론적 관점은 공공조직을 효율성과 성과 중심으로 관리·통제해야 할 대상으로 이해하게 하며, 이후 행정개혁 담론의 핵심 틀로 작용하였다.</w:t>
      </w:r>
    </w:p>
    <w:p>
      <w:pPr>
        <w:pStyle w:val="1"/>
        <w:widowControl w:val="off"/>
      </w:pPr>
      <w:r>
        <w:rPr/>
        <w:t>한국 공공부문에서도 외환위기 이후 효율성과 성과 중심의 행정개혁이 지속적으로 추진되어 왔으며(Kim &amp; Han, 2015: 695), 이러한 흐름은 박근혜 정부 시기에 공무원연금 개혁, 성과연봉제 확대, 공공기관 정상화 정책 등을 통해 제도 중심 개혁 의제로 집중적으로 나타났다(노광표, 2015: 21-22; 배정숙, 2017: 2). 박근혜 정부는 공공부문을 구조개혁의 대상으로 규정하고 ‘비정상의 정상화’ 기조 아래 재정 건전성과 조직 효율성 문제를 강조하였다. 특히 공무원연금 개혁과 성과연봉제 확대는 성과를 기준으로 조직을 관리하려는 대표적인 신공공관리론적 정책으로 이해될 수 있다. 이러한 정책 기조는 공직사회를 개인의 경험이나 조직 내부 문화의 문제라기보다 국가 시스템 차원에서 효율적으로 관리·통제해야 할 제도적 관리·통제 대상으로 인식하는 관점을 반영한다.</w:t>
      </w:r>
    </w:p>
    <w:p>
      <w:pPr>
        <w:pStyle w:val="1"/>
        <w:widowControl w:val="off"/>
      </w:pPr>
      <w:r>
        <w:rPr/>
        <w:t>신공공관리론은 예산 절감과 서비스 효율성 제고에 일정한 기여를 했지만, 공공성 약화, 단기 성과주의, 조직 분절화 등의 문제점도 함께 제기되어 왔다(Byrkjeflot, 2016: 150-152; 이영, 2023: 3). 이는 박근혜 정부 시기 공직사회 담론에서 ‘연금’, ‘성과’, ‘평가’와 같은 제도개혁 관련 키워드가 상대적으로 강조되는 결과와 관련된 담론 구조로 나타났을 것으로 볼 수 있다. 언론은 특정 문제를 선택하고 강조하는 프레이밍 과정을 통해 공직사회 개혁을 국가 재정 문제나 성과관리 문제로 의미화할 수 있으며, 이러한 맥락에서 박근혜 정부 시기의 공직사회 담론은 제도개혁과 성과관리 중심의 의제 구조를 띠었을 것으로 예상된다.</w:t>
      </w:r>
    </w:p>
    <w:p>
      <w:pPr>
        <w:pStyle w:val="1"/>
        <w:widowControl w:val="off"/>
      </w:pPr>
      <w:r>
        <w:rPr/>
        <w:t>본 연구는 신공공관리론을 박근혜 정부 시기 공직사회 담론에서 제도개혁과 성과관리 의제가 상대적으로 강조되는 현상을 설명하기 위한 이론적 틀로 활용한다. 이에 따라 실증분석에서는 ‘연금’, ‘개혁’, ‘성과’, ‘평가’와 같은 제도 중심 키워드와 토픽이 다른 시기와 비교하여 어떠한 중요도와 관계 구조에서 어떠한 차이를 보이는지를 검증한다.</w:t>
      </w:r>
    </w:p>
    <w:p>
      <w:pPr>
        <w:pStyle w:val="3"/>
        <w:widowControl w:val="off"/>
      </w:pPr>
      <w:r>
        <w:rPr/>
        <w:t>2. 공공거버넌스 패러다임과 조직문화 관련 담론의 확대</w:t>
      </w:r>
    </w:p>
    <w:p>
      <w:pPr>
        <w:pStyle w:val="1"/>
        <w:widowControl w:val="off"/>
      </w:pPr>
      <w:r>
        <w:rPr/>
        <w:t>신공공관리론의 시장주의적 편향과 공공성 약화에 대한 비판이 제기되면서, 2000년대 후반 이후 공공거버넌스(New Public Governance) 패러다임이 부상하였다. Osborne(2006)는 이를 효율성과 성과 중심의 관리 논리를 넘어서는 대안적 행정 패러다임으로 제시하였으며, Christensen(2012) 등의 연구를 통해 이론적 논의가 확장되었다. 이러한 흐름은 Moore(1997)의 공공가치 이론과 Torfing et al.(2019)의 논의를 통해 구체화되며, 공공조직이 단순한 효율성 지표를 넘어 가치 제안, 조직 역량, 외부 환경과의 정합성 속에서 공공가치를 창출해야 한다는 관점으로 발전하였다.</w:t>
      </w:r>
    </w:p>
    <w:p>
      <w:pPr>
        <w:pStyle w:val="1"/>
        <w:widowControl w:val="off"/>
      </w:pPr>
      <w:r>
        <w:rPr/>
        <w:t>이와 같은 공공거버넌스적 관점은 2017년 이후 한국 행정 담론에서도 보다 뚜렷하게 나타났다. 문재인 정부는 사람 중심 행정, 사회적 가치, 포용, 삶의 질과 같은 정책 방향을 강조하였으며(조영철, 2018: 134-135; 남궁근, 2019: 35-36), 관련 연구들 역시 이러한 변화가 공공조직의 가치지향적 전환과 연관되어 있음을 지적하고 있으며, 이러한 변화는 공직사회 담론에서도 조직문화와 가치 중심 의제가 상대적으로 확대되는 양상이 나타난다(Yoon &amp; Lee, 2020: 7-9). 이 시기 정부혁신 담론은 단순한 제도 구조 개편을 넘어 공공조직 내부의 조직문화, 신뢰, 구성원의 동기와 같은 내부 관리 요소의 변화를 함께 강조하는 방향으로 전개되었다(Lee et al., 2020: 291-292). 그러나 이러한 변화는 제도개혁 중심 의제와 조직문화 및 가치 중심 의제가 어떠한 방식으로 병존하며 재구성되었는지를 비교적으로 검토할 필요가 있다.</w:t>
      </w:r>
    </w:p>
    <w:p>
      <w:pPr>
        <w:pStyle w:val="1"/>
        <w:widowControl w:val="off"/>
      </w:pPr>
      <w:r>
        <w:rPr/>
        <w:t>워라밸과 유연근무 확대는 공무원을 통제의 대상이 아닌 자율적 행위자로 인식하는 조직문화 변화와 연결되며, 이는 수평적 소통과 협력을 강조하는 공공거버넌스 논의와 맞닿아 있다(Shim, 2021: 1-2, 13-14). 다만 이러한 조직문화 관련 담론의 확대는 정부 정책 기조만으로 설명되기 어렵다. 코로나19 팬데믹을 계기로 원격근무와 유연근무가 확산되었고, 디지털 전환과 온라인 협업 환경의 확대 역시 공직사회의 일하는 방식과 조직 경험을 변화시킨 중요한 외생적 요인이 되었다. 따라서 문재인 정부 시기의 조직문화 담론은 정부의 가치지향 변화뿐 아니라 팬데믹과 디지털 전환이라는 환경 변화가 결합된 결과로 이해할 수 있으며, 이는 조직문화 관련 담론이 정책 기조뿐 아니라 외생적 환경 변화에 의해 함께 형성될 수 있음을 시사한다.</w:t>
      </w:r>
    </w:p>
    <w:p>
      <w:pPr>
        <w:pStyle w:val="1"/>
        <w:widowControl w:val="off"/>
      </w:pPr>
      <w:r>
        <w:rPr/>
        <w:t>최근 공직사회에서 공정성과 조직 경험에 대한 요구가 확대되고 있으며, 이는 조직문화 담론의 확장과 연결될 수 있다. 다만 이러한 변화는 특정 세대 요인만으로 설명되기보다 정책 의제와 환경 변화가 결합된 결과로 이해된다.</w:t>
      </w:r>
    </w:p>
    <w:p>
      <w:pPr>
        <w:pStyle w:val="1"/>
        <w:widowControl w:val="off"/>
      </w:pPr>
      <w:r>
        <w:rPr/>
        <w:t>본 절의 논의는 문재인 정부 시기의 공직사회 담론을 단순히 사람 중심 행정의 결과로 단정하기 보다는 조직문화, 근무환경, 공정성, 유연근무 등 다양한 요소가 부각되는 담론 구조를 설명하는 데 활용되며, 실증분석에서는 이와 관련된 단어군과 토픽군이 실제로 어떠한 비중과 관계 구조를 보이는지를 박근혜 정부 시기와 비교하여 검토한다. 이를 통해 공공거버넌스 패러다임 변화와 환경 요인이 공직사회 담론에서 어떻게 결합되어 나타나는지를 분석한다.</w:t>
      </w:r>
    </w:p>
    <w:p>
      <w:pPr>
        <w:pStyle w:val="3"/>
        <w:widowControl w:val="off"/>
      </w:pPr>
      <w:r>
        <w:rPr/>
        <w:t>3. 세대 담론과 공직사회 가치관 변화</w:t>
      </w:r>
    </w:p>
    <w:p>
      <w:pPr>
        <w:pStyle w:val="1"/>
        <w:widowControl w:val="off"/>
      </w:pPr>
      <w:r>
        <w:rPr/>
        <w:t xml:space="preserve">한국 공직사회의 세대 관련 담론은 조직문화와 직무 인식 변화 가능성을 설명하는 보조적 이론 틀로 활용될 수 있다. Strauss와 Howe(1991)의 세대 이론은 출생 코호트에 따라 가치관, 행동양식, 사회적 기대가 차이를 보일 수 있음을 제시하며, 이러한 차이가 조직문화와 제도에 대한 기대의 차이로 이어질 수 있음을 시사한다. 특히 최근 공공조직에서 유입되고 있는 MZ세대는 디지털 환경에 익숙한 디지털 네이티브 세대로서 개인주의, 워라밸(Work-Life Balance), 공정성, 자율성과 같은 비물질적 가치를 상대적으로 더 중시하는 경향이 있다는 점이 선행연구에서 반복적으로 지적되어 왔다(박순형, 2022: 4). </w:t>
      </w:r>
    </w:p>
    <w:p>
      <w:pPr>
        <w:pStyle w:val="1"/>
        <w:widowControl w:val="off"/>
      </w:pPr>
      <w:r>
        <w:rPr/>
        <w:t>이러한 차이를 세대로 단순화하거나 일반화하여 해석하는 것은 주의해야 할 부분이지만 공직사회에서 나타나고 있는 차이를 설명하는 여러 설명 기준 중 하나로 활용될 수 있다. 세대 관련 차이에 대한 해석은 Inglehart(1977)의 물질주의</w:t>
      </w:r>
      <w:r>
        <w:rPr/>
        <w:t>–후기물질주의</w:t>
      </w:r>
      <w:r>
        <w:rPr/>
        <w:t xml:space="preserve"> 가치 변화 이론을 통해서 보완될 수 있다. 가치 변화 이론은 경제 성장기를 경험한 세대는 안정성과 경제적 성취를 우선시하는 경향이 있는 반면, 후기물질주의 성향이 강한 세대는 자기실현, 삶의 질, 공정성 등 가치지향적 요소를 상대적으로 더 중시하는 경향을 보인다(Inglehart, 1977: 440-442, 448). 따라서, 공직사회 내부에서 전통적인 연공서열 체계, 수직적 의사소통 구조, 절차 중심 행정 운영과 새로운 세대의 기대 사이에 긴장이 발생할 수 있는 것이다. </w:t>
      </w:r>
    </w:p>
    <w:p>
      <w:pPr>
        <w:pStyle w:val="1"/>
        <w:widowControl w:val="off"/>
      </w:pPr>
      <w:r>
        <w:rPr/>
        <w:t>실제 선행연구들 역시 MZ세대 공무원의 워라밸 선호, 조직문화 부적합, 이직의도, 공정성 민감성 등을 설명한다(구자군·이정욱, 2024: 245-246; 황성호, 2023: 218-220). 이 과정에서 세대 관련 가치 차이는 공공조직 내 갈등과 적응 문제로 이어질 수 있다. 그러나 본 연구는 이러한 세대 관련 의제가 곧바로 공직사회 담론 전체의 중심축 이동을 의미한다고 전제하지 않는다. 근무환경과 공정성 관련 의제는 언론 담론 속에서 다른 정책 의제들과 결합하여 나타날 수 있으며, 특히 코로나19 팬데믹과 디지털 전환은 이러한 담론 확산에 영향을 미친 주요 환경 요인으로 볼 수 있다.</w:t>
      </w:r>
    </w:p>
    <w:p>
      <w:pPr>
        <w:pStyle w:val="1"/>
        <w:widowControl w:val="off"/>
      </w:pPr>
      <w:r>
        <w:rPr/>
        <w:t>본 연구에서 세대 이론은 문재인 정부 시기 공직사회 담론을 설명하는 독립적 원인 변수라기보다, 조직문화 및 공정성 담론과 함께 팬데믹과 디지털 전환이라는 외생적 요인과 결합된 맥락에서 이해된다. 실증분석에서는 조직문화, 근무환경, 공정성과 관련된 단어군과 네트워크 지표가 실제로 어떠한 비중과 관계 구조를 보이는지를 다른 정책 의제들과의 관계 속에서 비교적으로 검토한다. 이러한 접근은 공직사회 담론의 구조적 특성을 실증적으로 확인하기 위한 분석 틀로 활용된다.</w:t>
      </w:r>
    </w:p>
    <w:p>
      <w:pPr>
        <w:pStyle w:val="3"/>
        <w:widowControl w:val="off"/>
      </w:pPr>
      <w:r>
        <w:rPr/>
        <w:t>4. 언론의 프레이밍·의제설정 이론과 담론 구조 변화</w:t>
      </w:r>
    </w:p>
    <w:p>
      <w:pPr>
        <w:pStyle w:val="1"/>
        <w:widowControl w:val="off"/>
      </w:pPr>
      <w:r>
        <w:rPr/>
        <w:t>프레이밍 이론(framing theory)은 언론이 특정 이슈를 어떠한 관점에서 해석하고 강조하는지를 설명한다. Entman(1993)은 프레임을 문제 진단, 원인 규정, 도덕적 평가, 해결책 제시라는 네 가지 기능을 통해 작동하는 해석 틀로 설명하며, 언론이 단순한 사실 전달을 넘어 특정한 해석 구조를 구성한다고 보았다. Gamson과 Modigliani(1989) 역시 프레임이 문제 정의, 해석 장치, 해결책, 도덕적 평가를 조직하는 방식으로 작동한다고 설명하였다. 이러한 관점은 언론이 공직사회를 개혁의 대상, 성과관리의 문제, 조직문화 갈등의 공간, 혹은 공정성과 세대 문제의 장으로 상이하게 재현할 수 있음을 보여준다.</w:t>
      </w:r>
    </w:p>
    <w:p>
      <w:pPr>
        <w:pStyle w:val="1"/>
        <w:widowControl w:val="off"/>
      </w:pPr>
      <w:r>
        <w:rPr/>
        <w:t>의제설정 이론(agenda setting theory)은 언론이 특정 이슈를 얼마나 자주 그리고 어떤 방식으로 보도하는가에 따라 대중의 중요도 인식 형성 과정으로 이해된다(McCombs &amp; Shaw, 1972: 177). 특히 2수준 의제설정 이론은 동일한 이슈라도 어떤 속성이 강조되는가에 따라 공중의 인식 구조가 달라질 수 있음을 제시한다. 이 관점에서 보면 공직사회라는 동일한 주제도 한 시기에는 연금, 성과, 개혁과 같은 제도개혁 속성이 강조될 수 있고, 다른 시기에는 조직문화, 근무환경, 공정성과 같은 구성원 경험 관련 속성이 상대적으로 부각될 수 있다. 따라서 의제설정 이론과 프레이밍 이론은 공직사회 담론의 시기별 차이를 이해하는 데 상호보완적인 분석 틀을 제공한다.</w:t>
      </w:r>
    </w:p>
    <w:p>
      <w:pPr>
        <w:pStyle w:val="1"/>
        <w:widowControl w:val="off"/>
      </w:pPr>
      <w:r>
        <w:rPr/>
        <w:t>나아가 Guo et al.(2012)이 제시한 네트워크 의제설정 이론은 개별 이슈와 속성의 중요도뿐 아니라 서로 다른 이슈와 속성들이 어떠한 관계 구조 속에서 함께 제시되는지를 분석한다는 점에서 본 연구의 공출현 네트워크 분석 접근과 직접적으로 연결된다. 이는 공직사회 담론의 변화를 특정 키워드의 빈도 변화만으로 파악하는 데 그치지 않고, 관련 키워드들이 형성하는 토픽 구조와 공출현 네트워크를 함께 분석할 필요성을 시사한다. 즉 어떤 의제가 부각되는가와 함께, 그 의제가 어떠한 속성과 연결되어 의미화되는지를 파악하는 것이 중요하다.</w:t>
      </w:r>
    </w:p>
    <w:p>
      <w:pPr>
        <w:pStyle w:val="1"/>
        <w:widowControl w:val="off"/>
      </w:pPr>
      <w:r>
        <w:rPr/>
        <w:t>본 연구는 이러한 이론적 관점을 바탕으로 공직사회 담론의 시기별 변화를 의제, 프레임, 구조의 세 수준에서 분석한다. 구체적으로 의제 수준에서는 핵심 키워드와 차별적 의제의 변화를 검토하고, 프레임 수준에서는 토픽 모델링을 통해 담론 프레임의 구성을 비교하며, 구조 수준에서는 공출현 네트워크 분석을 통해 핵심 단어 간 관계 구조의 변화를 분석한다. 이를 통해 언론이 공직사회를 어떠한 문제로 부각하고, 어떠한 속성과 관계 구조 속에서 재현해 왔는지를 실증적으로 검토한다.</w:t>
      </w:r>
    </w:p>
    <w:p>
      <w:pPr>
        <w:pStyle w:val="3"/>
        <w:widowControl w:val="off"/>
      </w:pPr>
      <w:r>
        <w:rPr/>
        <w:t>5. 분석 대상 시기에 관한 관점과 선행연구</w:t>
      </w:r>
    </w:p>
    <w:p>
      <w:pPr>
        <w:pStyle w:val="1"/>
        <w:widowControl w:val="off"/>
      </w:pPr>
      <w:r>
        <w:rPr/>
        <w:t>본 연구의 분석 대상 시기(2013~2017년, 2017~2022년)는 단순한 시간적 구획이라기보다 한국 공직사회를 둘러싼 정책 기조와 행정환경에 일정한 차이가 나타난 시기로 이해될 수 있다. 다만 이러한 시기 구분은 행정 패러다임의 단선적 전환을 전제하기 위한 것이 아니라, 제도개혁과 성과관리 중심 의제와 조직문화·가치·구성원 경험 중심 의제가 시기별로 어떠한 방식으로 다뤄졌는지를 비교적으로 검토하기 위한 분석적 구분이다. 또한 정부 정책 기조의 변화와 함께 팬데믹, 디지털 전환, 세대 구성 변화와 같은 환경적 요인 역시 시기별 담론 차이에 영향을 미친 주요 환경 요인으로 함께 고려한다.</w:t>
      </w:r>
    </w:p>
    <w:p>
      <w:pPr>
        <w:pStyle w:val="1"/>
        <w:widowControl w:val="off"/>
      </w:pPr>
      <w:r>
        <w:rPr/>
        <w:t>박근혜 정부의 국정 기조는 ‘경제부흥’과 ‘국가혁신’을 중심으로 공공부문의 비효율성과 방만 경영 문제를 강조하였다(이영미, 2014: 2). 이러한 문제의식은 성과 중심 관리와 비용 대비 효율성을 강조하는 신공공관리론(New Public Management)적 행정개혁 방향과 일정한 관련성을 가진다(Tolofari, 2005: 75; Banks, 2011: 5-6; Bockel &amp; Noordegraaf, 2006: 585-586). 대표 정책인 ‘비정상의 정상화’, 공무원연금 개혁, 성과연봉제 확대, 공공기관 정상화 정책 등은 공직사회를 국가 시스템 차원에서 효율적으로 관리·통제해야 할 대상으로 이해하는 경향을 보여준다(Nam, 2016: 4). 이러한 정책 환경을 고려할 때 박근혜 정부 시기의 공직사회 담론에서는 연금, 성과, 개혁, 효율과 같은 제도 중심 의제가 강조되었을 가능성이 있다.</w:t>
      </w:r>
    </w:p>
    <w:p>
      <w:pPr>
        <w:pStyle w:val="1"/>
        <w:widowControl w:val="off"/>
      </w:pPr>
      <w:r>
        <w:rPr/>
        <w:t>문재인 정부 시기에는 사람 중심 경제, 내 삶을 책임지는 국가, 사회적 가치와 같은 정책 기조가 강조되었으며(조영철, 2018: 134; 이인원·이영미, 2019: 1-2), 이와 함께 공정성과 가치 인식, 조직 경험을 둘러싼 논의가 확대되었으며(정태석, 2021: 13-14), 유연근무와 워라밸과 같은 일하는 방식도 함께 논의되었다(배귀희·양건모, 2011: 126, 130). 이러한 변화는 공공거버넌스 및 공공가치 논의와 연결되며 공직사회를 공공가치 창출과 조직 경험의 주체로 이해하려는 관점과 이론적으로 연결된다. 그러나 이러한 경향 역시 정부 정책 기조만으로 환원하기 어렵다. 코로나19 팬데믹을 계기로 유연근무가 확산되었고 디지털 전환의 가속화와 MZ세대 공무원의 유입 확대도 공직사회의 일하는 방식과 조직 경험을 변화시킨 중요한 환경적 요인이 되기 때문이다.</w:t>
      </w:r>
    </w:p>
    <w:p>
      <w:pPr>
        <w:pStyle w:val="1"/>
        <w:widowControl w:val="off"/>
      </w:pPr>
      <w:r>
        <w:rPr/>
        <w:t>특히 최근 공직사회에서는 MZ세대 공무원의 증가와 함께 자율성, 공정성, 일과 삶의 균형, 조직문화 개선과 관련된 문제가 공직사회 논의에서 보다 빈번하게 등장하고 있다(황성호, 2023: 218-220; 김진영 외, 2024: 148, 153). 그러나 이러한 변화를 공직사회 담론이 사람 중심 또는 가치 중심으로 단선적으로 이동한 결과로 해석하기보다는 제도개혁과 성과관리 의제, 조직문화와 공정성 의제, 그리고 위기 대응과 디지털 전환 의제가 어떠한 방식으로 병존하며 재구성되고 있는지를 실증적으로 검토할 필요가 있다.</w:t>
      </w:r>
    </w:p>
    <w:p>
      <w:pPr>
        <w:pStyle w:val="1"/>
        <w:widowControl w:val="off"/>
      </w:pPr>
      <w:r>
        <w:rPr/>
        <w:t>한편 공직사회 변화와 관련한 선행연구는 크게 세 가지 흐름으로 전개되어 왔다. 첫째, 신공공관리론을 중심으로 한 제도개혁 연구는 IMF 외환위기 이후 한국 공공부문의 효율성 강화, 성과관리, 공공기관 개혁 등 제도적 변화에 주목해 왔다(Kim &amp; Han, 2015: 695, 697). 특히 2015년 공무원연금 개혁은 대표적인 제도개혁 사례로 다수의 연구에서 분석되어 왔다(이창호, 2017: 1-3). 그러나 이러한 정책 변화가 언론 담론의 구조 변화와 어떠한 관계를 가지는지를 분석한 연구는 상대적으로 제한적이다.</w:t>
      </w:r>
    </w:p>
    <w:p>
      <w:pPr>
        <w:pStyle w:val="1"/>
        <w:widowControl w:val="off"/>
      </w:pPr>
      <w:r>
        <w:rPr/>
        <w:t>둘째, 최근에는 코로나19와 MZ세대 공무원의 유입 확대를 배경으로 조직문화, 워라밸, 공정성, 조직몰입, 이직의도 등을 다룬 연구가 증가하였다. 이러한 연구들은 공직사회 내부에서 새로운 가치와 조직 경험이 중요한 논점으로 부상하고 있음을 보여준다(황성호, 2023: 218-220; 김진영 외, 2024: 148, 153). 그러나 이러한 연구들은 주로 공무원의 태도와 인식에 초점을 두고 있어, 이러한 변화가 사회적 담론 수준에서 어떻게 재현되고 있는지를 분석하는 데에는 한계가 있다.</w:t>
      </w:r>
    </w:p>
    <w:p>
      <w:pPr>
        <w:pStyle w:val="1"/>
        <w:widowControl w:val="off"/>
      </w:pPr>
      <w:r>
        <w:rPr/>
        <w:t>셋째, 언론 프레이밍과 정책 갈등을 다룬 연구들도 축적되어 왔다. 이러한 연구들은 언론이 정책 이슈를 어떠한 방식으로 해석하고 강조하는지를 분석함으로써 정책 갈등과 공공 인식 형성 과정을 설명해 왔다. 그러나 공직사회라는 특정 정책 영역에서 언론 담론의 구조와 변화 양상을 장기 시계열로 분석한 연구는 상대적으로 제한적이다.</w:t>
      </w:r>
    </w:p>
    <w:p>
      <w:pPr>
        <w:pStyle w:val="1"/>
        <w:widowControl w:val="off"/>
      </w:pPr>
      <w:r>
        <w:rPr/>
        <w:t>공직사회 담론의 장기적 변화 흐름을 체계적으로 분석할 필요가 있으며, 특히 세대 변화 연구에서 언론이 이를 어떠한 의제와 프레임으로 구성하는지에 대한 분석도 보완될 필요가 있다. 또한 빅데이터 기반으로 키워드, 토픽, 네트워크 구조를 통합적으로 분석한 연구는 여전히 제한적이다. 따라서 본 연구는 이러한 한계를 보완하여 공직사회 담론을 의제, 프레임, 구조의 세 수준에서 장기 시계열로 분석한다.</w:t>
      </w:r>
    </w:p>
    <w:p>
      <w:pPr>
        <w:pStyle w:val="2"/>
        <w:widowControl w:val="off"/>
        <w:rPr/>
      </w:pPr>
    </w:p>
    <w:p>
      <w:pPr>
        <w:pStyle w:val="2"/>
        <w:widowControl w:val="off"/>
      </w:pPr>
      <w:r>
        <w:rPr/>
        <w:t>Ⅲ</w:t>
      </w:r>
      <w:r>
        <w:rPr/>
        <w:t>. 연구 설계</w:t>
      </w:r>
    </w:p>
    <w:p>
      <w:pPr>
        <w:pStyle w:val="3"/>
        <w:widowControl w:val="off"/>
      </w:pPr>
      <w:r>
        <w:rPr/>
        <w:t>1. 연구모형 및 연구가설</w:t>
      </w:r>
    </w:p>
    <w:p>
      <w:pPr>
        <w:pStyle w:val="1"/>
        <w:widowControl w:val="off"/>
      </w:pPr>
      <w:r>
        <w:rPr/>
        <w:t>본 연구는 박근혜 정부(2013</w:t>
      </w:r>
      <w:r>
        <w:rPr/>
        <w:t>–</w:t>
      </w:r>
      <w:r>
        <w:rPr/>
        <w:t>2017년)와 문재인 정부(2017</w:t>
      </w:r>
      <w:r>
        <w:rPr/>
        <w:t>–</w:t>
      </w:r>
      <w:r>
        <w:rPr/>
        <w:t>2022년)를 비교 시점으로 설정하여, 한국 언론에 나타난 공직사회 담론의 시기별 차이를 실증적으로 분석하고자 한다. 두 시기는 단순한 연속된 연도 구간이라기보다, 공직사회를 둘러싼 정책 기조와 행정환경, 그리고 사회적 쟁점의 구성이 상이하게 나타난 시기로 이해될 수 있다. 다만 본 연구는 이러한 시기 구분을 행정 패러다임의 단선적 전환으로 전제하지 않으며, 제도개혁·성과관리 의제와 조직문화·공정성 관련 의제, 그리고 위기대응·디지털 전환 관련 의제가 시기별로 어떠한 상대적 비중과 결합 구조를 보이는지를 비교적으로 검토한다.</w:t>
      </w:r>
    </w:p>
    <w:p>
      <w:pPr>
        <w:pStyle w:val="1"/>
        <w:widowControl w:val="off"/>
      </w:pPr>
      <w:r>
        <w:rPr/>
        <w:t>담론 분석의 차원은 의제설정이론과 프레이밍이론에 근거하여 의제 수준, 프레임 수준, 구조 수준으로 구분하였다. 의제 수준은 공직사회 관련 기사에서 어떤 키워드가 상대적으로 중요한 의미를 획득하는지를, 프레임 수준은 공직사회가 어떠한 주제 묶음과 의미 구조 속에서 구성되는지를, 구조 수준은 핵심 개념들 간 관계망이 어떠한 연결 구조와 중심성을 보이는지를 각각 포착하고자 한다. 여기서 구조 수준은 단어 간 공출현 관계망을 의미하며, 이는 토픽 비중과 구별되는 관계 구조의 변화를 분석 대상으로 한다.</w:t>
      </w:r>
    </w:p>
    <w:p>
      <w:pPr>
        <w:pStyle w:val="1"/>
        <w:widowControl w:val="off"/>
      </w:pPr>
      <w:r>
        <w:rPr/>
        <w:t xml:space="preserve"> </w:t>
      </w:r>
    </w:p>
    <w:p>
      <w:pPr>
        <w:pStyle w:val="6"/>
        <w:widowControl w:val="off"/>
      </w:pPr>
      <w:r>
        <w:rPr/>
        <w:t>&lt;그림 1 : 연구모형&gt;</w:t>
      </w:r>
    </w:p>
    <w:p>
      <w:pPr>
        <w:pStyle w:val="1"/>
        <w:widowControl w:val="off"/>
        <w:wordWrap w:val="1"/>
        <w:jc w:val="center"/>
      </w:pPr>
      <w:r>
        <w:drawing>
          <wp:inline distT="0" distB="0" distL="0" distR="0">
            <wp:extent cx="4304538" cy="2431415"/>
            <wp:effectExtent l="0" t="0" r="0" b="0"/>
            <wp:docPr id="1" name="그림 %d 1"/>
            <wp:cNvGraphicFramePr/>
            <a:graphic>
              <a:graphicData uri="http://schemas.openxmlformats.org/drawingml/2006/picture">
                <pic:pic>
                  <pic:nvPicPr>
                    <pic:cNvPr id="0" name="C:\Temp\Hnc\BinData\EMB00001244201a.bmp"/>
                    <pic:cNvPicPr/>
                  </pic:nvPicPr>
                  <pic:blipFill>
                    <a:blip r:embed="rId1"/>
                    <a:stretch>
                      <a:fillRect/>
                    </a:stretch>
                  </pic:blipFill>
                  <pic:spPr>
                    <a:xfrm>
                      <a:off x="0" y="0"/>
                      <a:ext cx="4304538" cy="2431415"/>
                    </a:xfrm>
                    <a:prstGeom prst="rect">
                      <a:avLst/>
                    </a:prstGeom>
                    <a:effectLst/>
                  </pic:spPr>
                </pic:pic>
              </a:graphicData>
            </a:graphic>
          </wp:inline>
        </w:drawing>
      </w:r>
    </w:p>
    <w:p>
      <w:pPr>
        <w:pStyle w:val="1"/>
        <w:widowControl w:val="off"/>
      </w:pPr>
      <w:r>
        <w:rPr/>
        <w:t>본 연구의 분석 모형은 두 시기의 정책 기조와 행정환경 차이가 언론 담론의 의제, 프레임, 구조 수준에서 어떠한 차이를 보이는지를 분석하기 위한 틀로 구성된다. 이를 위해 전체 분석 기간을 박근혜 정부 시기(2013~2017년)와 문재인 정부 시기(2017~2022년)로 구분하고, 각 시기별 공직사회 관련 뉴스 텍스트를 비교 분석하였다.</w:t>
      </w:r>
    </w:p>
    <w:p>
      <w:pPr>
        <w:pStyle w:val="1"/>
        <w:widowControl w:val="off"/>
      </w:pPr>
      <w:r>
        <w:rPr/>
        <w:t>박근혜 정부 시기는 공무원연금 개혁, 성과연봉제 도입, 공공기관 정상화 정책 등 제도개혁과 성과관리 중심 정책이 강조된 시기로 이해될 수 있으며, 이에 따라 공직사회 담론에서도 연금, 성과, 개혁, 효율과 같은 제도 중심 의제가 상대적으로 강조된 것으로 해석될 수 있다. 반면 문재인 정부 시기에는 사람 중심 행정, 사회적 가치, 조직문화 개선, 유연근무 확대 등의 정책 논의와 함께 조직문화, 근무환경, 공정성, 디지털 전환, 위기 대응과 같은 다양한 의제가 공직사회 담론에서 보다 적극적으로 제기된 것으로 나타난다.</w:t>
      </w:r>
    </w:p>
    <w:p>
      <w:pPr>
        <w:pStyle w:val="1"/>
        <w:widowControl w:val="off"/>
      </w:pPr>
      <w:r>
        <w:rPr/>
        <w:t>특히 분석 기간 중 코로나19 팬데믹이라는 외생적 충격이 발생하였다는 점을 고려할 필요가 있다. 팬데믹은 공공조직의 업무 방식과 정책 의제를 변화시킨 외생적 요인이며, 공직사회 담론의 의제 구성과 의미 구조에도 영향을 미친 주요 환경 변수로 볼 수 있다. 동시에 두 시기에 걸쳐 공직사회 담론에서 일관되게 유지된 공통 기반 역시 존재한다. 공무원 인사, 조직 운영, 정책 집행과 같은 행정의 기본 문제는 어느 시기에도 담론의 중심적 층위를 형성하였다. 따라서 본 연구는 담론 변화가 특정 정부의 정책 기조만으로 설명되기보다는, 정책 방향, 팬데믹, 디지털 전환, 세대 구성 변화 등 여러 요인이 결합된 결과로 이해한다.</w:t>
      </w:r>
    </w:p>
    <w:p>
      <w:pPr>
        <w:pStyle w:val="1"/>
        <w:widowControl w:val="off"/>
      </w:pPr>
      <w:r>
        <w:rPr/>
        <w:t>이러한 논의를 바탕으로 본 연구는 공직사회 담론의 시기별 차이가 의제, 프레임, 구조 수준에서 각각 다르게 나타날 것으로 보고, 다음과 같은 연구 가설을 설정하였다.</w:t>
      </w:r>
    </w:p>
    <w:p>
      <w:pPr>
        <w:pStyle w:val="1"/>
        <w:widowControl w:val="off"/>
      </w:pPr>
      <w:r>
        <w:rPr/>
        <w:t>H1(의제 수준): 문재인 정부 시기 공직사회 담론에서는 조직문화, 근무환경, 공정성과 관련된 의제가 박근혜 정부 시기에 비해 상대적으로 더 높은 중요도를 보일 것이다.</w:t>
      </w:r>
    </w:p>
    <w:p>
      <w:pPr>
        <w:pStyle w:val="1"/>
        <w:widowControl w:val="off"/>
      </w:pPr>
      <w:r>
        <w:rPr/>
        <w:t>H2(프레임 수준): 문재인 정부 시기 공직사회 담론에서는 조직문화, 근무환경, 공정성과 관련된 토픽이 박근혜 정부 시기에 비해 상대적으로 더 높은 비중을 차지할 것이다.</w:t>
      </w:r>
    </w:p>
    <w:p>
      <w:pPr>
        <w:pStyle w:val="1"/>
        <w:widowControl w:val="off"/>
      </w:pPr>
      <w:r>
        <w:rPr/>
        <w:t>H3(구조 수준): 문재인 정부 시기 공직사회 담론에서는 조직문화, 근무환경, 공정성과 관련된 키워드가 공출현 네트워크에서 기존 제도 중심 키워드와의 결합 구조에서 변화를 보일 것이다.</w:t>
      </w:r>
    </w:p>
    <w:p>
      <w:pPr>
        <w:pStyle w:val="1"/>
        <w:widowControl w:val="off"/>
      </w:pPr>
      <w:r>
        <w:rPr/>
        <w:t>본 연구는 공직사회 담론의 시기별 차이를 단일 지표로 환원하지 않고, 의제 수준의 중요도 변화, 프레임 수준의 토픽 구성 차이, 구조 수준의 네트워크 결합 구조 변화를 상호보완적으로 검토한다. 이를 위해 제도개혁·성과관리 관련 어휘군과 조직문화·근무환경·공정성 관련 어휘군을 이론적 논의와 선행연구를 토대로 구성하였으며, 실제 데이터의 상위 출현 단어와 토픽 구성과의 교차 검토를 통해 분석 범주를 구체화하였다.</w:t>
      </w:r>
    </w:p>
    <w:p>
      <w:pPr>
        <w:pStyle w:val="1"/>
        <w:widowControl w:val="off"/>
      </w:pPr>
      <w:r>
        <w:rPr/>
        <w:t>구체적인 분석 절차는 다음과 같이 단계적으로 진행된다. 첫째, 키워드 빈도 분석과 TF-IDF, log-odds 분석을 통해 시기별 핵심 어휘와 차별적 의제의 변화를 확인한다. 둘째, LDA 토픽모델링을 활용하여 각 시기 담론의 잠재적 토픽 구조를 도출하고, 제도개혁·성과관리 관련 토픽과 조직문화·근무환경·공정성 관련 토픽의 상대적 비중을 비교한다. 셋째, 공출현 네트워크 분석을 통해 주요 키워드 간 관계 구조와 결합 양상의 차이를 검토함으로써, 공직사회 담론이 시기별로 어떠한 방식으로 조직되는지를 분석한다.</w:t>
      </w:r>
    </w:p>
    <w:p>
      <w:pPr>
        <w:pStyle w:val="1"/>
        <w:widowControl w:val="off"/>
      </w:pPr>
      <w:r>
        <w:rPr/>
        <w:t>이러한 다층적 분석을 통해 공직사회 담론의 시기별 차이를 단순한 의제 변화가 아닌, 의미 구조와 관계 구조의 재편이라는 관점에서 통합적으로 설명한다는 데 의의가 있다.</w:t>
      </w:r>
    </w:p>
    <w:p>
      <w:pPr>
        <w:pStyle w:val="6"/>
        <w:widowControl w:val="off"/>
      </w:pPr>
      <w:r>
        <w:rPr/>
        <w:t>&lt;그림 2 : 연구 설계&gt;</w:t>
      </w:r>
    </w:p>
    <w:p>
      <w:pPr>
        <w:pStyle w:val="1"/>
        <w:widowControl w:val="off"/>
        <w:wordWrap w:val="1"/>
        <w:jc w:val="center"/>
      </w:pPr>
      <w:r>
        <w:drawing>
          <wp:inline distT="0" distB="0" distL="0" distR="0">
            <wp:extent cx="4882134" cy="1615948"/>
            <wp:effectExtent l="0" t="0" r="0" b="0"/>
            <wp:docPr id="2" name="그림 %d 2"/>
            <wp:cNvGraphicFramePr/>
            <a:graphic>
              <a:graphicData uri="http://schemas.openxmlformats.org/drawingml/2006/picture">
                <pic:pic>
                  <pic:nvPicPr>
                    <pic:cNvPr id="0" name="C:\Temp\Hnc\BinData\EMB00001244201b.bmp"/>
                    <pic:cNvPicPr/>
                  </pic:nvPicPr>
                  <pic:blipFill>
                    <a:blip r:embed="rId2"/>
                    <a:stretch>
                      <a:fillRect/>
                    </a:stretch>
                  </pic:blipFill>
                  <pic:spPr>
                    <a:xfrm>
                      <a:off x="0" y="0"/>
                      <a:ext cx="4882134" cy="1615948"/>
                    </a:xfrm>
                    <a:prstGeom prst="rect">
                      <a:avLst/>
                    </a:prstGeom>
                    <a:effectLst/>
                  </pic:spPr>
                </pic:pic>
              </a:graphicData>
            </a:graphic>
          </wp:inline>
        </w:drawing>
      </w:r>
    </w:p>
    <w:p>
      <w:pPr>
        <w:pStyle w:val="3"/>
        <w:widowControl w:val="off"/>
      </w:pPr>
      <w:r>
        <w:rPr/>
        <w:t>2. 연구대상 및 자료수집</w:t>
      </w:r>
    </w:p>
    <w:p>
      <w:pPr>
        <w:pStyle w:val="1"/>
        <w:widowControl w:val="off"/>
      </w:pPr>
      <w:r>
        <w:rPr/>
        <w:t xml:space="preserve">본 연구는 한국언론진흥재단 빅카인즈(BigKinds) 플랫폼에서 수집한 공직사회 관련 뉴스 기사(2013.02.25.-2022.05.09., 총 1,105,749건)를 분석 대상으로 하였다. 특정 이념 편향성을 최소화하고자 보수 성향 언론(중앙일보·조선일보·동아일보), 진보 성향 언론(경향신문·한겨레·프레시안), 공영방송(KBS·MBC·SBS·YTN) 등 10개 언론사를 균형 있게 포함하였다. 본 연구는 보수·진보·공영 매체를 균형 있게 포함함으로써 특정 매체군 편중을 완화하고자 하였다. 다만 동일 시기 내에서도 언론사별 기사량과 보도 프레임의 차이가 존재할 수 있으므로, 이러한 조치가 매체 편향을 완전히 제거하는 것은 아니다. 따라서 본 연구의 결과는 언론 담론 전반의 시기별 차이를 보여주는 비교적 경향으로 해석할 필요가 있다. 빅카인즈 검색 키워드는 제도개혁(NPM) 담론과 조직문화·세대 담론의 대비를 반영하여 ‘공직사회’, ‘공무원’, ‘공직개혁’, ‘행정개혁’, ‘조직’, ‘혁신’, ‘제도’, ‘성과’, ‘평가’, ‘조직문화’, ‘근무환경’, ‘세대’, ‘청년’, ‘공정성’의 14개 핵심어를 OR 연산자로 결합하여 구성하였다. </w:t>
      </w:r>
    </w:p>
    <w:p>
      <w:pPr>
        <w:pStyle w:val="1"/>
        <w:widowControl w:val="off"/>
      </w:pPr>
      <w:r>
        <w:rPr/>
        <w:t>이들 키워드는 ‘공직사회’라는 포괄적 주제를 다양한 측면에서 포착하기 위해 구성된 것이나, ‘조직’, ‘혁신’, ‘제도’, ‘평가’와 같은 일반적인 행정 용어가 포함되어 있어 광범위한 기사를 포괄할 수 있다는 한계가 있다. 본 연구는 이러한 포괄적 검색이 공직사회 담론의 외연을 넓게 포착하기 위한 설계임을 밝힌다. 자료 전처리 결과, 박근혜 정부 시기 416,527건, 문재인 정부 시기 689,222건의 기사가 최종 분석에 활용되었다.</w:t>
      </w:r>
    </w:p>
    <w:p>
      <w:pPr>
        <w:pStyle w:val="6"/>
        <w:widowControl w:val="off"/>
      </w:pPr>
      <w:r>
        <w:rPr/>
        <w:t>&lt;표 1: 데이터 수집 및 전처리 현황&gt;</w:t>
      </w:r>
    </w:p>
    <w:tbl>
      <w:tblPr>
        <w:tblOverlap w:val="never"/>
        <w:tblW w:w="813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622"/>
        <w:gridCol w:w="5510"/>
      </w:tblGrid>
      <w:tr>
        <w:trPr>
          <w:trHeight w:val="236"/>
        </w:trPr>
        <w:tc>
          <w:tcPr>
            <w:tcW w:w="2622"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jc w:val="center"/>
            </w:pPr>
            <w:r>
              <w:rPr>
                <w:rFonts w:eastAsia="한양신명조"/>
                <w:b/>
                <w:sz w:val="18"/>
              </w:rPr>
              <w:t>항목</w:t>
            </w:r>
          </w:p>
        </w:tc>
        <w:tc>
          <w:tcPr>
            <w:tcW w:w="5510"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jc w:val="center"/>
            </w:pPr>
            <w:r>
              <w:rPr>
                <w:rFonts w:eastAsia="한양신명조"/>
                <w:b/>
                <w:sz w:val="18"/>
              </w:rPr>
              <w:t>내용</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분석 기간</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sz w:val="18"/>
              </w:rPr>
              <w:t>2013.02-2022.05</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원본 기사</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sz w:val="18"/>
              </w:rPr>
              <w:t>1,180,880건</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중복 제거 후</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sz w:val="18"/>
              </w:rPr>
              <w:t>1,123,786건(삭제된 기사 수: 57,094건)</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날짜 변환 실패 제거 후</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sz w:val="18"/>
              </w:rPr>
              <w:t>1,123,786건(변환 실패 기사 수: 0건)</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텍스트 전처리 후</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sz w:val="18"/>
              </w:rPr>
              <w:t>1,105,749건(재임 기간 전/후 기사 수: 18,037건)</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최종 분석용 데이터</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sz w:val="18"/>
              </w:rPr>
              <w:t>1,105,749건</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박근혜 정부</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sz w:val="18"/>
              </w:rPr>
              <w:t>416,527건</w:t>
            </w:r>
          </w:p>
        </w:tc>
      </w:tr>
      <w:tr>
        <w:trPr>
          <w:trHeight w:val="236"/>
        </w:trPr>
        <w:tc>
          <w:tcPr>
            <w:tcW w:w="2622" w:type="dxa"/>
            <w:tcBorders>
              <w:top w:val="single" w:color="000000" w:sz="3"/>
              <w:left w:val="none" w:color="000000" w:sz="3"/>
              <w:bottom w:val="single" w:color="000000" w:sz="3"/>
              <w:right w:val="single" w:color="000000" w:sz="3"/>
            </w:tcBorders>
            <w:vAlign w:val="center"/>
          </w:tcPr>
          <w:p>
            <w:pPr>
              <w:pStyle w:val="0"/>
              <w:widowControl w:val="off"/>
              <w:spacing w:line="288" w:lineRule="auto"/>
            </w:pPr>
            <w:r>
              <w:rPr>
                <w:rFonts w:ascii="한양신명조" w:eastAsia="한양신명조"/>
                <w:sz w:val="18"/>
              </w:rPr>
              <w:t>문재인 정부</w:t>
            </w:r>
          </w:p>
        </w:tc>
        <w:tc>
          <w:tcPr>
            <w:tcW w:w="5510"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sz w:val="18"/>
              </w:rPr>
              <w:t>689,222건</w:t>
            </w:r>
          </w:p>
        </w:tc>
      </w:tr>
      <w:tr>
        <w:trPr>
          <w:trHeight w:val="236"/>
        </w:trPr>
        <w:tc>
          <w:tcPr>
            <w:tcW w:w="2622" w:type="dxa"/>
            <w:tcBorders>
              <w:top w:val="single" w:color="000000" w:sz="3"/>
              <w:left w:val="none" w:color="000000" w:sz="3"/>
              <w:bottom w:val="single" w:color="000000" w:sz="9"/>
              <w:right w:val="single" w:color="000000" w:sz="3"/>
            </w:tcBorders>
            <w:vAlign w:val="center"/>
          </w:tcPr>
          <w:p>
            <w:pPr>
              <w:pStyle w:val="0"/>
              <w:widowControl w:val="off"/>
              <w:spacing w:line="288" w:lineRule="auto"/>
            </w:pPr>
            <w:r>
              <w:rPr>
                <w:rFonts w:ascii="한양신명조" w:eastAsia="한양신명조"/>
                <w:sz w:val="18"/>
              </w:rPr>
              <w:t>분석 단위</w:t>
            </w:r>
          </w:p>
        </w:tc>
        <w:tc>
          <w:tcPr>
            <w:tcW w:w="5510" w:type="dxa"/>
            <w:tcBorders>
              <w:top w:val="single" w:color="000000" w:sz="3"/>
              <w:left w:val="single" w:color="000000" w:sz="3"/>
              <w:bottom w:val="single" w:color="000000" w:sz="9"/>
              <w:right w:val="none" w:color="000000" w:sz="3"/>
            </w:tcBorders>
            <w:vAlign w:val="center"/>
          </w:tcPr>
          <w:p>
            <w:pPr>
              <w:pStyle w:val="0"/>
              <w:widowControl w:val="off"/>
              <w:spacing w:line="288" w:lineRule="auto"/>
            </w:pPr>
            <w:r>
              <w:rPr>
                <w:rFonts w:ascii="한양신명조" w:eastAsia="한양신명조"/>
                <w:sz w:val="18"/>
              </w:rPr>
              <w:t>기사 텍스트</w:t>
            </w:r>
          </w:p>
        </w:tc>
      </w:tr>
    </w:tbl>
    <w:p>
      <w:pPr>
        <w:pStyle w:val="1"/>
        <w:widowControl w:val="off"/>
      </w:pPr>
    </w:p>
    <w:p>
      <w:pPr>
        <w:pStyle w:val="1"/>
        <w:widowControl w:val="off"/>
        <w:rPr/>
      </w:pPr>
    </w:p>
    <w:p>
      <w:pPr>
        <w:pStyle w:val="3"/>
        <w:widowControl w:val="off"/>
      </w:pPr>
      <w:r>
        <w:rPr/>
        <w:t>3. 분석방법</w:t>
      </w:r>
    </w:p>
    <w:p>
      <w:pPr>
        <w:pStyle w:val="4"/>
        <w:widowControl w:val="off"/>
      </w:pPr>
      <w:r>
        <w:rPr/>
        <w:t>1) 텍스트 전처리 및 형태소 분석</w:t>
      </w:r>
    </w:p>
    <w:p>
      <w:pPr>
        <w:pStyle w:val="1"/>
        <w:widowControl w:val="off"/>
      </w:pPr>
      <w:r>
        <w:rPr/>
        <w:t>본 연구는 수집된 1,105,749건의 뉴스 기사에서 제목, 본문, 키워드를 결합하여 단일 텍스트 변수를 생성한 후 체계적인 전처리 과정을 수행하였다. 우선 정규표현식을 활용하여 숫자, 특수문자, 기자명, URL 등 분석에 불필요한 메타데이터를 제거하였다. 이후 KoNLPy의 Okt 형태소분석기를 적용하여 명사를 추출하였다(Park &amp; Cho, 2014: 134-135).</w:t>
      </w:r>
    </w:p>
    <w:p>
      <w:pPr>
        <w:pStyle w:val="1"/>
        <w:widowControl w:val="off"/>
      </w:pPr>
      <w:r>
        <w:rPr/>
        <w:t>불용어 처리는 세 단계에 걸쳐 수행되었다. 첫째, 조사·접속사·기능어와 함께 특정 인물·정당·기관명, 뉴스 작성 관행에서 반복적으로 등장하는 표현, 그리고 연구 주제와 직접 관련성이 낮은 일반 사회어를 포함하는 기본 불용어 세트를 구축하였다. 해당 기본 불용어 목록은 부록 2에 제시하였다. 둘째, 워드클라우드의 탐색적 분석 결과와 연구자의 해석적 검토를 바탕으로, ‘정책’, ‘평가’, ‘운영’ 등 공통 행정어는 조건부 불용어로 분류하였다. 이들 단어는 워드클라우드 및 LDA 분석에서는 유지하였으나, TF-IDF와 log-odds 분석에서는 시기별 차별성 확보를 위해 제외하였다. 조건부 불용어 목록과 분석별 적용 규칙은 부록 3에 제시하였다. 셋째, 의미가 불안정한 한 글자 명사와 숫자 및 외국어 토큰을 제거하였다. 이에 따라 최종 분석 대상은 두 글자 이상의 한글 명사로 한정하였다. 분석의 재현 가능성을 높이기 위하여 전처리와 관련된 규칙, 불용어 목록, 조건부 불용어 적용 기준을 부록에 명시하였으며, 동일한 비교 단위에서는 동일한 전처리 규칙을 적용하였다.</w:t>
      </w:r>
    </w:p>
    <w:p>
      <w:pPr>
        <w:pStyle w:val="4"/>
        <w:widowControl w:val="off"/>
      </w:pPr>
      <w:r>
        <w:rPr/>
        <w:t>2) 의제설정 분석: TF-IDF와 log-odds</w:t>
      </w:r>
    </w:p>
    <w:p>
      <w:pPr>
        <w:pStyle w:val="1"/>
        <w:widowControl w:val="off"/>
      </w:pPr>
      <w:r>
        <w:rPr/>
        <w:t>의제 수준 분석에서는 단순 빈도 비교를 넘어, 단어의 상대적 중요도와 통계적 차별성을 함께 검토하기 위해 TF-IDF와 log-odds 분석을 병행하였다. TF-IDF 분석은 scikit-learn의 TfidfVectorizer를 활용하여 수행하였다. 분석 파라미터는 최소 문서 빈도(min_df) 10, 최대 문서 비율(max_df) 0.7, 최대 특징어 수(max_features) 3,000으로 설정하였다. 정부 간 비교의 일관성을 확보하기 위해 전체 코퍼스를 기준으로 공통 어휘 공간을 구성한 뒤, 동일한 기준 아래 각 정부 시기의 평균 TF-IDF 값을 산출하였다. 이후 두 시기 간 차이를 바탕으로 상대적 중요도 변화를 비교하였다. 다만 TF-IDF 결과는 단어의 상대적 중요도를 보여주는 보조 지표로 해석했으며, 특정 단어의 정부별 차별성을 단독으로 판단하는 근거로 사용하지 않았다.</w:t>
      </w:r>
    </w:p>
    <w:p>
      <w:pPr>
        <w:pStyle w:val="1"/>
        <w:widowControl w:val="off"/>
      </w:pPr>
      <w:r>
        <w:rPr/>
        <w:t>둘째, log-odds 분석은 Monroe et al.(2008)의 informative Dirichlet prior 기법을 적용하여 수행하였다. 정부별 기사 텍스트에서 불용어를 제거한 후 단어 빈도를 집계하고, 두 정부의 전체 빈도를 합산하여 사전확률(informative prior)로 설정하였다. 희소 단어의 과대 추정을 방지하기 위해 양 정부 합산 등장 횟수 30회 미만 단어는 분석에서 제외하였다. 이후 각 단어에 대해 log-odds 값과 분산을 계산한 뒤 z-score로 변환하여 통계적 차별성을 검토하였다. z-score가 양수이면 문재인 정부 시기에서 상대적으로 강화된 단어, 음수이면 박근혜 정부 시기에서 상대적으로 강화된 단어로 해석하였다.</w:t>
      </w:r>
    </w:p>
    <w:p>
      <w:pPr>
        <w:pStyle w:val="1"/>
        <w:widowControl w:val="off"/>
      </w:pPr>
      <w:r>
        <w:rPr/>
        <w:t>셋째, 단일 지표에 대한 과의존을 방지하기 위하여 교차 검증을 실시하였다. TF-IDF에서 상대적 중요도 변화가 확인된 단어와 log-odds에서 통계적 차별성이 확인된 단어를 종합적으로 검토하였으며, 정량적으로 도출된 주요 차별 단어에 대해서는 KWIC(Key Word In Context) 분석을 통해 실제 기사 문맥에서 어떠한 의미로 사용되었는지를 질적으로 확인하였다(Fischer, 1966: 57-58; Sedano, 1964: 20-22; Matthews &amp; Shillingford, 1973: 140-142). KWIC 추출에는 분석 재현성을 위해 고정된 랜덤 시드(random seed = 42)를 적용하였다.</w:t>
      </w:r>
    </w:p>
    <w:p>
      <w:pPr>
        <w:pStyle w:val="4"/>
        <w:widowControl w:val="off"/>
      </w:pPr>
      <w:r>
        <w:rPr/>
        <w:t>3) 강건성 검사: 코로나 팬데믹 시기</w:t>
      </w:r>
    </w:p>
    <w:p>
      <w:pPr>
        <w:pStyle w:val="1"/>
        <w:widowControl w:val="off"/>
      </w:pPr>
      <w:r>
        <w:rPr/>
        <w:t>코로나19라는 외생적 충격이 담론 분석 결과에 미치는 영향을 검토하기 위해 강건성 검사를 수행하였다. 구체적으로 문재인 정부 시기를 코로나 이전(2017</w:t>
      </w:r>
      <w:r>
        <w:rPr/>
        <w:t>–</w:t>
      </w:r>
      <w:r>
        <w:rPr/>
        <w:t>2019)과 코로나 발생 이후(2020</w:t>
      </w:r>
      <w:r>
        <w:rPr/>
        <w:t>–</w:t>
      </w:r>
      <w:r>
        <w:rPr/>
        <w:t>2022)로 구분하여 TF-IDF 핵심 키워드 및 log-odds 비교를 추가적으로 실시하였다. 두 시기에서 공통적으로 나타나는 핵심 어휘 집합을 확인함으로써 특정 시기의 사건 효과가 분석 결과를 과도하게 왜곡할 가능성을 점검하였다.</w:t>
      </w:r>
    </w:p>
    <w:p>
      <w:pPr>
        <w:pStyle w:val="4"/>
        <w:widowControl w:val="off"/>
      </w:pPr>
      <w:r>
        <w:rPr/>
        <w:t>4) 프레임 구조 분석: LDA 토픽 모델링</w:t>
      </w:r>
    </w:p>
    <w:p>
      <w:pPr>
        <w:pStyle w:val="1"/>
        <w:widowControl w:val="off"/>
      </w:pPr>
      <w:r>
        <w:rPr/>
        <w:t>프레임 수준 분석을 위해 Gensim 라이브러리의 LDA(Latent Dirichlet Allocation) 토픽 모델링을 수행하였다. LDA는 문서 집합에서 잠재적으로 존재하는 주제를 확률적으로 추론하고, 각 토픽을 구성하는 단어 분포와 문서-토픽 할당 확률을 통해 의미 구조를 파악하는 기법이다(Blei et al., 2003: 994-995).  토픽 수(k)는 coherence 점수(c_v, u_mass)를 활용한 사전 분석을 통해 결정하였으며, 관련 결과는 부록 4에 제시하였다. 전체 코퍼스에서 50,000건을 무작위 추출(random seed=42)하여 토픽 수 6~12 범위에서 비교한 결과, k=10이 상대적으로 높은 coherence 값을 보이며, 토픽 간 구분성과 해석 가능성 측면에서 안정적인 결과를 나타내는 것으로 확인되었다. 이에 따라 본 분석에서는 k=10을 적용하였다. 이는 과도한 세분화를 방지하면서도 담론 구조를 비교적 안정적으로 설명할 수 있는 수준으로 판단된다. 시드 민감도 검증 결과 또한 부록 4에 제시하였다.</w:t>
      </w:r>
    </w:p>
    <w:p>
      <w:pPr>
        <w:pStyle w:val="6"/>
        <w:widowControl w:val="off"/>
      </w:pPr>
      <w:r>
        <w:rPr/>
        <w:t>&lt;그림 3&gt; 통합 LDA 토픽 구조 (k=10)</w:t>
      </w:r>
    </w:p>
    <w:p>
      <w:pPr>
        <w:pStyle w:val="1"/>
        <w:widowControl w:val="off"/>
      </w:pPr>
      <w:r>
        <w:drawing>
          <wp:inline distT="0" distB="0" distL="0" distR="0">
            <wp:extent cx="5220081" cy="2601087"/>
            <wp:effectExtent l="0" t="0" r="0" b="0"/>
            <wp:docPr id="3" name="그림 %d 3"/>
            <wp:cNvGraphicFramePr/>
            <a:graphic>
              <a:graphicData uri="http://schemas.openxmlformats.org/drawingml/2006/picture">
                <pic:pic>
                  <pic:nvPicPr>
                    <pic:cNvPr id="0" name="C:\Temp\Hnc\BinData\EMB00001244201c.bmp"/>
                    <pic:cNvPicPr/>
                  </pic:nvPicPr>
                  <pic:blipFill>
                    <a:blip r:embed="rId3"/>
                    <a:stretch>
                      <a:fillRect/>
                    </a:stretch>
                  </pic:blipFill>
                  <pic:spPr>
                    <a:xfrm>
                      <a:off x="0" y="0"/>
                      <a:ext cx="5220081" cy="2601087"/>
                    </a:xfrm>
                    <a:prstGeom prst="rect">
                      <a:avLst/>
                    </a:prstGeom>
                    <a:effectLst/>
                  </pic:spPr>
                </pic:pic>
              </a:graphicData>
            </a:graphic>
          </wp:inline>
        </w:drawing>
      </w:r>
    </w:p>
    <w:p>
      <w:pPr>
        <w:pStyle w:val="1"/>
        <w:widowControl w:val="off"/>
      </w:pPr>
      <w:r>
        <w:rPr/>
        <w:t>기존 연구에서는 시기별로 독립적인 LDA 모델을 구축하는 방식이 일반적으로 사용되어 왔으나, 이는 서로 다른 토픽 공간을 형성하게 되어 직접 비교에 한계를 가진다. 이를 보완하기 위해 본 연구는 통합 LDA 방식을 적용하였다. 또한 분석 결과 해석의 강건성을 확인하기 위해, 독립 LDA 결과를 보조적으로 병렬 검토하여 통합 LDA와의 방향성 일치 여부를 확인하였다. 전체 데이터를 단일 토픽 공간에서 학습한 후, 동일한 기준 하에서 정부별 문서-토픽 분포를 산출하여 담론 구조 차이를 비교하였다.</w:t>
      </w:r>
    </w:p>
    <w:p>
      <w:pPr>
        <w:pStyle w:val="6"/>
        <w:widowControl w:val="off"/>
      </w:pPr>
      <w:r>
        <w:rPr/>
        <w:t>&lt;그림 4&gt; 정부별 토픽 비중 비교</w:t>
      </w:r>
    </w:p>
    <w:p>
      <w:pPr>
        <w:pStyle w:val="1"/>
        <w:widowControl w:val="off"/>
      </w:pPr>
      <w:r>
        <w:drawing>
          <wp:inline distT="0" distB="0" distL="0" distR="0">
            <wp:extent cx="4764024" cy="2319655"/>
            <wp:effectExtent l="0" t="0" r="0" b="0"/>
            <wp:docPr id="4" name="그림 %d 4"/>
            <wp:cNvGraphicFramePr/>
            <a:graphic>
              <a:graphicData uri="http://schemas.openxmlformats.org/drawingml/2006/picture">
                <pic:pic>
                  <pic:nvPicPr>
                    <pic:cNvPr id="0" name="C:\Temp\Hnc\BinData\EMB00001244201d.bmp"/>
                    <pic:cNvPicPr/>
                  </pic:nvPicPr>
                  <pic:blipFill>
                    <a:blip r:embed="rId4"/>
                    <a:stretch>
                      <a:fillRect/>
                    </a:stretch>
                  </pic:blipFill>
                  <pic:spPr>
                    <a:xfrm>
                      <a:off x="0" y="0"/>
                      <a:ext cx="4764024" cy="2319655"/>
                    </a:xfrm>
                    <a:prstGeom prst="rect">
                      <a:avLst/>
                    </a:prstGeom>
                    <a:effectLst/>
                  </pic:spPr>
                </pic:pic>
              </a:graphicData>
            </a:graphic>
          </wp:inline>
        </w:drawing>
      </w:r>
    </w:p>
    <w:p>
      <w:pPr>
        <w:pStyle w:val="6"/>
        <w:widowControl w:val="off"/>
      </w:pPr>
      <w:r>
        <w:rPr/>
        <w:t>&lt;표 2&gt; 정부별 평균 토픽 비중</w:t>
      </w:r>
    </w:p>
    <w:tbl>
      <w:tblPr>
        <w:tblOverlap w:val="never"/>
        <w:tblW w:w="810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68"/>
        <w:gridCol w:w="3951"/>
        <w:gridCol w:w="1744"/>
        <w:gridCol w:w="1744"/>
      </w:tblGrid>
      <w:tr>
        <w:trPr>
          <w:trHeight w:val="56"/>
        </w:trPr>
        <w:tc>
          <w:tcPr>
            <w:tcW w:w="668" w:type="dxa"/>
            <w:tcBorders>
              <w:top w:val="single" w:color="000000" w:sz="9"/>
              <w:left w:val="none" w:color="000000" w:sz="3"/>
              <w:bottom w:val="single" w:color="000000" w:sz="3"/>
              <w:right w:val="single" w:color="000000" w:sz="3"/>
            </w:tcBorders>
            <w:shd w:val="clear" w:fill="cccccc"/>
            <w:vAlign w:val="center"/>
          </w:tcPr>
          <w:p>
            <w:pPr>
              <w:pStyle w:val="0"/>
              <w:widowControl w:val="off"/>
              <w:wordWrap w:val="1"/>
              <w:jc w:val="center"/>
            </w:pPr>
            <w:r>
              <w:rPr>
                <w:b/>
              </w:rPr>
              <w:t>토픽</w:t>
            </w:r>
          </w:p>
        </w:tc>
        <w:tc>
          <w:tcPr>
            <w:tcW w:w="3951"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rPr>
              <w:t>상위 키워드</w:t>
            </w:r>
          </w:p>
        </w:tc>
        <w:tc>
          <w:tcPr>
            <w:tcW w:w="1744"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rPr>
              <w:t>박근혜정부 (</w:t>
            </w:r>
            <w:r>
              <w:rPr>
                <w:b/>
              </w:rPr>
              <w:t>θ</w:t>
            </w:r>
            <w:r>
              <w:rPr>
                <w:b/>
              </w:rPr>
              <w:t>)</w:t>
            </w:r>
          </w:p>
        </w:tc>
        <w:tc>
          <w:tcPr>
            <w:tcW w:w="1744" w:type="dxa"/>
            <w:tcBorders>
              <w:top w:val="single" w:color="000000" w:sz="9"/>
              <w:left w:val="single" w:color="000000" w:sz="3"/>
              <w:bottom w:val="single" w:color="000000" w:sz="3"/>
              <w:right w:val="none" w:color="000000" w:sz="3"/>
            </w:tcBorders>
            <w:shd w:val="clear" w:fill="cccccc"/>
            <w:vAlign w:val="center"/>
          </w:tcPr>
          <w:p>
            <w:pPr>
              <w:pStyle w:val="0"/>
              <w:widowControl w:val="off"/>
              <w:wordWrap w:val="1"/>
              <w:jc w:val="center"/>
            </w:pPr>
            <w:r>
              <w:rPr>
                <w:b/>
              </w:rPr>
              <w:t>문재인정부 (</w:t>
            </w:r>
            <w:r>
              <w:rPr>
                <w:b/>
              </w:rPr>
              <w:t>θ</w:t>
            </w:r>
            <w:r>
              <w:rPr>
                <w:b/>
              </w:rPr>
              <w:t>)</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0</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코로나, 정책, 성과, 인사, 의미</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0.110</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0.110</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1</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공무원, 조직, 직원, 관리, 논란</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0.115</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0.096</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2</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교육, 여성, 마음, 청년, 운영</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0.144</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0.104</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3</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정책, 혁신, 인사, 추진, 개혁</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0.133</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0.122</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4</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임금, 노동자, 노조, 접종, 노동</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0.057</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0.059</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5</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코로나, 정책, 확진자, 방역, 일자리</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0.074</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0.111</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6</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주택, 연금, 청년, 추진, 복지</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0.107</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0.112</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7</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개혁, 일자리, 비판, 판단, 인사</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0.075</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0.088</w:t>
            </w:r>
          </w:p>
        </w:tc>
      </w:tr>
      <w:tr>
        <w:trPr>
          <w:trHeight w:val="56"/>
        </w:trPr>
        <w:tc>
          <w:tcPr>
            <w:tcW w:w="668" w:type="dxa"/>
            <w:tcBorders>
              <w:top w:val="single" w:color="000000" w:sz="3"/>
              <w:left w:val="none" w:color="000000" w:sz="3"/>
              <w:bottom w:val="single" w:color="000000" w:sz="3"/>
              <w:right w:val="single" w:color="000000" w:sz="3"/>
            </w:tcBorders>
            <w:vAlign w:val="center"/>
          </w:tcPr>
          <w:p>
            <w:pPr>
              <w:pStyle w:val="0"/>
              <w:widowControl w:val="off"/>
            </w:pPr>
            <w:r>
              <w:rPr/>
              <w:t>8</w:t>
            </w:r>
          </w:p>
        </w:tc>
        <w:tc>
          <w:tcPr>
            <w:tcW w:w="3951" w:type="dxa"/>
            <w:tcBorders>
              <w:top w:val="single" w:color="000000" w:sz="3"/>
              <w:left w:val="single" w:color="000000" w:sz="3"/>
              <w:bottom w:val="single" w:color="000000" w:sz="3"/>
              <w:right w:val="single" w:color="000000" w:sz="3"/>
            </w:tcBorders>
            <w:vAlign w:val="center"/>
          </w:tcPr>
          <w:p>
            <w:pPr>
              <w:pStyle w:val="0"/>
              <w:widowControl w:val="off"/>
            </w:pPr>
            <w:r>
              <w:rPr/>
              <w:t>산업, 혁신, 정보, 활용, 데이터</w:t>
            </w:r>
          </w:p>
        </w:tc>
        <w:tc>
          <w:tcPr>
            <w:tcW w:w="1744" w:type="dxa"/>
            <w:tcBorders>
              <w:top w:val="single" w:color="000000" w:sz="3"/>
              <w:left w:val="single" w:color="000000" w:sz="3"/>
              <w:bottom w:val="single" w:color="000000" w:sz="3"/>
              <w:right w:val="single" w:color="000000" w:sz="3"/>
            </w:tcBorders>
            <w:vAlign w:val="center"/>
          </w:tcPr>
          <w:p>
            <w:pPr>
              <w:pStyle w:val="0"/>
              <w:widowControl w:val="off"/>
            </w:pPr>
            <w:r>
              <w:rPr/>
              <w:t>0.118</w:t>
            </w:r>
          </w:p>
        </w:tc>
        <w:tc>
          <w:tcPr>
            <w:tcW w:w="1744" w:type="dxa"/>
            <w:tcBorders>
              <w:top w:val="single" w:color="000000" w:sz="3"/>
              <w:left w:val="single" w:color="000000" w:sz="3"/>
              <w:bottom w:val="single" w:color="000000" w:sz="3"/>
              <w:right w:val="none" w:color="000000" w:sz="3"/>
            </w:tcBorders>
            <w:vAlign w:val="center"/>
          </w:tcPr>
          <w:p>
            <w:pPr>
              <w:pStyle w:val="0"/>
              <w:widowControl w:val="off"/>
            </w:pPr>
            <w:r>
              <w:rPr/>
              <w:t>0.144</w:t>
            </w:r>
          </w:p>
        </w:tc>
      </w:tr>
      <w:tr>
        <w:trPr>
          <w:trHeight w:val="56"/>
        </w:trPr>
        <w:tc>
          <w:tcPr>
            <w:tcW w:w="668" w:type="dxa"/>
            <w:tcBorders>
              <w:top w:val="single" w:color="000000" w:sz="3"/>
              <w:left w:val="none" w:color="000000" w:sz="3"/>
              <w:bottom w:val="single" w:color="000000" w:sz="9"/>
              <w:right w:val="single" w:color="000000" w:sz="3"/>
            </w:tcBorders>
            <w:vAlign w:val="center"/>
          </w:tcPr>
          <w:p>
            <w:pPr>
              <w:pStyle w:val="0"/>
              <w:widowControl w:val="off"/>
            </w:pPr>
            <w:r>
              <w:rPr/>
              <w:t>9</w:t>
            </w:r>
          </w:p>
        </w:tc>
        <w:tc>
          <w:tcPr>
            <w:tcW w:w="3951" w:type="dxa"/>
            <w:tcBorders>
              <w:top w:val="single" w:color="000000" w:sz="3"/>
              <w:left w:val="single" w:color="000000" w:sz="3"/>
              <w:bottom w:val="single" w:color="000000" w:sz="9"/>
              <w:right w:val="single" w:color="000000" w:sz="3"/>
            </w:tcBorders>
            <w:vAlign w:val="center"/>
          </w:tcPr>
          <w:p>
            <w:pPr>
              <w:pStyle w:val="0"/>
              <w:widowControl w:val="off"/>
            </w:pPr>
            <w:r>
              <w:rPr/>
              <w:t>여성, 조직, 역할, 참여, 가치</w:t>
            </w:r>
          </w:p>
        </w:tc>
        <w:tc>
          <w:tcPr>
            <w:tcW w:w="1744" w:type="dxa"/>
            <w:tcBorders>
              <w:top w:val="single" w:color="000000" w:sz="3"/>
              <w:left w:val="single" w:color="000000" w:sz="3"/>
              <w:bottom w:val="single" w:color="000000" w:sz="9"/>
              <w:right w:val="single" w:color="000000" w:sz="3"/>
            </w:tcBorders>
            <w:vAlign w:val="center"/>
          </w:tcPr>
          <w:p>
            <w:pPr>
              <w:pStyle w:val="0"/>
              <w:widowControl w:val="off"/>
            </w:pPr>
            <w:r>
              <w:rPr/>
              <w:t>0.067</w:t>
            </w:r>
          </w:p>
        </w:tc>
        <w:tc>
          <w:tcPr>
            <w:tcW w:w="1744" w:type="dxa"/>
            <w:tcBorders>
              <w:top w:val="single" w:color="000000" w:sz="3"/>
              <w:left w:val="single" w:color="000000" w:sz="3"/>
              <w:bottom w:val="single" w:color="000000" w:sz="9"/>
              <w:right w:val="none" w:color="000000" w:sz="3"/>
            </w:tcBorders>
            <w:vAlign w:val="center"/>
          </w:tcPr>
          <w:p>
            <w:pPr>
              <w:pStyle w:val="0"/>
              <w:widowControl w:val="off"/>
            </w:pPr>
            <w:r>
              <w:rPr/>
              <w:t>0.055</w:t>
            </w:r>
          </w:p>
        </w:tc>
      </w:tr>
    </w:tbl>
    <w:p>
      <w:pPr>
        <w:pStyle w:val="1"/>
        <w:widowControl w:val="off"/>
      </w:pPr>
    </w:p>
    <w:p>
      <w:pPr>
        <w:pStyle w:val="1"/>
        <w:widowControl w:val="off"/>
      </w:pPr>
      <w:r>
        <w:rPr/>
        <w:t xml:space="preserve">이후 도출된 토픽은 상위 키워드 구성과 문맥 검토를 바탕으로 해석적으로 비교하였다. 다만 본 연구는 토픽에 대해 사전적 명칭을 부여하기보다, 토픽 번호와 상위 출현 단어를 중심으로 의미를 해석하는 방식을 채택하였다. 이를 통해 연구자의 선험적 판단 개입을 최소화하고, 토픽 해석의 투명성을 확보하고자 하였다. </w:t>
      </w:r>
    </w:p>
    <w:p>
      <w:pPr>
        <w:pStyle w:val="1"/>
        <w:widowControl w:val="off"/>
      </w:pPr>
      <w:r>
        <w:rPr/>
        <w:t>이러한 방식은 토픽모델링을 통해 핵심 주제를 추출한 뒤, 이를 다시 해석 가능한 상위 이슈 프레임으로 재범주화한 선행연구의 접근과 유사하다. 예컨대 이태준 외(2017)는 원자력 관련 보도자료와 보도기사에 대한 토픽모델링 결과를 바탕으로 핵심 주제어를 도출한 뒤, 이를 산업경제, 환경안전, 정책거버넌스, 외교안보의 이슈 프레임으로 분류하여 시계열 변화를 분석하였다. 다만 본 연구는 토픽에 별도의 요약적 라벨을 부여하지 않고, 토픽 번호와 상위 출현 단어를 중심으로 결과를 제시하되, 필요시 대표 기사 문맥을 함께 검토하여 해당 토픽의 의미를 해석하였다.</w:t>
      </w:r>
    </w:p>
    <w:p>
      <w:pPr>
        <w:pStyle w:val="1"/>
        <w:widowControl w:val="off"/>
      </w:pPr>
      <w:r>
        <w:rPr/>
        <w:t>또한 LDA 모델의 확률적 특성에 따른 시드 민감도 문제를 검증하기 위해, 서로 다른 랜덤 시드(N=3)를 적용한 반복 분석을 수행하였다. 아울러 단일 coherence 지표(c_v)에 대한 의존을 피하기 위해 u_mass 지표를 함께 산출하여 모형의 적합도를 교차 검증하였다. 분석 결과, 두 지표 모두에서 시드 간 변동성이 매우 낮게 나타났으며, 토픽 키워드 구성 역시 높은 수준의 일관성을 보였다. 이는 본 연구의 토픽 모델링 결과가 특정 초기값이나 단일 지표에 의존한 결과가 아니라, 데이터에 내재된 구조적 패턴을 안정적으로 반영하고 있음을 확인하였다.</w:t>
      </w:r>
    </w:p>
    <w:p>
      <w:pPr>
        <w:pStyle w:val="4"/>
        <w:widowControl w:val="off"/>
      </w:pPr>
      <w:r>
        <w:rPr/>
        <w:t>5) 담론 구조 분석: 공출현 네트워크 분석</w:t>
      </w:r>
    </w:p>
    <w:p>
      <w:pPr>
        <w:pStyle w:val="1"/>
        <w:widowControl w:val="off"/>
      </w:pPr>
      <w:r>
        <w:rPr/>
        <w:t xml:space="preserve">구조 수준 분석을 위해 PMI(Pointwise Mutual Information) 기반 차별 공출현 분석을 실시하였다(Bouma, 2009: 3-4; Williams, 2022: 2037-2038). 분석 단위는 동일 기사 내 공출현 단어쌍이며, 노드는 주요 의미 단어 집합으로 구성하였다. 엣지의 가중치는 PMI 값으로 산출하였고, 정부별 PMI 차이를 비교하기 위해 </w:t>
      </w:r>
      <w:r>
        <w:rPr/>
        <w:t>Δ</w:t>
      </w:r>
      <w:r>
        <w:rPr/>
        <w:t xml:space="preserve">PMI(문재인 정부 PMI - 박근혜 정부 PMI)를 계산하였다. 본 연구에서는 </w:t>
      </w:r>
      <w:r>
        <w:rPr/>
        <w:t>Δ</w:t>
      </w:r>
      <w:r>
        <w:rPr/>
        <w:t>PMI 절대값이 0.3 이상인 단어쌍을 중심으로 비교하여 시기별 결합 구조의 차이를 검토하였다.</w:t>
      </w:r>
    </w:p>
    <w:p>
      <w:pPr>
        <w:pStyle w:val="1"/>
        <w:widowControl w:val="off"/>
      </w:pPr>
      <w:r>
        <w:rPr/>
        <w:t>이 분석은 특정 정부 시기에 제도개혁 관련 단어들이 어떠한 의미 축을 중심으로 결합하는지, 그리고 위기대응·디지털·조직 내부 경험 관련 단어들이 어떠한 방식으로 새로운 연결망을 형성하는지를 비교적으로 파악하는 데 목적이 있다. 따라서 네트워크 분석 결과는 특정 구조의 존재를 단정적으로 입증하기보다, 시기별 담론 조직 방식의 차이를 설명하는 정량적 근거로 활용하였다.</w:t>
      </w:r>
    </w:p>
    <w:p>
      <w:pPr>
        <w:pStyle w:val="1"/>
        <w:widowControl w:val="off"/>
      </w:pPr>
      <w:r>
        <w:rPr/>
        <w:t>또한 네트워크의 구조적 특성을 정량적으로 검증하기 위해 동일한 키워드 집합(N=34)을 기준으로 연결중심성(degree), 매개중심성(betweenness), 근접중심성(closeness), 위세중심성(eigenvector)을 산출하였다. 정부 간 중심성 분포의 차이는 비모수 검정인 Mann-Whitney U 검정을 통해 통계적으로 검토하였다.</w:t>
      </w:r>
    </w:p>
    <w:p>
      <w:pPr>
        <w:pStyle w:val="4"/>
        <w:widowControl w:val="off"/>
      </w:pPr>
      <w:r>
        <w:rPr/>
        <w:t>6) 분석의 단계적 절차</w:t>
      </w:r>
    </w:p>
    <w:p>
      <w:pPr>
        <w:pStyle w:val="1"/>
        <w:widowControl w:val="off"/>
      </w:pPr>
      <w:r>
        <w:rPr/>
        <w:t>본 연구는 탐색적 분석, 정량 검증, 구조 분석의 단계적 절차를 따랐다. 첫 번째 단계에서는 워드클라우드를 통해 담론의 전반적 어휘 분포를 탐색하고 조건부 불용어를 설계하였다. 두 번째 단계에서는 TF-IDF와 log-odds 분석을 병행하여 시기별 의제 수준의 차이를 검토하였으며, KWIC 분석을 통해 정량 결과의 문맥적 타당성을 확인하였다(Walters, 1997: 433-434; Al-Heeh et al., 2022: 144-145). 세 번째 단계에서는 LDA 토픽 모델링을 통해 프레임 구조를, 공출현 네트워크 분석을 통해 담론 내부의 관계 구조를 각각 검토하였다(Callon et al., 1983).</w:t>
      </w:r>
    </w:p>
    <w:p>
      <w:pPr>
        <w:pStyle w:val="1"/>
        <w:widowControl w:val="off"/>
      </w:pPr>
      <w:r>
        <w:rPr/>
        <w:t>분석의 엄격성과 비교 가능성을 확보하기 위해 다음과 같은 원칙을 준수하였다. 첫째, 두 정부 시기에 동일한 전처리 규칙과 분석 파라미터를 적용하여 비교 가능성과 일관성을 확보하였다. 둘째, 단일 지표에 의존하지 않고 TF-IDF, log-odds, LDA, 공출현 네트워크 분석을 상호보완적으로 활용하였다. 셋째, KWIC 분석 등 질적 검증을 통해 정량 결과의 타당성을 확인하였다. 넷째, 랜덤 시드 고정과 분석 조건 명시를 통해 재현 가능성을 높이고자 하였다.</w:t>
      </w:r>
    </w:p>
    <w:p>
      <w:pPr>
        <w:pStyle w:val="1"/>
        <w:widowControl w:val="off"/>
      </w:pPr>
      <w:r>
        <w:rPr/>
        <w:t>이러한 절차를 통해 본 연구는 박근혜 정부와 문재인 정부 시기의 공직사회 담론이 어떠한 의제, 프레임, 구조적 특성을 보이는지를 다층적으로 비교·분석하였다. 특히 본 연구의 결과는 정부 교체에 따른 담론 변화와 더불어, 팬데믹과 디지털 전환 등 동시기 외생적 환경 변화가 복합적으로 작용한 담론 재편의 결과로 해석된다.</w:t>
      </w:r>
    </w:p>
    <w:p>
      <w:pPr>
        <w:pStyle w:val="2"/>
        <w:widowControl w:val="off"/>
      </w:pPr>
      <w:r>
        <w:rPr/>
        <w:t>Ⅳ</w:t>
      </w:r>
      <w:r>
        <w:rPr/>
        <w:t>. 분석결과</w:t>
      </w:r>
    </w:p>
    <w:p>
      <w:pPr>
        <w:pStyle w:val="3"/>
        <w:widowControl w:val="off"/>
      </w:pPr>
      <w:r>
        <w:rPr/>
        <w:t>1. 의제 수준 분석: 키워드 중요도 변화(H1 검증)</w:t>
      </w:r>
    </w:p>
    <w:p>
      <w:pPr>
        <w:pStyle w:val="4"/>
        <w:widowControl w:val="off"/>
      </w:pPr>
      <w:r>
        <w:rPr/>
        <w:t>1) 워드 클라우드 탐색적 분석</w:t>
      </w:r>
    </w:p>
    <w:p>
      <w:pPr>
        <w:pStyle w:val="1"/>
        <w:widowControl w:val="off"/>
        <w:rPr/>
      </w:pPr>
    </w:p>
    <w:p>
      <w:pPr>
        <w:pStyle w:val="6"/>
        <w:widowControl w:val="off"/>
      </w:pPr>
      <w:r>
        <w:rPr/>
        <w:t>&lt;그림 5 : 정부 시기별 공직사회 담론의 주요 어휘 분포&gt;</w:t>
      </w:r>
    </w:p>
    <w:p>
      <w:pPr>
        <w:pStyle w:val="1"/>
        <w:widowControl w:val="off"/>
        <w:wordWrap w:val="1"/>
        <w:jc w:val="center"/>
      </w:pPr>
      <w:r>
        <w:drawing>
          <wp:inline distT="0" distB="0" distL="0" distR="0">
            <wp:extent cx="4266311" cy="2088261"/>
            <wp:effectExtent l="0" t="0" r="0" b="0"/>
            <wp:docPr id="5" name="그림 %d 5"/>
            <wp:cNvGraphicFramePr/>
            <a:graphic>
              <a:graphicData uri="http://schemas.openxmlformats.org/drawingml/2006/picture">
                <pic:pic>
                  <pic:nvPicPr>
                    <pic:cNvPr id="0" name="C:\Temp\Hnc\BinData\EMB00001244201e.bmp"/>
                    <pic:cNvPicPr/>
                  </pic:nvPicPr>
                  <pic:blipFill>
                    <a:blip r:embed="rId5"/>
                    <a:stretch>
                      <a:fillRect/>
                    </a:stretch>
                  </pic:blipFill>
                  <pic:spPr>
                    <a:xfrm>
                      <a:off x="0" y="0"/>
                      <a:ext cx="4266311" cy="2088261"/>
                    </a:xfrm>
                    <a:prstGeom prst="rect">
                      <a:avLst/>
                    </a:prstGeom>
                    <a:effectLst/>
                  </pic:spPr>
                </pic:pic>
              </a:graphicData>
            </a:graphic>
          </wp:inline>
        </w:drawing>
      </w:r>
    </w:p>
    <w:p>
      <w:pPr>
        <w:pStyle w:val="1"/>
        <w:widowControl w:val="off"/>
      </w:pPr>
      <w:r>
        <w:rPr/>
        <w:t>공직사회 담론의 전반적 어휘 분포를 파악하기 위한 워드클라우드 분석 결과, 두 정부 시기 모두에서 ‘평가’, ‘공무원’, ‘정책’, ‘운영’, ‘인사’ 등 공통 행정어가 상위 빈출어로 일관되게 지속되었다. 이는 공직사회 관련 기사에서 반복적으로 등장하는 담론의 공통 기반 어휘로 볼 수 있으며, 이 층위에서는 두 정부 시기 간 구별이 두드러지지 않는다. 즉, 어느 시기의 담론이든 행정 운영, 인사 관리, 정책 집행을 중심으로 한 공통적 관심이 유지되었음을 보여준다.</w:t>
      </w:r>
    </w:p>
    <w:p>
      <w:pPr>
        <w:pStyle w:val="1"/>
        <w:widowControl w:val="off"/>
      </w:pPr>
      <w:r>
        <w:rPr/>
        <w:t>다만 시기별로 상대적으로 두드러지는 어휘에는 차이가 나타났다. 박근혜 정부 시기에는 ‘조직’, ‘연금’, ‘인사’ 등 제도·조직 운영과 관련된 어휘가 상대적으로 부각되었고, 문재인 정부 시기에는 ‘코로나’가 상위에 등장하면서 ‘플랫폼’, ‘디지털’ 등 디지털 전환 관련 키워드도 함께 나타났다. 특히 ‘코로나’의 높은 출현 빈도는 감염병 위기 상황이 공직사회 담론에서 중요한 위치를 차지하였음을 보여준다. 이는 문재인 정부 시기 담론이 단순히 조직문화나 공정성 이슈에만 국한되지 않고, 위기대응과 디지털 전환이라는 외생적 환경 변화와도 긴밀하게 결합되어 있었음을 시사한다.</w:t>
      </w:r>
    </w:p>
    <w:p>
      <w:pPr>
        <w:pStyle w:val="6"/>
        <w:widowControl w:val="off"/>
      </w:pPr>
      <w:r>
        <w:rPr/>
        <w:t>&lt;표 3: 정부별 워드클라우드 상위 10위 키워드&gt;</w:t>
      </w:r>
    </w:p>
    <w:tbl>
      <w:tblPr>
        <w:tblOverlap w:val="never"/>
        <w:tblW w:w="813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17"/>
        <w:gridCol w:w="3608"/>
        <w:gridCol w:w="3608"/>
      </w:tblGrid>
      <w:tr>
        <w:trPr>
          <w:trHeight w:val="236"/>
        </w:trPr>
        <w:tc>
          <w:tcPr>
            <w:tcW w:w="917"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jc w:val="center"/>
            </w:pPr>
            <w:r>
              <w:rPr>
                <w:rFonts w:eastAsia="한양신명조"/>
                <w:b/>
                <w:sz w:val="18"/>
              </w:rPr>
              <w:t>순서</w:t>
            </w:r>
          </w:p>
        </w:tc>
        <w:tc>
          <w:tcPr>
            <w:tcW w:w="3608"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jc w:val="center"/>
            </w:pPr>
            <w:r>
              <w:rPr>
                <w:rFonts w:ascii="한양신명조" w:eastAsia="한양신명조"/>
                <w:b/>
                <w:sz w:val="18"/>
              </w:rPr>
              <w:t>박근혜 정부</w:t>
            </w:r>
          </w:p>
        </w:tc>
        <w:tc>
          <w:tcPr>
            <w:tcW w:w="3608"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jc w:val="center"/>
            </w:pPr>
            <w:r>
              <w:rPr>
                <w:rFonts w:ascii="한양신명조" w:eastAsia="한양신명조"/>
                <w:b/>
                <w:sz w:val="18"/>
              </w:rPr>
              <w:t>문재인 정부</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평가</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코로나</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2</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공무원</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평가</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3</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정책</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정책</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4</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교육</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공무원</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5</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운영</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추진</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6</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조직</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운영</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7</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추진</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교육</w:t>
            </w:r>
          </w:p>
        </w:tc>
      </w:tr>
      <w:tr>
        <w:trPr>
          <w:trHeight w:val="236"/>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8</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인사</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여성</w:t>
            </w:r>
          </w:p>
        </w:tc>
      </w:tr>
      <w:tr>
        <w:trPr>
          <w:trHeight w:val="0"/>
        </w:trPr>
        <w:tc>
          <w:tcPr>
            <w:tcW w:w="917"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9</w:t>
            </w:r>
          </w:p>
        </w:tc>
        <w:tc>
          <w:tcPr>
            <w:tcW w:w="3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여성</w:t>
            </w:r>
          </w:p>
        </w:tc>
        <w:tc>
          <w:tcPr>
            <w:tcW w:w="3608"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eastAsia="한양신명조"/>
                <w:sz w:val="18"/>
              </w:rPr>
              <w:t>인사</w:t>
            </w:r>
          </w:p>
        </w:tc>
      </w:tr>
      <w:tr>
        <w:trPr>
          <w:trHeight w:val="236"/>
        </w:trPr>
        <w:tc>
          <w:tcPr>
            <w:tcW w:w="917"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10</w:t>
            </w:r>
          </w:p>
        </w:tc>
        <w:tc>
          <w:tcPr>
            <w:tcW w:w="3608"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임금</w:t>
            </w:r>
          </w:p>
        </w:tc>
        <w:tc>
          <w:tcPr>
            <w:tcW w:w="3608" w:type="dxa"/>
            <w:tcBorders>
              <w:top w:val="single" w:color="000000" w:sz="3"/>
              <w:left w:val="single" w:color="000000" w:sz="3"/>
              <w:bottom w:val="single" w:color="000000" w:sz="9"/>
              <w:right w:val="none" w:color="000000" w:sz="3"/>
            </w:tcBorders>
            <w:vAlign w:val="center"/>
          </w:tcPr>
          <w:p>
            <w:pPr>
              <w:pStyle w:val="0"/>
              <w:widowControl w:val="off"/>
              <w:wordWrap w:val="1"/>
              <w:spacing w:line="288" w:lineRule="auto"/>
              <w:jc w:val="center"/>
            </w:pPr>
            <w:r>
              <w:rPr>
                <w:rFonts w:eastAsia="한양신명조"/>
                <w:sz w:val="18"/>
              </w:rPr>
              <w:t>산업</w:t>
            </w:r>
          </w:p>
        </w:tc>
      </w:tr>
    </w:tbl>
    <w:p>
      <w:pPr>
        <w:pStyle w:val="1"/>
        <w:widowControl w:val="off"/>
      </w:pPr>
    </w:p>
    <w:p>
      <w:pPr>
        <w:pStyle w:val="4"/>
        <w:widowControl w:val="off"/>
      </w:pPr>
      <w:r>
        <w:rPr/>
        <w:t>2) TF-IDF 중요도 변화 분석</w:t>
      </w:r>
    </w:p>
    <w:p>
      <w:pPr>
        <w:pStyle w:val="1"/>
        <w:widowControl w:val="off"/>
      </w:pPr>
      <w:r>
        <w:rPr/>
        <w:t>단어 빈도 분석의 한계를 보완하고 각 키워드의 문서 집합 내 상대적 특이성을 측정하기 위해 TF-IDF 분석을 수행하였다(Jones, 1972: 11-13).</w:t>
      </w:r>
    </w:p>
    <w:p>
      <w:pPr>
        <w:pStyle w:val="6"/>
        <w:widowControl w:val="off"/>
      </w:pPr>
      <w:r>
        <w:rPr/>
        <w:t>&lt;표 4: TF-IDF 중요도 변화 상위 키워드(조건부 불용어 적용)&gt;</w:t>
      </w:r>
    </w:p>
    <w:tbl>
      <w:tblPr>
        <w:tblOverlap w:val="never"/>
        <w:tblW w:w="813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9"/>
        <w:gridCol w:w="973"/>
        <w:gridCol w:w="1812"/>
        <w:gridCol w:w="1812"/>
        <w:gridCol w:w="1812"/>
        <w:gridCol w:w="1136"/>
      </w:tblGrid>
      <w:tr>
        <w:trPr>
          <w:trHeight w:val="236"/>
        </w:trPr>
        <w:tc>
          <w:tcPr>
            <w:tcW w:w="589"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순위</w:t>
            </w:r>
          </w:p>
        </w:tc>
        <w:tc>
          <w:tcPr>
            <w:tcW w:w="973"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키워드</w:t>
            </w:r>
          </w:p>
        </w:tc>
        <w:tc>
          <w:tcPr>
            <w:tcW w:w="1812"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eastAsia="한양신명조"/>
                <w:b/>
                <w:sz w:val="18"/>
              </w:rPr>
              <w:t xml:space="preserve">박근혜정부 </w:t>
            </w:r>
          </w:p>
        </w:tc>
        <w:tc>
          <w:tcPr>
            <w:tcW w:w="1812"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eastAsia="한양신명조"/>
                <w:b/>
                <w:sz w:val="18"/>
              </w:rPr>
              <w:t xml:space="preserve">문재인정부 </w:t>
            </w:r>
          </w:p>
        </w:tc>
        <w:tc>
          <w:tcPr>
            <w:tcW w:w="1812"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eastAsia="한양신명조"/>
                <w:b/>
                <w:sz w:val="18"/>
              </w:rPr>
              <w:t>중요도 합계</w:t>
            </w:r>
          </w:p>
        </w:tc>
        <w:tc>
          <w:tcPr>
            <w:tcW w:w="1136"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spacing w:line="288" w:lineRule="auto"/>
              <w:jc w:val="center"/>
            </w:pPr>
            <w:r>
              <w:rPr>
                <w:rFonts w:ascii="한양신명조" w:eastAsia="한양신명조"/>
                <w:b/>
                <w:sz w:val="18"/>
              </w:rPr>
              <w:t>증감률(%)</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플랫폼</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0.0015029</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0.0081276</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0.0096305</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440.77</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2</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인공지능</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0.0013364</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0.0053910</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0.0067274</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303.40</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3</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디지털</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0.0024332</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0.0073271</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0.0097602</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201.13</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4</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데이터</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0.0020835</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0.0054502</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0.0075337</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161.59</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5</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공정</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0.0037503</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0.0072262</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0.0109765</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92.68</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6</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주택</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0.0058631</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0.0112624</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0.0171255</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92.09</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7</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규제</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0.0062151</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0.0097572</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0.0159724</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56.99</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8</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산업</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0.0086284</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0.0128654</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0.0214938</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49.10</w:t>
            </w:r>
          </w:p>
        </w:tc>
      </w:tr>
      <w:tr>
        <w:trPr>
          <w:trHeight w:val="0"/>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9</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절차</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0.0043070</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0.0061156</w:t>
            </w:r>
          </w:p>
        </w:tc>
        <w:tc>
          <w:tcPr>
            <w:tcW w:w="181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0.0104226</w:t>
            </w:r>
          </w:p>
        </w:tc>
        <w:tc>
          <w:tcPr>
            <w:tcW w:w="1136"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41.99</w:t>
            </w:r>
          </w:p>
        </w:tc>
      </w:tr>
      <w:tr>
        <w:trPr>
          <w:trHeight w:val="236"/>
        </w:trPr>
        <w:tc>
          <w:tcPr>
            <w:tcW w:w="589"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10</w:t>
            </w:r>
          </w:p>
        </w:tc>
        <w:tc>
          <w:tcPr>
            <w:tcW w:w="973"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판단</w:t>
            </w:r>
          </w:p>
        </w:tc>
        <w:tc>
          <w:tcPr>
            <w:tcW w:w="1812"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0.0067686</w:t>
            </w:r>
          </w:p>
        </w:tc>
        <w:tc>
          <w:tcPr>
            <w:tcW w:w="1812"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0.0093427</w:t>
            </w:r>
          </w:p>
        </w:tc>
        <w:tc>
          <w:tcPr>
            <w:tcW w:w="1812"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0.0161113</w:t>
            </w:r>
          </w:p>
        </w:tc>
        <w:tc>
          <w:tcPr>
            <w:tcW w:w="1136" w:type="dxa"/>
            <w:tcBorders>
              <w:top w:val="single" w:color="000000" w:sz="3"/>
              <w:left w:val="single" w:color="000000" w:sz="3"/>
              <w:bottom w:val="single" w:color="000000" w:sz="9"/>
              <w:right w:val="none" w:color="000000" w:sz="3"/>
            </w:tcBorders>
            <w:vAlign w:val="center"/>
          </w:tcPr>
          <w:p>
            <w:pPr>
              <w:pStyle w:val="0"/>
              <w:widowControl w:val="off"/>
              <w:wordWrap w:val="1"/>
              <w:spacing w:line="288" w:lineRule="auto"/>
              <w:jc w:val="center"/>
            </w:pPr>
            <w:r>
              <w:rPr>
                <w:rFonts w:ascii="한양신명조"/>
                <w:sz w:val="18"/>
              </w:rPr>
              <w:t>38.03</w:t>
            </w:r>
          </w:p>
        </w:tc>
      </w:tr>
    </w:tbl>
    <w:p>
      <w:pPr>
        <w:pStyle w:val="1"/>
        <w:widowControl w:val="off"/>
      </w:pPr>
    </w:p>
    <w:p>
      <w:pPr>
        <w:pStyle w:val="6"/>
        <w:widowControl w:val="off"/>
      </w:pPr>
      <w:r>
        <w:rPr/>
        <w:t>&lt;그림 6: TF-IDF 증감률&gt;</w:t>
      </w:r>
    </w:p>
    <w:p>
      <w:pPr>
        <w:pStyle w:val="1"/>
        <w:widowControl w:val="off"/>
        <w:wordWrap w:val="1"/>
        <w:jc w:val="center"/>
      </w:pPr>
      <w:r>
        <w:drawing>
          <wp:inline distT="0" distB="0" distL="0" distR="0">
            <wp:extent cx="3510407" cy="2330958"/>
            <wp:effectExtent l="0" t="0" r="0" b="0"/>
            <wp:docPr id="6" name="그림 %d 6"/>
            <wp:cNvGraphicFramePr/>
            <a:graphic>
              <a:graphicData uri="http://schemas.openxmlformats.org/drawingml/2006/picture">
                <pic:pic>
                  <pic:nvPicPr>
                    <pic:cNvPr id="0" name="C:\Temp\Hnc\BinData\EMB00001244201f.bmp"/>
                    <pic:cNvPicPr/>
                  </pic:nvPicPr>
                  <pic:blipFill>
                    <a:blip r:embed="rId6"/>
                    <a:stretch>
                      <a:fillRect/>
                    </a:stretch>
                  </pic:blipFill>
                  <pic:spPr>
                    <a:xfrm>
                      <a:off x="0" y="0"/>
                      <a:ext cx="3510407" cy="2330958"/>
                    </a:xfrm>
                    <a:prstGeom prst="rect">
                      <a:avLst/>
                    </a:prstGeom>
                    <a:effectLst/>
                  </pic:spPr>
                </pic:pic>
              </a:graphicData>
            </a:graphic>
          </wp:inline>
        </w:drawing>
      </w:r>
    </w:p>
    <w:p>
      <w:pPr>
        <w:pStyle w:val="1"/>
        <w:widowControl w:val="off"/>
      </w:pPr>
      <w:r>
        <w:rPr/>
        <w:t>분석 결과, 문재인 정부 시기에는 '플랫폼', '인공지능', '디지털', '데이터' 등 디지털 전환 및 기술혁신 관련 키워드의 상대적 중요도가 크게 증가하였다. 특히 '플랫폼'은 박근혜 정부 시기에 비해 높은 TF-IDF 값을 보이며, 디지털 플랫폼 정부 개념이 공직사회 담론의 핵심 의제로 부상하였음을 시사한다.</w:t>
      </w:r>
    </w:p>
    <w:p>
      <w:pPr>
        <w:pStyle w:val="1"/>
        <w:widowControl w:val="off"/>
      </w:pPr>
      <w:r>
        <w:rPr/>
        <w:t xml:space="preserve">반면, 박근혜 정부 시기와 관련성이 높았던 제도개혁 관련 키워드 가운데 일부는 문재인 정부 시기에 상대적 중요도가 낮아지는 경향을 보였다. 예를 들어 '연금', '공무원', '개혁', '조직' 등은 박근혜 정부 시기와 비교할 때 문재인 정부 시기에 상대적으로 덜 특징적인 어휘로 나타났다. 이는 공직사회 담론의 초점이 제도 효율화 중심 의제에서 벗어나 위기대응, 디지털 전환, 조직 내부 운영과 관련된 보다 다양한 문제군으로 확장되었음을 보여준다. </w:t>
      </w:r>
    </w:p>
    <w:p>
      <w:pPr>
        <w:pStyle w:val="1"/>
        <w:widowControl w:val="off"/>
      </w:pPr>
      <w:r>
        <w:rPr/>
        <w:t>다만 TF-IDF 결과는 특정 키워드의 상대적 특이성을 보여주는 보조 지표로 활용하였다. 따라서 담론의 일방향적 전환을 단정하기보다는, 이후 log-odds 분석 및 KWIC 분석과 결합하여 시기별 차이를 보다 신중하게 해석한다. 특히 '공정'과 같은 키워드는 단순 행정 원칙을 넘어 조직문화, 인사 운영, 사회적 논란과 연결될 수 있으므로, 실제 기사 문맥 속 사용 양상을 함께 살펴볼 필요가 있다.</w:t>
      </w:r>
    </w:p>
    <w:p>
      <w:pPr>
        <w:pStyle w:val="1"/>
        <w:widowControl w:val="off"/>
      </w:pPr>
      <w:r>
        <w:rPr/>
        <w:t>결론적으로, TF-IDF 분석은 문재인 정부 시기 공직사회 담론에서 디지털 전환과 위기대응 관련 키워드가 상대적으로 더 특징적으로 나타났음을 보여준다. 이는 가설 H1과 관련하여, 조직문화·공정성 관련 의제뿐 아니라 위기대응·디지털 전환 의제 역시 문재인 정부 시기 담론을 구성하는 중요한 축이었음을 시사한다. 특히 코로나19 관련 키워드의 부상은 단기적 사건 효과를 넘어 담론 구조 전반에 영향을 미친 것으로 보이며, 이러한 변화는 이후 프레임 및 네트워크 구조 분석에서도 일관되게 확인된다.</w:t>
      </w:r>
    </w:p>
    <w:p>
      <w:pPr>
        <w:pStyle w:val="4"/>
        <w:widowControl w:val="off"/>
      </w:pPr>
      <w:r>
        <w:rPr/>
        <w:t>3) log-odds 통계적 차별성 검증</w:t>
      </w:r>
    </w:p>
    <w:p>
      <w:pPr>
        <w:pStyle w:val="1"/>
        <w:widowControl w:val="off"/>
      </w:pPr>
      <w:r>
        <w:rPr/>
        <w:t>TF-IDF 분석의 탐색적 결과를 통계적 유의성 관점에서 검토하기 위해 log-odds 분석을 수행하였다. 이 분석은 각 키워드가 특정 정부 시기에서 통계적으로 강화되었는지 여부를 z-score 기준으로 판별하였다(Monroe et al., 2008: 381-382).</w:t>
      </w:r>
    </w:p>
    <w:p>
      <w:pPr>
        <w:pStyle w:val="6"/>
        <w:widowControl w:val="off"/>
      </w:pPr>
      <w:r>
        <w:rPr/>
        <w:t>&lt;표 5: log-odds 상위 강화 키워드(z-score 기준)&gt;</w:t>
      </w:r>
    </w:p>
    <w:p>
      <w:pPr>
        <w:pStyle w:val="5"/>
        <w:widowControl w:val="off"/>
      </w:pPr>
      <w:r>
        <w:rPr/>
        <w:t>⒜</w:t>
      </w:r>
      <w:r>
        <w:rPr/>
        <w:t xml:space="preserve"> 문재인 정부 강화</w:t>
      </w:r>
    </w:p>
    <w:tbl>
      <w:tblPr>
        <w:tblOverlap w:val="never"/>
        <w:tblW w:w="813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93"/>
        <w:gridCol w:w="3770"/>
        <w:gridCol w:w="3769"/>
      </w:tblGrid>
      <w:tr>
        <w:trPr>
          <w:trHeight w:val="236"/>
        </w:trPr>
        <w:tc>
          <w:tcPr>
            <w:tcW w:w="593"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순위</w:t>
            </w:r>
          </w:p>
        </w:tc>
        <w:tc>
          <w:tcPr>
            <w:tcW w:w="3770"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키워드</w:t>
            </w:r>
          </w:p>
        </w:tc>
        <w:tc>
          <w:tcPr>
            <w:tcW w:w="3769"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spacing w:line="288" w:lineRule="auto"/>
              <w:jc w:val="center"/>
            </w:pPr>
            <w:r>
              <w:rPr>
                <w:rFonts w:ascii="한양신명조"/>
                <w:b/>
                <w:sz w:val="18"/>
              </w:rPr>
              <w:t>z-score</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코로나</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+303.27</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2</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확진자</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+127.12</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3</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방역</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+115.76</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4</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접종</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+113.25</w:t>
            </w:r>
          </w:p>
        </w:tc>
      </w:tr>
      <w:tr>
        <w:trPr>
          <w:trHeight w:val="236"/>
        </w:trPr>
        <w:tc>
          <w:tcPr>
            <w:tcW w:w="593"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5</w:t>
            </w:r>
          </w:p>
        </w:tc>
        <w:tc>
          <w:tcPr>
            <w:tcW w:w="3770"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플랫폼</w:t>
            </w:r>
          </w:p>
        </w:tc>
        <w:tc>
          <w:tcPr>
            <w:tcW w:w="3769" w:type="dxa"/>
            <w:tcBorders>
              <w:top w:val="single" w:color="000000" w:sz="3"/>
              <w:left w:val="single" w:color="000000" w:sz="3"/>
              <w:bottom w:val="single" w:color="000000" w:sz="9"/>
              <w:right w:val="none" w:color="000000" w:sz="3"/>
            </w:tcBorders>
            <w:vAlign w:val="center"/>
          </w:tcPr>
          <w:p>
            <w:pPr>
              <w:pStyle w:val="0"/>
              <w:widowControl w:val="off"/>
              <w:wordWrap w:val="1"/>
              <w:spacing w:line="288" w:lineRule="auto"/>
              <w:jc w:val="center"/>
            </w:pPr>
            <w:r>
              <w:rPr>
                <w:rFonts w:ascii="한양신명조"/>
                <w:sz w:val="18"/>
              </w:rPr>
              <w:t>+94.16</w:t>
            </w:r>
          </w:p>
        </w:tc>
      </w:tr>
    </w:tbl>
    <w:p>
      <w:pPr>
        <w:pStyle w:val="1"/>
        <w:widowControl w:val="off"/>
      </w:pPr>
    </w:p>
    <w:p>
      <w:pPr>
        <w:pStyle w:val="1"/>
        <w:widowControl w:val="off"/>
        <w:rPr/>
      </w:pPr>
    </w:p>
    <w:p>
      <w:pPr>
        <w:pStyle w:val="5"/>
        <w:widowControl w:val="off"/>
      </w:pPr>
      <w:r>
        <w:rPr/>
        <w:t>⒝</w:t>
      </w:r>
      <w:r>
        <w:rPr/>
        <w:t xml:space="preserve"> 박근혜 정부 강화</w:t>
      </w:r>
    </w:p>
    <w:tbl>
      <w:tblPr>
        <w:tblOverlap w:val="never"/>
        <w:tblW w:w="813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93"/>
        <w:gridCol w:w="3770"/>
        <w:gridCol w:w="3769"/>
      </w:tblGrid>
      <w:tr>
        <w:trPr>
          <w:trHeight w:val="236"/>
        </w:trPr>
        <w:tc>
          <w:tcPr>
            <w:tcW w:w="593"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순위</w:t>
            </w:r>
          </w:p>
        </w:tc>
        <w:tc>
          <w:tcPr>
            <w:tcW w:w="3770"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키워드</w:t>
            </w:r>
          </w:p>
        </w:tc>
        <w:tc>
          <w:tcPr>
            <w:tcW w:w="3769"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spacing w:line="288" w:lineRule="auto"/>
              <w:jc w:val="center"/>
            </w:pPr>
            <w:r>
              <w:rPr>
                <w:rFonts w:ascii="한양신명조"/>
                <w:b/>
                <w:sz w:val="18"/>
              </w:rPr>
              <w:t xml:space="preserve"> z-score</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연금</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-71.23</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2</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임금피크제</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-57.95</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3</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공무원연금</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-52.75</w:t>
            </w:r>
          </w:p>
        </w:tc>
      </w:tr>
      <w:tr>
        <w:trPr>
          <w:trHeight w:val="236"/>
        </w:trPr>
        <w:tc>
          <w:tcPr>
            <w:tcW w:w="593"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4</w:t>
            </w:r>
          </w:p>
        </w:tc>
        <w:tc>
          <w:tcPr>
            <w:tcW w:w="377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복지</w:t>
            </w:r>
          </w:p>
        </w:tc>
        <w:tc>
          <w:tcPr>
            <w:tcW w:w="3769"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-46.21</w:t>
            </w:r>
          </w:p>
        </w:tc>
      </w:tr>
      <w:tr>
        <w:trPr>
          <w:trHeight w:val="236"/>
        </w:trPr>
        <w:tc>
          <w:tcPr>
            <w:tcW w:w="593"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5</w:t>
            </w:r>
          </w:p>
        </w:tc>
        <w:tc>
          <w:tcPr>
            <w:tcW w:w="3770"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민영화</w:t>
            </w:r>
          </w:p>
        </w:tc>
        <w:tc>
          <w:tcPr>
            <w:tcW w:w="3769" w:type="dxa"/>
            <w:tcBorders>
              <w:top w:val="single" w:color="000000" w:sz="3"/>
              <w:left w:val="single" w:color="000000" w:sz="3"/>
              <w:bottom w:val="single" w:color="000000" w:sz="9"/>
              <w:right w:val="none" w:color="000000" w:sz="3"/>
            </w:tcBorders>
            <w:vAlign w:val="center"/>
          </w:tcPr>
          <w:p>
            <w:pPr>
              <w:pStyle w:val="0"/>
              <w:widowControl w:val="off"/>
              <w:wordWrap w:val="1"/>
              <w:spacing w:line="288" w:lineRule="auto"/>
              <w:jc w:val="center"/>
            </w:pPr>
            <w:r>
              <w:rPr>
                <w:rFonts w:ascii="한양신명조"/>
                <w:sz w:val="18"/>
              </w:rPr>
              <w:t>-44.37</w:t>
            </w:r>
          </w:p>
        </w:tc>
      </w:tr>
    </w:tbl>
    <w:p>
      <w:pPr>
        <w:pStyle w:val="1"/>
        <w:widowControl w:val="off"/>
      </w:pPr>
    </w:p>
    <w:p>
      <w:pPr>
        <w:pStyle w:val="1"/>
        <w:widowControl w:val="off"/>
        <w:rPr/>
      </w:pPr>
    </w:p>
    <w:p>
      <w:pPr>
        <w:pStyle w:val="1"/>
        <w:widowControl w:val="off"/>
      </w:pPr>
      <w:r>
        <w:rPr/>
        <w:t>분석 결과, 문재인 정부 시기에서 통계적으로 가장 강하게 나타난 키워드는 코로나19 관련 용어였다. ‘코로나’를 비롯해 ‘확진자’, ‘방역’, ‘접종’ 등이 상위권을 형성하였으며, 이는 문재인 정부 시기 공직사회 담론에서 감염병 위기 대응이 핵심 의제로 기능하였음을 보여준다. 또한 ‘플랫폼’, ‘디지털’, ‘뉴딜’과 같은 키워드 역시 상대적으로 높은 z-score를 보여, 공직사회 담론이 디지털 전환 및 기술혁신 관련 논의와 구조적으로 결합되어 있었음을 시사한다.</w:t>
      </w:r>
    </w:p>
    <w:p>
      <w:pPr>
        <w:pStyle w:val="1"/>
        <w:widowControl w:val="off"/>
      </w:pPr>
      <w:r>
        <w:rPr/>
        <w:t>반면 박근혜 정부 시기에서 통계적으로 강화된 키워드는 제도개혁 및 구조조정 관련 어휘로 나타났다. ‘연금’, ‘공무원연금’, ‘임금피크제’ 등은 당시 공직사회 담론이 공공부문 개혁과 재정 건전성 논의를 중심으로 전개되었음을 보여준다. ‘민영화’와 ‘복지’ 역시 박근혜 정부 시기 맥락에서 상대적으로 더 강하게 결합된 키워드로 확인되었는데, 이는 당시 공공부문 효율화와 구조조정 논의의 맥락과 관련될 가능성이 있다.</w:t>
      </w:r>
    </w:p>
    <w:p>
      <w:pPr>
        <w:pStyle w:val="1"/>
        <w:widowControl w:val="off"/>
      </w:pPr>
      <w:r>
        <w:rPr/>
        <w:t>이러한 결과는 박근혜 정부 시기 담론이 제도개혁과 효율화 의제에 상대적으로 더 밀착되어 있었던 반면, 문재인 정부 시기 담론은 위기대응과 디지털 전환이라는 새로운 정책 환경과 강하게 결합되었음을 보여준다. 다만 이러한 차이는 정부 기조의 변화만이 아니라, 팬데믹과 디지털 전환이라는 외생적 환경 변화가 함께 작용한 결과로 해석할 필요가 있다.</w:t>
      </w:r>
    </w:p>
    <w:p>
      <w:pPr>
        <w:pStyle w:val="4"/>
        <w:widowControl w:val="off"/>
      </w:pPr>
      <w:r>
        <w:rPr/>
        <w:t>4) 교차검증 및 질적 맥락 분석</w:t>
      </w:r>
    </w:p>
    <w:p>
      <w:pPr>
        <w:pStyle w:val="1"/>
        <w:widowControl w:val="off"/>
      </w:pPr>
      <w:r>
        <w:rPr/>
        <w:t>단일 지표의 편향성을 최소화하고 분석 결과 신뢰성을 높이기 위해, TF-IDF 상위 중요도 변화 키워드와 log-odds 통계적 유의 키워드의 교집합을 최종 차별 담론 키워드로 정의하였다. 이 과정을 통해 일시적 시사어, 정치인 이름, 단순 빈출 행정어 등을 배제하고, 시기별로 상대적으로 특징적인 정책·제도·구조 중심의 핵심 담론을 체계적으로 선별하였다.</w:t>
      </w:r>
    </w:p>
    <w:p>
      <w:pPr>
        <w:pStyle w:val="6"/>
        <w:widowControl w:val="off"/>
      </w:pPr>
      <w:r>
        <w:rPr/>
        <w:t>&lt;표 6: 최종 차별 담론 키워드 목록(TF-IDF x lod-odds 교차 결과)&gt;</w:t>
      </w:r>
    </w:p>
    <w:tbl>
      <w:tblPr>
        <w:tblOverlap w:val="never"/>
        <w:tblW w:w="81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35"/>
        <w:gridCol w:w="6171"/>
      </w:tblGrid>
      <w:tr>
        <w:trPr>
          <w:trHeight w:val="236"/>
        </w:trPr>
        <w:tc>
          <w:tcPr>
            <w:tcW w:w="1935"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구분</w:t>
            </w:r>
          </w:p>
        </w:tc>
        <w:tc>
          <w:tcPr>
            <w:tcW w:w="6171"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spacing w:line="288" w:lineRule="auto"/>
              <w:jc w:val="center"/>
            </w:pPr>
            <w:r>
              <w:rPr>
                <w:rFonts w:ascii="한양신명조" w:eastAsia="한양신명조"/>
                <w:b/>
                <w:sz w:val="18"/>
              </w:rPr>
              <w:t>차별 키워드</w:t>
            </w:r>
          </w:p>
        </w:tc>
      </w:tr>
      <w:tr>
        <w:trPr>
          <w:trHeight w:val="256"/>
        </w:trPr>
        <w:tc>
          <w:tcPr>
            <w:tcW w:w="1935"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b/>
                <w:sz w:val="18"/>
              </w:rPr>
              <w:t>문재인정부</w:t>
            </w:r>
          </w:p>
        </w:tc>
        <w:tc>
          <w:tcPr>
            <w:tcW w:w="6171"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eastAsia="한양신명조"/>
                <w:sz w:val="18"/>
              </w:rPr>
              <w:t>코로나, 방역, 접종, 플랫폼, 디지털, 뉴딜, 인공지능</w:t>
            </w:r>
            <w:r>
              <w:rPr>
                <w:rFonts w:ascii="한양신명조" w:eastAsia="한양신명조"/>
                <w:color w:val="1f2328"/>
                <w:sz w:val="18"/>
              </w:rPr>
              <w:t>, 소상공인</w:t>
            </w:r>
          </w:p>
        </w:tc>
      </w:tr>
      <w:tr>
        <w:trPr>
          <w:trHeight w:val="256"/>
        </w:trPr>
        <w:tc>
          <w:tcPr>
            <w:tcW w:w="1935"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b/>
                <w:sz w:val="18"/>
              </w:rPr>
              <w:t>박근혜정부</w:t>
            </w:r>
          </w:p>
        </w:tc>
        <w:tc>
          <w:tcPr>
            <w:tcW w:w="6171" w:type="dxa"/>
            <w:tcBorders>
              <w:top w:val="single" w:color="000000" w:sz="3"/>
              <w:left w:val="single" w:color="000000" w:sz="3"/>
              <w:bottom w:val="single" w:color="000000" w:sz="9"/>
              <w:right w:val="none" w:color="000000" w:sz="3"/>
            </w:tcBorders>
            <w:vAlign w:val="center"/>
          </w:tcPr>
          <w:p>
            <w:pPr>
              <w:pStyle w:val="0"/>
              <w:widowControl w:val="off"/>
              <w:wordWrap w:val="1"/>
              <w:spacing w:line="288" w:lineRule="auto"/>
              <w:jc w:val="center"/>
            </w:pPr>
            <w:r>
              <w:rPr>
                <w:rFonts w:ascii="한양신명조" w:eastAsia="한양신명조"/>
                <w:sz w:val="18"/>
              </w:rPr>
              <w:t>연금, 공무원연금, 성과연봉제, 구조조정</w:t>
            </w:r>
            <w:r>
              <w:rPr>
                <w:rFonts w:ascii="한양신명조" w:eastAsia="한양신명조"/>
                <w:color w:val="1f2328"/>
                <w:sz w:val="18"/>
              </w:rPr>
              <w:t>, 민영화, 임금피크제</w:t>
            </w:r>
          </w:p>
        </w:tc>
      </w:tr>
    </w:tbl>
    <w:p>
      <w:pPr>
        <w:pStyle w:val="1"/>
        <w:widowControl w:val="off"/>
      </w:pPr>
    </w:p>
    <w:p>
      <w:pPr>
        <w:pStyle w:val="1"/>
        <w:widowControl w:val="off"/>
      </w:pPr>
      <w:r>
        <w:rPr/>
        <w:t xml:space="preserve">교차검증 결과, 문재인 정부 시기에는 코로나, 방역, 접종, 플랫폼, 디지털, 뉴딜, 인공지능, 소상공인 등이 두 분석에서 공통적으로 상위에 나타났으며, 박근혜 정부 시기에는 연금, 공무원, 공무원연금, 성과연봉제, 구조조정, 민영화, 임금피크제 등이 상대적으로 특징적인 키워드로 확인되었다. 이는 문재인 정부 시기 담론이 위기대응과 디지털 전환 관련 의제와 밀접하게 결합되어 있었고, 박근혜 정부 시기 담론은 제도개혁과 구조조정 관련 의제를 중심으로 조직되어 있었음을 보여준다. </w:t>
      </w:r>
    </w:p>
    <w:p>
      <w:pPr>
        <w:pStyle w:val="1"/>
        <w:widowControl w:val="off"/>
      </w:pPr>
      <w:r>
        <w:rPr/>
        <w:t>정량적 분석의 타당성을 보완하기 위해 KWIC 분석을 추가로 수행하였다(Sedano, 1964: 20-22; Matthews &amp; Shillingford, 1973: 140-142). 교차검증으로 도출된 차별 키워드를 기준으로 각 정부 시기 기사에서 문맥을 추출하여 사용 양상을 검토하였다.</w:t>
      </w:r>
    </w:p>
    <w:p>
      <w:pPr>
        <w:pStyle w:val="6"/>
        <w:widowControl w:val="off"/>
      </w:pPr>
      <w:r>
        <w:rPr/>
        <w:t>&lt;표 7: 최종 차별 담론 키워드 KWIC 예시 문장&gt;</w:t>
      </w:r>
    </w:p>
    <w:tbl>
      <w:tblPr>
        <w:tblOverlap w:val="never"/>
        <w:tblW w:w="813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59"/>
        <w:gridCol w:w="789"/>
        <w:gridCol w:w="6484"/>
      </w:tblGrid>
      <w:tr>
        <w:trPr>
          <w:trHeight w:val="236"/>
        </w:trPr>
        <w:tc>
          <w:tcPr>
            <w:tcW w:w="859"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eastAsia="한양신명조"/>
                <w:b/>
                <w:sz w:val="18"/>
              </w:rPr>
              <w:t>정부 구분</w:t>
            </w:r>
          </w:p>
        </w:tc>
        <w:tc>
          <w:tcPr>
            <w:tcW w:w="789"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키워드</w:t>
            </w:r>
          </w:p>
        </w:tc>
        <w:tc>
          <w:tcPr>
            <w:tcW w:w="6484"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spacing w:line="288" w:lineRule="auto"/>
              <w:jc w:val="center"/>
            </w:pPr>
            <w:r>
              <w:rPr>
                <w:rFonts w:ascii="한양신명조" w:eastAsia="한양신명조"/>
                <w:b/>
                <w:sz w:val="18"/>
              </w:rPr>
              <w:t>문맥 내 사용 예시(KWIC)</w:t>
            </w:r>
          </w:p>
        </w:tc>
      </w:tr>
      <w:tr>
        <w:trPr>
          <w:trHeight w:val="236"/>
        </w:trPr>
        <w:tc>
          <w:tcPr>
            <w:tcW w:w="859" w:type="dxa"/>
            <w:vMerge w:val="restart"/>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문재인정부</w:t>
            </w:r>
          </w:p>
        </w:tc>
        <w:tc>
          <w:tcPr>
            <w:tcW w:w="78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플랫폼</w:t>
            </w:r>
          </w:p>
        </w:tc>
        <w:tc>
          <w:tcPr>
            <w:tcW w:w="6484"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color w:val="1f2328"/>
                <w:spacing w:val="-4"/>
                <w:w w:val="80"/>
                <w:sz w:val="18"/>
              </w:rPr>
              <w:t>“</w:t>
            </w:r>
            <w:r>
              <w:rPr>
                <w:rFonts w:eastAsia="한양신명조"/>
                <w:b/>
                <w:spacing w:val="-4"/>
                <w:w w:val="80"/>
                <w:sz w:val="18"/>
              </w:rPr>
              <w:t>플랫폼</w:t>
            </w:r>
            <w:r>
              <w:rPr>
                <w:rFonts w:ascii="한양신명조" w:eastAsia="한양신명조"/>
                <w:color w:val="1f2328"/>
                <w:spacing w:val="-4"/>
                <w:w w:val="80"/>
                <w:sz w:val="18"/>
              </w:rPr>
              <w:t xml:space="preserve"> 기반의 비대면 행정 서비스가 확대되면서 공공 부문의 디지털 전환이 가속화되고 있다.”</w:t>
            </w:r>
          </w:p>
        </w:tc>
      </w:tr>
      <w:tr>
        <w:trPr>
          <w:trHeight w:val="236"/>
        </w:trPr>
        <w:tc>
          <w:tcPr>
            <w:tcW w:w="859" w:type="dxa"/>
            <w:vMerge/>
            <w:tcBorders>
              <w:top w:val="single" w:color="000000" w:sz="3"/>
              <w:left w:val="none" w:color="000000" w:sz="3"/>
              <w:bottom w:val="single" w:color="000000" w:sz="3"/>
              <w:right w:val="single" w:color="000000" w:sz="3"/>
            </w:tcBorders>
          </w:tcPr>
          <w:p/>
        </w:tc>
        <w:tc>
          <w:tcPr>
            <w:tcW w:w="78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플랫폼</w:t>
            </w:r>
          </w:p>
        </w:tc>
        <w:tc>
          <w:tcPr>
            <w:tcW w:w="6484"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color w:val="1f2328"/>
                <w:spacing w:val="-4"/>
                <w:w w:val="90"/>
                <w:sz w:val="18"/>
              </w:rPr>
              <w:t>“</w:t>
            </w:r>
            <w:r>
              <w:rPr>
                <w:rFonts w:eastAsia="한양신명조"/>
                <w:b/>
                <w:spacing w:val="-4"/>
                <w:w w:val="90"/>
                <w:sz w:val="18"/>
              </w:rPr>
              <w:t>플랫폼</w:t>
            </w:r>
            <w:r>
              <w:rPr>
                <w:rFonts w:ascii="한양신명조" w:eastAsia="한양신명조"/>
                <w:color w:val="1f2328"/>
                <w:spacing w:val="-4"/>
                <w:w w:val="90"/>
                <w:sz w:val="18"/>
              </w:rPr>
              <w:t xml:space="preserve"> 경제 활성화를 통해 중소기업과 소상공인의 참여 기회를 넓히겠다고 밝혔다.”</w:t>
            </w:r>
          </w:p>
        </w:tc>
      </w:tr>
      <w:tr>
        <w:trPr>
          <w:trHeight w:val="236"/>
        </w:trPr>
        <w:tc>
          <w:tcPr>
            <w:tcW w:w="859" w:type="dxa"/>
            <w:vMerge/>
            <w:tcBorders>
              <w:top w:val="single" w:color="000000" w:sz="3"/>
              <w:left w:val="none" w:color="000000" w:sz="3"/>
              <w:bottom w:val="single" w:color="000000" w:sz="3"/>
              <w:right w:val="single" w:color="000000" w:sz="3"/>
            </w:tcBorders>
          </w:tcPr>
          <w:p/>
        </w:tc>
        <w:tc>
          <w:tcPr>
            <w:tcW w:w="78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뉴딜</w:t>
            </w:r>
          </w:p>
        </w:tc>
        <w:tc>
          <w:tcPr>
            <w:tcW w:w="6484"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color w:val="1f2328"/>
                <w:w w:val="90"/>
                <w:sz w:val="18"/>
              </w:rPr>
              <w:t>“</w:t>
            </w:r>
            <w:r>
              <w:rPr>
                <w:rFonts w:ascii="한양신명조" w:eastAsia="한양신명조"/>
                <w:color w:val="1f2328"/>
                <w:spacing w:val="-10"/>
                <w:w w:val="90"/>
                <w:sz w:val="18"/>
              </w:rPr>
              <w:t xml:space="preserve">한국판 </w:t>
            </w:r>
            <w:r>
              <w:rPr>
                <w:rFonts w:eastAsia="한양신명조"/>
                <w:b/>
                <w:spacing w:val="-10"/>
                <w:w w:val="90"/>
                <w:sz w:val="18"/>
              </w:rPr>
              <w:t>뉴딜</w:t>
            </w:r>
            <w:r>
              <w:rPr>
                <w:rFonts w:ascii="한양신명조" w:eastAsia="한양신명조"/>
                <w:color w:val="1f2328"/>
                <w:spacing w:val="-10"/>
                <w:w w:val="90"/>
                <w:sz w:val="18"/>
              </w:rPr>
              <w:t xml:space="preserve"> 정책은 디지털·그린 전환을 통해 새로운 일자리를 창출하는 것을 목표로 한다.</w:t>
            </w:r>
            <w:r>
              <w:rPr>
                <w:rFonts w:ascii="한양신명조"/>
                <w:color w:val="1f2328"/>
                <w:w w:val="90"/>
                <w:sz w:val="18"/>
              </w:rPr>
              <w:t>”</w:t>
            </w:r>
          </w:p>
        </w:tc>
      </w:tr>
      <w:tr>
        <w:trPr>
          <w:trHeight w:val="236"/>
        </w:trPr>
        <w:tc>
          <w:tcPr>
            <w:tcW w:w="859" w:type="dxa"/>
            <w:vMerge/>
            <w:tcBorders>
              <w:top w:val="single" w:color="000000" w:sz="3"/>
              <w:left w:val="none" w:color="000000" w:sz="3"/>
              <w:bottom w:val="single" w:color="000000" w:sz="3"/>
              <w:right w:val="single" w:color="000000" w:sz="3"/>
            </w:tcBorders>
          </w:tcPr>
          <w:p/>
        </w:tc>
        <w:tc>
          <w:tcPr>
            <w:tcW w:w="78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뉴딜</w:t>
            </w:r>
          </w:p>
        </w:tc>
        <w:tc>
          <w:tcPr>
            <w:tcW w:w="6484"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color w:val="1f2328"/>
                <w:w w:val="90"/>
                <w:sz w:val="18"/>
              </w:rPr>
              <w:t xml:space="preserve">“정부는 </w:t>
            </w:r>
            <w:r>
              <w:rPr>
                <w:rFonts w:eastAsia="한양신명조"/>
                <w:b/>
                <w:w w:val="90"/>
                <w:sz w:val="18"/>
              </w:rPr>
              <w:t>뉴딜</w:t>
            </w:r>
            <w:r>
              <w:rPr>
                <w:rFonts w:ascii="한양신명조" w:eastAsia="한양신명조"/>
                <w:color w:val="1f2328"/>
                <w:w w:val="90"/>
                <w:sz w:val="18"/>
              </w:rPr>
              <w:t xml:space="preserve"> 사업을 통해 공공 인프라의 구조적 전환을 추진하고 있다.”</w:t>
            </w:r>
          </w:p>
        </w:tc>
      </w:tr>
      <w:tr>
        <w:trPr>
          <w:trHeight w:val="236"/>
        </w:trPr>
        <w:tc>
          <w:tcPr>
            <w:tcW w:w="859" w:type="dxa"/>
            <w:vMerge w:val="restart"/>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박근혜정부</w:t>
            </w:r>
          </w:p>
        </w:tc>
        <w:tc>
          <w:tcPr>
            <w:tcW w:w="78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연금</w:t>
            </w:r>
          </w:p>
        </w:tc>
        <w:tc>
          <w:tcPr>
            <w:tcW w:w="6484"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color w:val="1f2328"/>
                <w:w w:val="90"/>
                <w:sz w:val="18"/>
              </w:rPr>
              <w:t xml:space="preserve">“공무원 </w:t>
            </w:r>
            <w:r>
              <w:rPr>
                <w:rFonts w:eastAsia="한양신명조"/>
                <w:b/>
                <w:w w:val="90"/>
                <w:sz w:val="18"/>
              </w:rPr>
              <w:t>연금</w:t>
            </w:r>
            <w:r>
              <w:rPr>
                <w:rFonts w:ascii="한양신명조" w:eastAsia="한양신명조"/>
                <w:color w:val="1f2328"/>
                <w:w w:val="90"/>
                <w:sz w:val="18"/>
              </w:rPr>
              <w:t xml:space="preserve"> 개편을 둘러싸고 여야 간 첨예한 갈등이 지속되고 있다.”</w:t>
            </w:r>
          </w:p>
        </w:tc>
      </w:tr>
      <w:tr>
        <w:trPr>
          <w:trHeight w:val="236"/>
        </w:trPr>
        <w:tc>
          <w:tcPr>
            <w:tcW w:w="859" w:type="dxa"/>
            <w:vMerge/>
            <w:tcBorders>
              <w:top w:val="single" w:color="000000" w:sz="3"/>
              <w:left w:val="none" w:color="000000" w:sz="3"/>
              <w:bottom w:val="single" w:color="000000" w:sz="9"/>
              <w:right w:val="single" w:color="000000" w:sz="3"/>
            </w:tcBorders>
          </w:tcPr>
          <w:p/>
        </w:tc>
        <w:tc>
          <w:tcPr>
            <w:tcW w:w="78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연금</w:t>
            </w:r>
          </w:p>
        </w:tc>
        <w:tc>
          <w:tcPr>
            <w:tcW w:w="6484"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color w:val="1f2328"/>
                <w:w w:val="90"/>
                <w:sz w:val="18"/>
              </w:rPr>
              <w:t xml:space="preserve">“정부는 재정 건전성 강화를 이유로 </w:t>
            </w:r>
            <w:r>
              <w:rPr>
                <w:rFonts w:eastAsia="한양신명조"/>
                <w:b/>
                <w:w w:val="90"/>
                <w:sz w:val="18"/>
              </w:rPr>
              <w:t>연금</w:t>
            </w:r>
            <w:r>
              <w:rPr>
                <w:rFonts w:ascii="한양신명조" w:eastAsia="한양신명조"/>
                <w:color w:val="1f2328"/>
                <w:w w:val="90"/>
                <w:sz w:val="18"/>
              </w:rPr>
              <w:t xml:space="preserve"> 제도의 구조 조정을 추진했다.”</w:t>
            </w:r>
          </w:p>
        </w:tc>
      </w:tr>
      <w:tr>
        <w:trPr>
          <w:trHeight w:val="236"/>
        </w:trPr>
        <w:tc>
          <w:tcPr>
            <w:tcW w:w="859" w:type="dxa"/>
            <w:vMerge/>
            <w:tcBorders>
              <w:top w:val="single" w:color="000000" w:sz="3"/>
              <w:left w:val="none" w:color="000000" w:sz="3"/>
              <w:bottom w:val="single" w:color="000000" w:sz="9"/>
              <w:right w:val="single" w:color="000000" w:sz="3"/>
            </w:tcBorders>
          </w:tcPr>
          <w:p/>
        </w:tc>
        <w:tc>
          <w:tcPr>
            <w:tcW w:w="78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공무원</w:t>
            </w:r>
          </w:p>
        </w:tc>
        <w:tc>
          <w:tcPr>
            <w:tcW w:w="6484" w:type="dxa"/>
            <w:tcBorders>
              <w:top w:val="single" w:color="000000" w:sz="3"/>
              <w:left w:val="single" w:color="000000" w:sz="3"/>
              <w:bottom w:val="single" w:color="000000" w:sz="3"/>
              <w:right w:val="none" w:color="000000" w:sz="3"/>
            </w:tcBorders>
            <w:vAlign w:val="center"/>
          </w:tcPr>
          <w:p>
            <w:pPr>
              <w:pStyle w:val="0"/>
              <w:widowControl w:val="off"/>
              <w:spacing w:line="288" w:lineRule="auto"/>
            </w:pPr>
            <w:r>
              <w:rPr>
                <w:rFonts w:ascii="한양신명조" w:eastAsia="한양신명조"/>
                <w:color w:val="1f2328"/>
                <w:w w:val="90"/>
                <w:sz w:val="18"/>
              </w:rPr>
              <w:t xml:space="preserve">“성과 중심 인사 제도 도입으로 </w:t>
            </w:r>
            <w:r>
              <w:rPr>
                <w:rFonts w:eastAsia="한양신명조"/>
                <w:b/>
                <w:w w:val="90"/>
                <w:sz w:val="18"/>
              </w:rPr>
              <w:t>공무원</w:t>
            </w:r>
            <w:r>
              <w:rPr>
                <w:rFonts w:ascii="한양신명조" w:eastAsia="한양신명조"/>
                <w:color w:val="1f2328"/>
                <w:w w:val="90"/>
                <w:sz w:val="18"/>
              </w:rPr>
              <w:t xml:space="preserve"> 사회 전반에 긴장감이 확산되고 있다.”</w:t>
            </w:r>
          </w:p>
        </w:tc>
      </w:tr>
      <w:tr>
        <w:trPr>
          <w:trHeight w:val="236"/>
        </w:trPr>
        <w:tc>
          <w:tcPr>
            <w:tcW w:w="859" w:type="dxa"/>
            <w:vMerge/>
            <w:tcBorders>
              <w:top w:val="single" w:color="000000" w:sz="3"/>
              <w:left w:val="none" w:color="000000" w:sz="3"/>
              <w:bottom w:val="single" w:color="000000" w:sz="9"/>
              <w:right w:val="single" w:color="000000" w:sz="3"/>
            </w:tcBorders>
          </w:tcPr>
          <w:p/>
        </w:tc>
        <w:tc>
          <w:tcPr>
            <w:tcW w:w="789"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공무원</w:t>
            </w:r>
          </w:p>
        </w:tc>
        <w:tc>
          <w:tcPr>
            <w:tcW w:w="6484" w:type="dxa"/>
            <w:tcBorders>
              <w:top w:val="single" w:color="000000" w:sz="3"/>
              <w:left w:val="single" w:color="000000" w:sz="3"/>
              <w:bottom w:val="single" w:color="000000" w:sz="9"/>
              <w:right w:val="none" w:color="000000" w:sz="3"/>
            </w:tcBorders>
            <w:vAlign w:val="center"/>
          </w:tcPr>
          <w:p>
            <w:pPr>
              <w:pStyle w:val="0"/>
              <w:widowControl w:val="off"/>
              <w:spacing w:line="288" w:lineRule="auto"/>
            </w:pPr>
            <w:r>
              <w:rPr>
                <w:rFonts w:ascii="한양신명조" w:eastAsia="한양신명조"/>
                <w:color w:val="1f2328"/>
                <w:w w:val="90"/>
                <w:sz w:val="18"/>
              </w:rPr>
              <w:t xml:space="preserve">“정부는 </w:t>
            </w:r>
            <w:r>
              <w:rPr>
                <w:rFonts w:eastAsia="한양신명조"/>
                <w:b/>
                <w:w w:val="90"/>
                <w:sz w:val="18"/>
              </w:rPr>
              <w:t>공무원</w:t>
            </w:r>
            <w:r>
              <w:rPr>
                <w:rFonts w:ascii="한양신명조" w:eastAsia="한양신명조"/>
                <w:color w:val="1f2328"/>
                <w:w w:val="90"/>
                <w:sz w:val="18"/>
              </w:rPr>
              <w:t xml:space="preserve"> 조직의 효율성 강화를 위해 성과연봉제를 도입했다.”</w:t>
            </w:r>
          </w:p>
        </w:tc>
      </w:tr>
    </w:tbl>
    <w:p>
      <w:pPr>
        <w:pStyle w:val="1"/>
        <w:widowControl w:val="off"/>
      </w:pPr>
    </w:p>
    <w:p>
      <w:pPr>
        <w:pStyle w:val="1"/>
        <w:widowControl w:val="off"/>
      </w:pPr>
      <w:r>
        <w:rPr/>
        <w:t>KWIC 분석 결과, 문재인 정부 시기의 키워드들은 대체로 위기대응과 디지털 전환의 맥락에서 사용되었고, 박근혜 정부 시기의 키워드들은 제도개혁과 효율화의 맥락에서 사용되는 경향을 보였다. 이러한 문맥 분석은 TF-IDF 및 log-odds 분석 결과가 단순 빈도 차이를 넘어 실제 기사 내용에서도 일정한 의미 차이를 반영하고 있음을 보여준다.</w:t>
      </w:r>
    </w:p>
    <w:p>
      <w:pPr>
        <w:pStyle w:val="1"/>
        <w:widowControl w:val="off"/>
      </w:pPr>
      <w:r>
        <w:rPr/>
        <w:t>종합하면, 의제 수준 분석은 박근혜 정부 시기 공직사회 담론이 제도개혁·성과관리 의제와 상대적으로 더 밀접하게 연결되어 있었던 반면, 문재인 정부 시기에는 위기대응·디지털 전환 관련 의제가 보다 강하게 부상했음을 시사한다. 그러나 두 시기 모두에서 ‘공무원’, ‘운영’, ‘평가’, ‘인사’ 등 행정 운영의 핵심 어휘는 공통적으로 높은 중요도를 유지하였다. 이는 담론의 공통 기반이 유지된 채 시기별 환경 변화에 따른 새로운 의제들이 덧입혀지는 방식으로 재편이 이루어졌음을 보여준다. 따라서 H1은 부분적으로 지지된다. 조직문화·공정성 관련 의제의 확대가 일부 확인되었으나, 실제 담론 변화는 코로나19와 디지털 전환 관련 의제의 급부상과 결합된 복합적 양상으로 나타났다.</w:t>
      </w:r>
    </w:p>
    <w:p>
      <w:pPr>
        <w:pStyle w:val="3"/>
        <w:widowControl w:val="off"/>
      </w:pPr>
      <w:r>
        <w:rPr/>
        <w:t>2. 프레임 수준 분석: LDA 토픽 모델링 결과(H2 검증)</w:t>
      </w:r>
    </w:p>
    <w:p>
      <w:pPr>
        <w:pStyle w:val="1"/>
        <w:widowControl w:val="off"/>
      </w:pPr>
      <w:r>
        <w:rPr/>
        <w:t>앞선 의제 수준 분석은 개별 키워드의 빈도와 중요도 변화를 보여주지만, 담론을 구성하는 잠재적 주제 구조까지 직접 설명하기에는 한계가 있다. 이에 통합 LDA(Unified LDA) 토픽 모델링을 활용하여, 공직사회 담론이 어떠한 주제 구조 속에서 조직되는지, 그리고 동일한 토픽 공간 위에서 정부별 담론 비중이 어떻게 차이를 보이는지를 분석하였다.</w:t>
      </w:r>
    </w:p>
    <w:p>
      <w:pPr>
        <w:pStyle w:val="1"/>
        <w:widowControl w:val="off"/>
      </w:pPr>
      <w:r>
        <w:rPr/>
        <w:t>기존의 정부별 독립 LDA 방식은 서로 다른 토픽 공간을 형성하게 되어, 토픽 비중을 직접 비교하는 데 한계를 가진다. 이를 보완하기 위해 본 연구는 두 정부 코퍼스를 통합하여 단일 LDA 모델을 구축하고, 동일한 기준 하에서 토픽 분포를 비교하였다.</w:t>
      </w:r>
    </w:p>
    <w:p>
      <w:pPr>
        <w:pStyle w:val="1"/>
        <w:widowControl w:val="off"/>
      </w:pPr>
      <w:r>
        <w:rPr/>
        <w:t>통합 LDA와 정부별 독립 LDA 결과를 비교할 때, 토픽 구성의 전반적인 방향성은 유사하게 나타났다. LDA 분석 결과, 박근혜 정부 시기에는 행정관리·효율화 관련 토픽이 상대적으로 높은 비중을 차지하는 경향이 나타난 반면, 문재인 정부 시기에는 공직사회 내부 운영과 조직문화 관련 토픽, 코로나19 위기관리와 디지털 전환 관련 토픽이 병존하는 보다 다층적 구조가 확인되었다. 이는 시기별 공직사회 담론의 차이가 개별 키워드의 변화에 그치지 않고, 담론을 구성하는 주제 구조 자체의 재편으로까지 이어졌음을 보여준다.</w:t>
      </w:r>
    </w:p>
    <w:p>
      <w:pPr>
        <w:pStyle w:val="4"/>
        <w:widowControl w:val="off"/>
      </w:pPr>
      <w:r>
        <w:rPr/>
        <w:t>1) 박근혜 정부 토픽 구조: 행정관리·효율화 중심 단일 구조</w:t>
      </w:r>
    </w:p>
    <w:p>
      <w:pPr>
        <w:pStyle w:val="6"/>
        <w:widowControl w:val="off"/>
      </w:pPr>
      <w:r>
        <w:rPr/>
        <w:t>&lt;그림 7: 박근혜 정부 시기 LDA 토픽(10개)&gt;</w:t>
      </w:r>
    </w:p>
    <w:p>
      <w:pPr>
        <w:pStyle w:val="1"/>
        <w:widowControl w:val="off"/>
        <w:wordWrap w:val="1"/>
        <w:jc w:val="center"/>
      </w:pPr>
    </w:p>
    <w:p>
      <w:pPr>
        <w:pStyle w:val="1"/>
        <w:widowControl w:val="off"/>
        <w:wordWrap w:val="1"/>
        <w:jc w:val="center"/>
      </w:pPr>
    </w:p>
    <w:p>
      <w:pPr>
        <w:pStyle w:val="1"/>
        <w:widowControl w:val="off"/>
        <w:wordWrap w:val="1"/>
        <w:jc w:val="center"/>
      </w:pPr>
    </w:p>
    <w:p>
      <w:pPr>
        <w:pStyle w:val="1"/>
        <w:widowControl w:val="off"/>
        <w:wordWrap w:val="1"/>
        <w:jc w:val="center"/>
      </w:pPr>
    </w:p>
    <w:p>
      <w:pPr>
        <w:pStyle w:val="1"/>
        <w:widowControl w:val="off"/>
        <w:wordWrap w:val="1"/>
        <w:jc w:val="center"/>
      </w:pPr>
    </w:p>
    <w:p>
      <w:pPr>
        <w:pStyle w:val="1"/>
        <w:widowControl w:val="off"/>
      </w:pPr>
      <w:r>
        <w:rPr/>
        <w:t>박근혜 정부 시기 LDA 토픽 분석 결과는 공직사회 내부 운영관리와 공공부문 효율화와 관련된 주제군이 상대적으로 두드러지는 구조를 보였다. 예를 들어 토픽 0은 '교육', '평가', '취업', '승진', '운영' 등의 키워드로 구성되어 공직사회 내 인사평가체계와 교육훈련 관련 문제를 포착하였고, 토픽 1과 토픽 7 역시 '성과', '인사', '조직', '운영', '기준' 등을 중심으로 성과관리와 인사 운영 관련 논의를 반영하였다.</w:t>
      </w:r>
    </w:p>
    <w:p>
      <w:pPr>
        <w:pStyle w:val="1"/>
        <w:widowControl w:val="off"/>
      </w:pPr>
      <w:r>
        <w:rPr/>
        <w:t>또한 토픽 8은 '경영', '합병', '계약', '지분', '매각' 등으로 구성되어 공공기관 경영, 구조조정, 민영화 관련 논의와의 연관성을 보여주었다. 이처럼 박근혜 정부 시기의 토픽 구조는 공직사회를 평가·성과·효율화·구조조정의 대상으로 다루는 경향이 상대적으로 강하였으며, 제도개혁과 행정관리 중심의담론 구조가 상대적으로 강화되는 양상이 확인되었다.</w:t>
      </w:r>
    </w:p>
    <w:p>
      <w:pPr>
        <w:pStyle w:val="4"/>
        <w:widowControl w:val="off"/>
      </w:pPr>
      <w:r>
        <w:rPr/>
        <w:t>2) 문재인 정부 토픽 구조: 내부개선·외부위기관리 병존 구조</w:t>
      </w:r>
    </w:p>
    <w:p>
      <w:pPr>
        <w:pStyle w:val="6"/>
        <w:widowControl w:val="off"/>
      </w:pPr>
      <w:r>
        <w:rPr/>
        <w:t>&lt;그림 8: 문재인 정부 시기 LDA 토픽(10개)&gt;</w:t>
      </w:r>
    </w:p>
    <w:p>
      <w:pPr>
        <w:pStyle w:val="1"/>
        <w:widowControl w:val="off"/>
        <w:wordWrap w:val="1"/>
        <w:jc w:val="center"/>
      </w:pPr>
    </w:p>
    <w:p>
      <w:pPr>
        <w:pStyle w:val="1"/>
        <w:widowControl w:val="off"/>
        <w:wordWrap w:val="1"/>
        <w:jc w:val="center"/>
      </w:pPr>
    </w:p>
    <w:p>
      <w:pPr>
        <w:pStyle w:val="1"/>
        <w:widowControl w:val="off"/>
        <w:wordWrap w:val="1"/>
        <w:jc w:val="center"/>
      </w:pPr>
    </w:p>
    <w:p>
      <w:pPr>
        <w:pStyle w:val="1"/>
        <w:widowControl w:val="off"/>
        <w:wordWrap w:val="1"/>
        <w:jc w:val="center"/>
      </w:pPr>
    </w:p>
    <w:p>
      <w:pPr>
        <w:pStyle w:val="1"/>
        <w:widowControl w:val="off"/>
        <w:wordWrap w:val="1"/>
        <w:jc w:val="center"/>
      </w:pPr>
    </w:p>
    <w:p>
      <w:pPr>
        <w:pStyle w:val="1"/>
        <w:widowControl w:val="off"/>
      </w:pPr>
      <w:r>
        <w:rPr/>
        <w:t>문재인 정부 시기 LDA 토픽은 공직사회 내부 운영과 조직문화 관련 토픽, 코로나19 대응과 디지털 전환 관련 토픽이 함께 나타나는 복합적 구조를 보였다. 예를 들어 토픽 8은 '인사', '논란', '조직', '업무', '직원', '절차', '책임', '비판', '인권' 등으로 구성되어, 공직사회 내부 운영 방식과 책임성·공정성·조직문화 관련 논의가 보다 적극적으로 제기되었음을 보여준다. 이는 공직사회가 단순한 정책 집행기관을 넘어 내부 운영과 조직문화에 대한 사회적 평가의 대상으로 부상하였음을 의미한다.</w:t>
      </w:r>
    </w:p>
    <w:p>
      <w:pPr>
        <w:pStyle w:val="1"/>
        <w:widowControl w:val="off"/>
      </w:pPr>
      <w:r>
        <w:rPr/>
        <w:t>한편 토픽 9는 '코로나', '접종', '확진자', '방역' 등을 중심으로 구성되어, 팬데믹 상황에서 공직사회가 위기대응의 핵심 주체로 담론화되었음을 보여준다. 디지털 전환 관련 키워드가 다른 토픽과 결합하여 나타나는 점 역시, 문재인 정부 시기 공직사회 담론이 조직문화 논의에 그치지 않고 위기관리와 기술혁신 문제를 함께 포괄하는 방향으로 전개되었음을 나타낸다.</w:t>
      </w:r>
    </w:p>
    <w:p>
      <w:pPr>
        <w:pStyle w:val="4"/>
        <w:widowControl w:val="off"/>
      </w:pPr>
      <w:r>
        <w:rPr/>
        <w:t>3) 토픽 구조 비교와 해석</w:t>
      </w:r>
    </w:p>
    <w:p>
      <w:pPr>
        <w:pStyle w:val="1"/>
        <w:widowControl w:val="off"/>
      </w:pPr>
      <w:r>
        <w:rPr/>
        <w:t xml:space="preserve">본 연구는 토픽에 대해 연구자가 임의의 요약적 명칭을 부여하지 않는 방식을 채택하였다. 토픽 라벨링은 연구자의 선험적 해석이 개입될 수 있는 주관적 과정으로, 단일 연구자가 부여한 명칭이 토픽의 실제 의미 구조를 왜곡하거나 과잉 해석할 위험이 있기 때문이다(Chang et al., 2009: 1-2, 3). 특히 언론 담론 분석에서는 동일한 토픽이 다양한 맥락에서 사용될 수 있기 때문에, 연구자가 특정 의미를 부여할 경우 담론의 실제 구조를 단순화하거나 특정 해석 방향으로 유도할 가능성이 존재한다. 이러한 문제를 최소화하기 위해 본 연구는 토픽 번호와 상위 출현 단어를 중심으로 결과를 제시하되, 필요한 경우 대표 기사 문맥(KWIC)을 함께 검토하여 토픽의 의미적 성격을 해석하였다. </w:t>
      </w:r>
    </w:p>
    <w:p>
      <w:pPr>
        <w:pStyle w:val="1"/>
        <w:widowControl w:val="off"/>
      </w:pPr>
      <w:r>
        <w:rPr/>
        <w:t>두 시기의 토픽 구조를 비교하면, 박근혜 정부 시기에는 공직사회가 행정관리, 효율화, 구조조정과 같은 제도적 관리 대상의 맥락에서 비교적 일관되게 구성되는 경향이 나타났다. 이는 앞서 이론적 논의에서 제시한 신공공관리론의 효율성 및 성과 중심 행정개혁 담론과 일정한 관련성을 갖는 것으로 해석될 수 있다. 실제로 토픽에 포함된 주요 단어들은 연금, 성과, 개혁, 효율, 구조조정 등 제도적 관리와 성과 통제와 관련된 개념과 밀접하게 결합되어 나타났으며, 공직사회가 조직 내부 구성원의 경험이나 조직문화의 문제라기보다는 국가 시스템 차원의 제도적 개혁 대상으로 재현되는 경향을 보였다. 이러한 토픽 구조는 언론이 공직사회를 재정 문제, 제도 개혁, 성과 관리의 맥락에서 의미화하는 프레이밍이 형성되었음을 보여준다.</w:t>
      </w:r>
    </w:p>
    <w:p>
      <w:pPr>
        <w:pStyle w:val="1"/>
        <w:widowControl w:val="off"/>
      </w:pPr>
      <w:r>
        <w:rPr/>
        <w:t>반면 문재인 정부 시기의 토픽 구조에서는 조직문화, 근무환경, 공정성과 같은 조직 내부 경험과 관련된 토픽이 확대되는 동시에, 코로나19 대응, 디지털 전환, 플랫폼 행정 등 위기 대응 및 행정환경 변화와 관련된 토픽이 함께 등장하는 보다 다층적인 구조가 나타났다. 이러한 결과는 공직사회 담론이 단일한 제도개혁 프레임에서 벗어나 조직 내부 운영과 사회적 환경 변화가 동시에 반영되는 복합적 담론 구조로 재편되었음을 보여준다. 특히 공정성, 조직문화, 근무환경 등과 관련된 토픽은 공직사회를 단순한 관리 대상이 아니라 조직 구성원의 경험과 가치가 중요한 논점이 되는 사회적 공간으로 재현하는 경향과 연결된다. 이는 공공거버넌스 및 공공가치 논의에서 강조되는 조직 내부의 민주성, 협력, 구성원 경험의 중요성과도 일정 부분 맥락을 공유하는 것으로 볼 수 있다.</w:t>
      </w:r>
    </w:p>
    <w:p>
      <w:pPr>
        <w:pStyle w:val="1"/>
        <w:widowControl w:val="off"/>
      </w:pPr>
      <w:r>
        <w:rPr/>
        <w:t>그러나 이러한 결과를 곧바로 공직사회 담론이 조직문화 중심으로 전환되었다고 단정하기는 어렵다. 본 연구의 분석 기간에는 코로나19 라는 강력한 외생적 충격이 포함되어 있으며, 이는 공공조직의 업무 방식과 정책 의제를 동시에 변화시킨 중요한 요인으로 작용하였다. 실제로 문재인 정부 시기의 토픽 구조에서는 조직문화·공정성 관련 토픽이 확대되는 동시에 코로나19 대응, 방역 행정, 디지털 행정 전환 등과 관련된 토픽이 함께 등장하였다. 이러한 점은 공직사회 담론이 단순히 정책 기조 변화에 의해 재편된 것이라기보다는, 정책 방향, 팬데믹, 디지털 전환, 세대 구성 변화 등 다양한 요인이 결합되면서 재구성된 결과로 확인된다.</w:t>
      </w:r>
    </w:p>
    <w:p>
      <w:pPr>
        <w:pStyle w:val="1"/>
        <w:widowControl w:val="off"/>
      </w:pPr>
      <w:r>
        <w:rPr/>
        <w:t>따라서 H2는 부분적으로 지지되는 것으로 나타났다. 조직문화·공정성 관련 토픽의 확대가 일부 확인되었으나, 실제 토픽 구조는 조직 내부 운영과 위기 대응 및 디지털 전환 관련 논의가 병존하는 복합적 양상으로 나타났다. 그러나 실제 토픽 구조는 조직 내부 운영과 관련된 논의와 위기 대응 및 행정환경 변화와 관련된 논의가 동시에 존재하는 복합적 양상을 보였으며, 행정운영이라는 공통 기반은 두 시기 모두에서 공통 기반으로 지속되었다.</w:t>
      </w:r>
    </w:p>
    <w:p>
      <w:pPr>
        <w:pStyle w:val="3"/>
        <w:widowControl w:val="off"/>
      </w:pPr>
      <w:r>
        <w:rPr/>
        <w:t>3. 구조 수준 분석: 공출현 네트워크에 나타난 담론 재편(H3 검증)</w:t>
      </w:r>
    </w:p>
    <w:p>
      <w:pPr>
        <w:pStyle w:val="1"/>
        <w:widowControl w:val="off"/>
      </w:pPr>
      <w:r>
        <w:rPr/>
        <w:t xml:space="preserve">PMI 기반 차별 공출현 분석에서 </w:t>
      </w:r>
      <w:r>
        <w:rPr/>
        <w:t>Δ</w:t>
      </w:r>
      <w:r>
        <w:rPr/>
        <w:t>PMI가 양수인 쌍은 문재인 정부에서 더 강하게 결합된 관계를, 음수인 쌍은 박근혜 정부 시기에서 더 강하게 결합된 관계를 의미한다. 박근혜 정부 시기에서 상대적으로 강하게 결합된 키워드 쌍은 ‘공무원</w:t>
      </w:r>
      <w:r>
        <w:rPr/>
        <w:t>–연금</w:t>
      </w:r>
      <w:r>
        <w:rPr/>
        <w:t>’, ‘개혁</w:t>
      </w:r>
      <w:r>
        <w:rPr/>
        <w:t>–연금</w:t>
      </w:r>
      <w:r>
        <w:rPr/>
        <w:t>’, ‘개혁</w:t>
      </w:r>
      <w:r>
        <w:rPr/>
        <w:t>–공무원</w:t>
      </w:r>
      <w:r>
        <w:rPr/>
        <w:t>’, ‘개혁</w:t>
      </w:r>
      <w:r>
        <w:rPr/>
        <w:t>–노동</w:t>
      </w:r>
      <w:r>
        <w:rPr/>
        <w:t>’, ‘개혁</w:t>
      </w:r>
      <w:r>
        <w:rPr/>
        <w:t>–규제</w:t>
      </w:r>
      <w:r>
        <w:rPr/>
        <w:t>’, ‘공공</w:t>
      </w:r>
      <w:r>
        <w:rPr/>
        <w:t>–성과</w:t>
      </w:r>
      <w:r>
        <w:rPr/>
        <w:t>’ 등으로 나타났다. 이러한 연결 구조는 공직사회 담론이 공무원연금 개혁, 공공부문 구조조정, 성과관리와 같은 제도개혁 중심 의제를 핵심 축으로 조직되었음을 보여준다. 즉, 박근혜 정부 시기의 공출현 네트워크는 공직사회를 재정 부담, 구조조정, 효율화의 문제와 밀접하게 연결하는 상대적으로 응집된 담론 구조를 형성하고 있었던 것으로 확인된다. 이는 신공공관리론에서 강조되는 효율성과 성과 중심 행정개혁 프레임이 언론 담론에서도 일정 부분 반영되었을 가능성을 보여준다.</w:t>
      </w:r>
    </w:p>
    <w:p>
      <w:pPr>
        <w:pStyle w:val="6"/>
        <w:widowControl w:val="off"/>
      </w:pPr>
      <w:r>
        <w:rPr/>
        <w:t xml:space="preserve">&lt;표 8 : </w:t>
      </w:r>
      <w:r>
        <w:rPr/>
        <w:t>Δ</w:t>
      </w:r>
      <w:r>
        <w:rPr/>
        <w:t>PMI 상위 10개 공출현 쌍&gt;</w:t>
      </w:r>
    </w:p>
    <w:tbl>
      <w:tblPr>
        <w:tblOverlap w:val="never"/>
        <w:tblW w:w="813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89"/>
        <w:gridCol w:w="973"/>
        <w:gridCol w:w="1101"/>
        <w:gridCol w:w="1824"/>
        <w:gridCol w:w="1824"/>
        <w:gridCol w:w="1823"/>
      </w:tblGrid>
      <w:tr>
        <w:trPr>
          <w:trHeight w:val="236"/>
        </w:trPr>
        <w:tc>
          <w:tcPr>
            <w:tcW w:w="589" w:type="dxa"/>
            <w:tcBorders>
              <w:top w:val="single" w:color="000000" w:sz="9"/>
              <w:left w:val="non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eastAsia="한양신명조"/>
                <w:b/>
                <w:sz w:val="18"/>
              </w:rPr>
              <w:t>순위</w:t>
            </w:r>
          </w:p>
        </w:tc>
        <w:tc>
          <w:tcPr>
            <w:tcW w:w="973"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eastAsia="한양신명조"/>
                <w:b/>
                <w:sz w:val="18"/>
              </w:rPr>
              <w:t>키워드1</w:t>
            </w:r>
          </w:p>
        </w:tc>
        <w:tc>
          <w:tcPr>
            <w:tcW w:w="1101"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eastAsia="한양신명조"/>
                <w:b/>
                <w:sz w:val="18"/>
              </w:rPr>
              <w:t>키워드2</w:t>
            </w:r>
          </w:p>
        </w:tc>
        <w:tc>
          <w:tcPr>
            <w:tcW w:w="1824"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b/>
                <w:sz w:val="18"/>
              </w:rPr>
              <w:t>Δ</w:t>
            </w:r>
            <w:r>
              <w:rPr>
                <w:rFonts w:ascii="한양신명조"/>
                <w:b/>
                <w:sz w:val="18"/>
              </w:rPr>
              <w:t>PMI</w:t>
            </w:r>
          </w:p>
        </w:tc>
        <w:tc>
          <w:tcPr>
            <w:tcW w:w="1824" w:type="dxa"/>
            <w:tcBorders>
              <w:top w:val="single" w:color="000000" w:sz="9"/>
              <w:left w:val="single" w:color="000000" w:sz="3"/>
              <w:bottom w:val="single" w:color="000000" w:sz="3"/>
              <w:right w:val="single" w:color="000000" w:sz="3"/>
            </w:tcBorders>
            <w:shd w:val="clear" w:fill="d8d8d8"/>
            <w:vAlign w:val="center"/>
          </w:tcPr>
          <w:p>
            <w:pPr>
              <w:pStyle w:val="0"/>
              <w:widowControl w:val="off"/>
              <w:wordWrap w:val="1"/>
              <w:spacing w:line="288" w:lineRule="auto"/>
              <w:jc w:val="center"/>
            </w:pPr>
            <w:r>
              <w:rPr>
                <w:rFonts w:ascii="한양신명조" w:eastAsia="한양신명조"/>
                <w:b/>
                <w:sz w:val="18"/>
              </w:rPr>
              <w:t>박근혜 정부</w:t>
            </w:r>
          </w:p>
        </w:tc>
        <w:tc>
          <w:tcPr>
            <w:tcW w:w="1823" w:type="dxa"/>
            <w:tcBorders>
              <w:top w:val="single" w:color="000000" w:sz="9"/>
              <w:left w:val="single" w:color="000000" w:sz="3"/>
              <w:bottom w:val="single" w:color="000000" w:sz="3"/>
              <w:right w:val="none" w:color="000000" w:sz="3"/>
            </w:tcBorders>
            <w:shd w:val="clear" w:fill="d8d8d8"/>
            <w:vAlign w:val="center"/>
          </w:tcPr>
          <w:p>
            <w:pPr>
              <w:pStyle w:val="0"/>
              <w:widowControl w:val="off"/>
              <w:wordWrap w:val="1"/>
              <w:spacing w:line="288" w:lineRule="auto"/>
              <w:jc w:val="center"/>
            </w:pPr>
            <w:r>
              <w:rPr>
                <w:rFonts w:ascii="한양신명조" w:eastAsia="한양신명조"/>
                <w:b/>
                <w:sz w:val="18"/>
              </w:rPr>
              <w:t>문재인 정부</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경영</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연금</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1.215</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767</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1253</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2</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디지털</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연금</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1.025</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120</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521</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3</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개혁</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인권</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0.894</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1418</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4221</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4</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데이터</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연금</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0.856</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100</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363</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5</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개혁</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승진</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0.741</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738</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1429</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6</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연금</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청년</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0.675</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1091</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1611</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7</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개혁</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조직</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0.641</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5163</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9559</w:t>
            </w:r>
          </w:p>
        </w:tc>
      </w:tr>
      <w:tr>
        <w:trPr>
          <w:trHeight w:val="236"/>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8</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개혁</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인사</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0.628</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6445</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12876</w:t>
            </w:r>
          </w:p>
        </w:tc>
      </w:tr>
      <w:tr>
        <w:trPr>
          <w:trHeight w:val="0"/>
        </w:trPr>
        <w:tc>
          <w:tcPr>
            <w:tcW w:w="589" w:type="dxa"/>
            <w:tcBorders>
              <w:top w:val="single" w:color="000000" w:sz="3"/>
              <w:left w:val="non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9</w:t>
            </w:r>
          </w:p>
        </w:tc>
        <w:tc>
          <w:tcPr>
            <w:tcW w:w="9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개혁</w:t>
            </w:r>
          </w:p>
        </w:tc>
        <w:tc>
          <w:tcPr>
            <w:tcW w:w="11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신명조"/>
                <w:sz w:val="18"/>
              </w:rPr>
              <w:t>여성</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0.576</w:t>
            </w:r>
          </w:p>
        </w:tc>
        <w:tc>
          <w:tcPr>
            <w:tcW w:w="182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18"/>
              </w:rPr>
              <w:t>2092</w:t>
            </w:r>
          </w:p>
        </w:tc>
        <w:tc>
          <w:tcPr>
            <w:tcW w:w="1823" w:type="dxa"/>
            <w:tcBorders>
              <w:top w:val="single" w:color="000000" w:sz="3"/>
              <w:left w:val="single" w:color="000000" w:sz="3"/>
              <w:bottom w:val="single" w:color="000000" w:sz="3"/>
              <w:right w:val="none" w:color="000000" w:sz="3"/>
            </w:tcBorders>
            <w:vAlign w:val="center"/>
          </w:tcPr>
          <w:p>
            <w:pPr>
              <w:pStyle w:val="0"/>
              <w:widowControl w:val="off"/>
              <w:wordWrap w:val="1"/>
              <w:spacing w:line="288" w:lineRule="auto"/>
              <w:jc w:val="center"/>
            </w:pPr>
            <w:r>
              <w:rPr>
                <w:rFonts w:ascii="한양신명조"/>
                <w:sz w:val="18"/>
              </w:rPr>
              <w:t>4292</w:t>
            </w:r>
          </w:p>
        </w:tc>
      </w:tr>
      <w:tr>
        <w:trPr>
          <w:trHeight w:val="236"/>
        </w:trPr>
        <w:tc>
          <w:tcPr>
            <w:tcW w:w="589"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10</w:t>
            </w:r>
          </w:p>
        </w:tc>
        <w:tc>
          <w:tcPr>
            <w:tcW w:w="973"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승진</w:t>
            </w:r>
          </w:p>
        </w:tc>
        <w:tc>
          <w:tcPr>
            <w:tcW w:w="110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eastAsia="한양신명조"/>
                <w:sz w:val="18"/>
              </w:rPr>
              <w:t>인권</w:t>
            </w:r>
          </w:p>
        </w:tc>
        <w:tc>
          <w:tcPr>
            <w:tcW w:w="1824"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0.575</w:t>
            </w:r>
          </w:p>
        </w:tc>
        <w:tc>
          <w:tcPr>
            <w:tcW w:w="1824"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한양신명조"/>
                <w:sz w:val="18"/>
              </w:rPr>
              <w:t>248</w:t>
            </w:r>
          </w:p>
        </w:tc>
        <w:tc>
          <w:tcPr>
            <w:tcW w:w="1823" w:type="dxa"/>
            <w:tcBorders>
              <w:top w:val="single" w:color="000000" w:sz="3"/>
              <w:left w:val="single" w:color="000000" w:sz="3"/>
              <w:bottom w:val="single" w:color="000000" w:sz="9"/>
              <w:right w:val="none" w:color="000000" w:sz="3"/>
            </w:tcBorders>
            <w:vAlign w:val="center"/>
          </w:tcPr>
          <w:p>
            <w:pPr>
              <w:pStyle w:val="0"/>
              <w:widowControl w:val="off"/>
              <w:wordWrap w:val="1"/>
              <w:spacing w:line="288" w:lineRule="auto"/>
              <w:jc w:val="center"/>
            </w:pPr>
            <w:r>
              <w:rPr>
                <w:rFonts w:ascii="한양신명조"/>
                <w:sz w:val="18"/>
              </w:rPr>
              <w:t>688</w:t>
            </w:r>
          </w:p>
        </w:tc>
      </w:tr>
    </w:tbl>
    <w:p>
      <w:pPr>
        <w:pStyle w:val="1"/>
        <w:widowControl w:val="off"/>
      </w:pPr>
    </w:p>
    <w:p>
      <w:pPr>
        <w:pStyle w:val="1"/>
        <w:widowControl w:val="off"/>
      </w:pPr>
      <w:r>
        <w:rPr/>
        <w:t>문재인 정부 시기에서 상대적으로 강하게 결합된 키워드 쌍을 살펴보면, ‘연금</w:t>
      </w:r>
      <w:r>
        <w:rPr/>
        <w:t>–청년</w:t>
      </w:r>
      <w:r>
        <w:rPr/>
        <w:t>’, ‘연금</w:t>
      </w:r>
      <w:r>
        <w:rPr/>
        <w:t>–공정</w:t>
      </w:r>
      <w:r>
        <w:rPr/>
        <w:t>’, ‘연금</w:t>
      </w:r>
      <w:r>
        <w:rPr/>
        <w:t>–근무</w:t>
      </w:r>
      <w:r>
        <w:rPr/>
        <w:t>’, ‘개혁</w:t>
      </w:r>
      <w:r>
        <w:rPr/>
        <w:t>–인권</w:t>
      </w:r>
      <w:r>
        <w:rPr/>
        <w:t>’, ‘개혁</w:t>
      </w:r>
      <w:r>
        <w:rPr/>
        <w:t>–공정</w:t>
      </w:r>
      <w:r>
        <w:rPr/>
        <w:t>’, ‘공무원</w:t>
      </w:r>
      <w:r>
        <w:rPr/>
        <w:t>–인권</w:t>
      </w:r>
      <w:r>
        <w:rPr/>
        <w:t>’, ‘규제</w:t>
      </w:r>
      <w:r>
        <w:rPr/>
        <w:t>–혁신</w:t>
      </w:r>
      <w:r>
        <w:rPr/>
        <w:t>’, ‘규제</w:t>
      </w:r>
      <w:r>
        <w:rPr/>
        <w:t>–데이터</w:t>
      </w:r>
      <w:r>
        <w:rPr/>
        <w:t>’ 등과 같이 전통적인 제도개혁 관련 키워드가 인권, 공정성, 청년, 디지털 혁신과 같은 새로운 의제와 결합되는 양상이 나타났다. 이러한 결과는 기존의 제도개혁 관련 개념이 단순히 효율성이나 재정 문제와 결합되는 수준을 넘어, 권리, 세대, 조직문화, 기술혁신과 같은 다양한 사회적 의제와 함께 재맥락화되고 있음이 확인된다. 즉, 공직사회 관련 담론이 단일한 행정개혁 문제를 중심으로 조직되기보다, 다양한 가치와 정책 환경이 교차하는 복합적 의미 구조 속에서 구성되고 있음을 보여준다.</w:t>
      </w:r>
    </w:p>
    <w:p>
      <w:pPr>
        <w:pStyle w:val="6"/>
        <w:widowControl w:val="off"/>
      </w:pPr>
      <w:r>
        <w:rPr/>
        <w:t>&lt;그림 9: 네트워크 시각화&gt;</w:t>
      </w:r>
    </w:p>
    <w:p>
      <w:pPr>
        <w:pStyle w:val="1"/>
        <w:widowControl w:val="off"/>
        <w:wordWrap w:val="1"/>
        <w:jc w:val="center"/>
      </w:pPr>
      <w:r>
        <w:drawing>
          <wp:inline distT="0" distB="0" distL="0" distR="0">
            <wp:extent cx="3507740" cy="2167890"/>
            <wp:effectExtent l="0" t="0" r="0" b="0"/>
            <wp:docPr id="7" name="그림 %d 7"/>
            <wp:cNvGraphicFramePr/>
            <a:graphic>
              <a:graphicData uri="http://schemas.openxmlformats.org/drawingml/2006/picture">
                <pic:pic>
                  <pic:nvPicPr>
                    <pic:cNvPr id="0" name="C:\Temp\Hnc\BinData\EMB000012442034.bmp"/>
                    <pic:cNvPicPr/>
                  </pic:nvPicPr>
                  <pic:blipFill>
                    <a:blip r:embed="rId7"/>
                    <a:stretch>
                      <a:fillRect/>
                    </a:stretch>
                  </pic:blipFill>
                  <pic:spPr>
                    <a:xfrm>
                      <a:off x="0" y="0"/>
                      <a:ext cx="3507740" cy="2167890"/>
                    </a:xfrm>
                    <a:prstGeom prst="rect">
                      <a:avLst/>
                    </a:prstGeom>
                    <a:effectLst/>
                  </pic:spPr>
                </pic:pic>
              </a:graphicData>
            </a:graphic>
          </wp:inline>
        </w:drawing>
      </w:r>
    </w:p>
    <w:p>
      <w:pPr>
        <w:pStyle w:val="1"/>
        <w:widowControl w:val="off"/>
        <w:wordWrap w:val="1"/>
        <w:jc w:val="center"/>
      </w:pPr>
      <w:r>
        <w:rPr/>
        <w:t xml:space="preserve">* 실선(양수 </w:t>
      </w:r>
      <w:r>
        <w:rPr/>
        <w:t>Δ</w:t>
      </w:r>
      <w:r>
        <w:rPr/>
        <w:t xml:space="preserve">PMI): 문재인 정부 강화 / 점선(음수 </w:t>
      </w:r>
      <w:r>
        <w:rPr/>
        <w:t>Δ</w:t>
      </w:r>
      <w:r>
        <w:rPr/>
        <w:t>PMI): 박근혜 정부 강화</w:t>
      </w:r>
    </w:p>
    <w:p>
      <w:pPr>
        <w:pStyle w:val="1"/>
        <w:widowControl w:val="off"/>
        <w:rPr/>
      </w:pPr>
    </w:p>
    <w:p>
      <w:pPr>
        <w:pStyle w:val="1"/>
        <w:widowControl w:val="off"/>
      </w:pPr>
      <w:r>
        <w:rPr/>
        <w:t>문재인 정부 시기에는 디지털·공정·조직 관련 키워드가 네트워크 중심부로 이동하는 경향이 나타났으며, 박근혜 정부 시기에는 효율·연금·정책 등 제도개혁 관련 키워드가 중심 구조를 형성하는 특징이 나타난다. 이는 공직사회 담론에서 핵심 개념이 완전히 교체되었다기보다, 기존의 제도개혁 중심 키워드들이 새로운 사회적 가치(공정, 인권, 세대) 및 정책 환경(디지털 전환, 데이터 활용)과 결합하면서 네트워크 내에서 차지하는 위치가 변화하고 있음을 의미한다.</w:t>
      </w:r>
    </w:p>
    <w:p>
      <w:pPr>
        <w:pStyle w:val="1"/>
        <w:widowControl w:val="off"/>
      </w:pPr>
      <w:r>
        <w:rPr/>
        <w:t xml:space="preserve">다만 중심성 지표에 대한 Mann-Whitney U 검정 결과, 전반적인 분포 차이는 통계적으로 유의하지 않았다(p &gt; 0.05). 그러나 개별 키워드 수준에서는 중심성 변화의 방향성이 일관되게 나타났으며, 이는 담론 구조가 급격한 전환이 아니라 점진적 재구성의 방식으로 변화하고 있음을 시사한다. 이러한 차이는 </w:t>
      </w:r>
      <w:r>
        <w:rPr/>
        <w:t>Δ</w:t>
      </w:r>
      <w:r>
        <w:rPr/>
        <w:t>PMI 기반 공출현 쌍 분석과 중심성 분석 결과를 통해 일관되게 확인되었으며, 시기별 개별 공출현 네트워크 시각화 결과는 부록 5에 제시하였다.</w:t>
      </w:r>
    </w:p>
    <w:p>
      <w:pPr>
        <w:pStyle w:val="1"/>
        <w:widowControl w:val="off"/>
      </w:pPr>
      <w:r>
        <w:rPr/>
        <w:t>한편 공출현 네트워크의 구조적 특성을 보다 정량적으로 검증하기 위해 주요 키워드에 대한 중심성 분석을 추가로 수행하였다. 분석 결과, 문재인 정부 시기에는 데이터, 공정, 인사, 소통, 개혁 등과 같은 키워드의 중심성이 상대적으로 증가한 반면, 박근혜 정부 시기에는 효율, 예산, 노동, 정책 등 전통적인 행정 운영 관련 키워드의 중심성이 상대적으로 높게 나타났다.</w:t>
      </w:r>
    </w:p>
    <w:p>
      <w:pPr>
        <w:pStyle w:val="6"/>
        <w:widowControl w:val="off"/>
      </w:pPr>
      <w:r>
        <w:rPr/>
        <w:t>&lt;그림 10&gt; 정부별 중심성 비교 (연결, 매개, 근접, 위세)</w:t>
      </w:r>
    </w:p>
    <w:p>
      <w:pPr>
        <w:pStyle w:val="1"/>
        <w:widowControl w:val="off"/>
        <w:wordWrap w:val="1"/>
        <w:jc w:val="center"/>
      </w:pPr>
      <w:r>
        <w:drawing>
          <wp:inline distT="0" distB="0" distL="0" distR="0">
            <wp:extent cx="4756531" cy="3320161"/>
            <wp:effectExtent l="0" t="0" r="0" b="0"/>
            <wp:docPr id="8" name="그림 %d 8"/>
            <wp:cNvGraphicFramePr/>
            <a:graphic>
              <a:graphicData uri="http://schemas.openxmlformats.org/drawingml/2006/picture">
                <pic:pic>
                  <pic:nvPicPr>
                    <pic:cNvPr id="0" name="C:\Temp\Hnc\BinData\EMB000012442035.bmp"/>
                    <pic:cNvPicPr/>
                  </pic:nvPicPr>
                  <pic:blipFill>
                    <a:blip r:embed="rId8"/>
                    <a:stretch>
                      <a:fillRect/>
                    </a:stretch>
                  </pic:blipFill>
                  <pic:spPr>
                    <a:xfrm>
                      <a:off x="0" y="0"/>
                      <a:ext cx="4756531" cy="3320161"/>
                    </a:xfrm>
                    <a:prstGeom prst="rect">
                      <a:avLst/>
                    </a:prstGeom>
                    <a:effectLst/>
                  </pic:spPr>
                </pic:pic>
              </a:graphicData>
            </a:graphic>
          </wp:inline>
        </w:drawing>
      </w:r>
    </w:p>
    <w:p>
      <w:pPr>
        <w:pStyle w:val="1"/>
        <w:widowControl w:val="off"/>
      </w:pPr>
      <w:r>
        <w:rPr/>
        <w:t>중심성 지표 간 차이를 검증하기 위해 Mann-Whitney U 검정을 실시한 결과, 연결중심성, 매개중심성, 근접중심성, 위세중심성 모두에서 통계적으로 유의한 차이는 확인되지 않았다(p &gt; 0.05). 이는 네트워크 구조의 전반적인 분포 차이를 통계적으로 일반화하기에는 제한이 있음을 의미한다.</w:t>
      </w:r>
    </w:p>
    <w:p>
      <w:pPr>
        <w:pStyle w:val="6"/>
        <w:widowControl w:val="off"/>
      </w:pPr>
      <w:r>
        <w:rPr/>
        <w:t>&lt;표 9&gt; 중심성 차이 Mann-Whitney U test 결과</w:t>
      </w:r>
    </w:p>
    <w:tbl>
      <w:tblPr>
        <w:tblOverlap w:val="never"/>
        <w:tblW w:w="81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21"/>
        <w:gridCol w:w="1000"/>
        <w:gridCol w:w="887"/>
        <w:gridCol w:w="1566"/>
        <w:gridCol w:w="1680"/>
        <w:gridCol w:w="1453"/>
      </w:tblGrid>
      <w:tr>
        <w:trPr>
          <w:trHeight w:val="56"/>
        </w:trPr>
        <w:tc>
          <w:tcPr>
            <w:tcW w:w="1521" w:type="dxa"/>
            <w:tcBorders>
              <w:top w:val="single" w:color="000000" w:sz="9"/>
              <w:left w:val="none" w:color="000000" w:sz="3"/>
              <w:bottom w:val="single" w:color="000000" w:sz="3"/>
              <w:right w:val="single" w:color="000000" w:sz="3"/>
            </w:tcBorders>
            <w:shd w:val="clear" w:fill="cccccc"/>
            <w:vAlign w:val="center"/>
          </w:tcPr>
          <w:p>
            <w:pPr>
              <w:pStyle w:val="0"/>
              <w:widowControl w:val="off"/>
              <w:wordWrap w:val="1"/>
              <w:jc w:val="center"/>
            </w:pPr>
            <w:r>
              <w:rPr>
                <w:b/>
                <w:sz w:val="18"/>
              </w:rPr>
              <w:t>중심성 지표</w:t>
            </w:r>
          </w:p>
        </w:tc>
        <w:tc>
          <w:tcPr>
            <w:tcW w:w="1000"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sz w:val="18"/>
              </w:rPr>
              <w:t>U 통계량</w:t>
            </w:r>
          </w:p>
        </w:tc>
        <w:tc>
          <w:tcPr>
            <w:tcW w:w="887"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sz w:val="18"/>
              </w:rPr>
              <w:t>p-value</w:t>
            </w:r>
          </w:p>
        </w:tc>
        <w:tc>
          <w:tcPr>
            <w:tcW w:w="1566"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sz w:val="18"/>
              </w:rPr>
              <w:t>유의성 검정</w:t>
            </w:r>
          </w:p>
        </w:tc>
        <w:tc>
          <w:tcPr>
            <w:tcW w:w="1680"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sz w:val="18"/>
              </w:rPr>
              <w:t>평균 차이 (</w:t>
            </w:r>
            <w:r>
              <w:rPr>
                <w:b/>
                <w:sz w:val="18"/>
              </w:rPr>
              <w:t>Δ평균</w:t>
            </w:r>
            <w:r>
              <w:rPr>
                <w:b/>
                <w:sz w:val="18"/>
              </w:rPr>
              <w:t>)</w:t>
            </w:r>
          </w:p>
        </w:tc>
        <w:tc>
          <w:tcPr>
            <w:tcW w:w="1453" w:type="dxa"/>
            <w:tcBorders>
              <w:top w:val="single" w:color="000000" w:sz="9"/>
              <w:left w:val="single" w:color="000000" w:sz="3"/>
              <w:bottom w:val="single" w:color="000000" w:sz="3"/>
              <w:right w:val="none" w:color="000000" w:sz="3"/>
            </w:tcBorders>
            <w:shd w:val="clear" w:fill="cccccc"/>
            <w:vAlign w:val="center"/>
          </w:tcPr>
          <w:p>
            <w:pPr>
              <w:pStyle w:val="0"/>
              <w:widowControl w:val="off"/>
              <w:wordWrap w:val="1"/>
              <w:jc w:val="center"/>
            </w:pPr>
            <w:r>
              <w:rPr>
                <w:b/>
                <w:sz w:val="18"/>
              </w:rPr>
              <w:t>비고</w:t>
            </w:r>
          </w:p>
        </w:tc>
      </w:tr>
      <w:tr>
        <w:trPr>
          <w:trHeight w:val="56"/>
        </w:trPr>
        <w:tc>
          <w:tcPr>
            <w:tcW w:w="1521"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18"/>
              </w:rPr>
              <w:t>연결중심성</w:t>
            </w:r>
          </w:p>
          <w:p>
            <w:pPr>
              <w:pStyle w:val="0"/>
              <w:widowControl w:val="off"/>
              <w:wordWrap w:val="1"/>
              <w:jc w:val="center"/>
            </w:pPr>
            <w:r>
              <w:rPr>
                <w:sz w:val="18"/>
              </w:rPr>
              <w:t xml:space="preserve"> (Degree)</w:t>
            </w:r>
          </w:p>
        </w:tc>
        <w:tc>
          <w:tcPr>
            <w:tcW w:w="100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466.0</w:t>
            </w:r>
          </w:p>
        </w:tc>
        <w:tc>
          <w:tcPr>
            <w:tcW w:w="8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0.313</w:t>
            </w:r>
          </w:p>
        </w:tc>
        <w:tc>
          <w:tcPr>
            <w:tcW w:w="156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유의미하지 않음</w:t>
            </w:r>
          </w:p>
        </w:tc>
        <w:tc>
          <w:tcPr>
            <w:tcW w:w="168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+0.030</w:t>
            </w:r>
          </w:p>
        </w:tc>
        <w:tc>
          <w:tcPr>
            <w:tcW w:w="145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18"/>
              </w:rPr>
              <w:t>문재인 정부 우의</w:t>
            </w:r>
          </w:p>
        </w:tc>
      </w:tr>
      <w:tr>
        <w:trPr>
          <w:trHeight w:val="56"/>
        </w:trPr>
        <w:tc>
          <w:tcPr>
            <w:tcW w:w="1521"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18"/>
              </w:rPr>
              <w:t>매개중심성</w:t>
            </w:r>
          </w:p>
          <w:p>
            <w:pPr>
              <w:pStyle w:val="0"/>
              <w:widowControl w:val="off"/>
              <w:wordWrap w:val="1"/>
              <w:jc w:val="center"/>
            </w:pPr>
            <w:r>
              <w:rPr>
                <w:sz w:val="18"/>
              </w:rPr>
              <w:t xml:space="preserve"> (Betweenness)</w:t>
            </w:r>
          </w:p>
        </w:tc>
        <w:tc>
          <w:tcPr>
            <w:tcW w:w="100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549.5</w:t>
            </w:r>
          </w:p>
        </w:tc>
        <w:tc>
          <w:tcPr>
            <w:tcW w:w="8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0.954</w:t>
            </w:r>
          </w:p>
        </w:tc>
        <w:tc>
          <w:tcPr>
            <w:tcW w:w="156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유의미하지 않음</w:t>
            </w:r>
          </w:p>
        </w:tc>
        <w:tc>
          <w:tcPr>
            <w:tcW w:w="168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-0.002</w:t>
            </w:r>
          </w:p>
        </w:tc>
        <w:tc>
          <w:tcPr>
            <w:tcW w:w="145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18"/>
              </w:rPr>
              <w:t>박근혜 정부 우의</w:t>
            </w:r>
          </w:p>
        </w:tc>
      </w:tr>
      <w:tr>
        <w:trPr>
          <w:trHeight w:val="56"/>
        </w:trPr>
        <w:tc>
          <w:tcPr>
            <w:tcW w:w="1521"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18"/>
              </w:rPr>
              <w:t>근접중심성</w:t>
            </w:r>
          </w:p>
          <w:p>
            <w:pPr>
              <w:pStyle w:val="0"/>
              <w:widowControl w:val="off"/>
              <w:wordWrap w:val="1"/>
              <w:jc w:val="center"/>
            </w:pPr>
            <w:r>
              <w:rPr>
                <w:sz w:val="18"/>
              </w:rPr>
              <w:t xml:space="preserve"> (Closeness)</w:t>
            </w:r>
          </w:p>
        </w:tc>
        <w:tc>
          <w:tcPr>
            <w:tcW w:w="100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402.0</w:t>
            </w:r>
          </w:p>
        </w:tc>
        <w:tc>
          <w:tcPr>
            <w:tcW w:w="8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0.069</w:t>
            </w:r>
          </w:p>
        </w:tc>
        <w:tc>
          <w:tcPr>
            <w:tcW w:w="156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유의미하지 않음</w:t>
            </w:r>
          </w:p>
        </w:tc>
        <w:tc>
          <w:tcPr>
            <w:tcW w:w="168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rPr>
              <w:t>+0.076</w:t>
            </w:r>
          </w:p>
        </w:tc>
        <w:tc>
          <w:tcPr>
            <w:tcW w:w="145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18"/>
              </w:rPr>
              <w:t xml:space="preserve">문재인 정부 우의 </w:t>
            </w:r>
          </w:p>
        </w:tc>
      </w:tr>
      <w:tr>
        <w:trPr>
          <w:trHeight w:val="56"/>
        </w:trPr>
        <w:tc>
          <w:tcPr>
            <w:tcW w:w="1521" w:type="dxa"/>
            <w:tcBorders>
              <w:top w:val="single" w:color="000000" w:sz="3"/>
              <w:left w:val="none" w:color="000000" w:sz="3"/>
              <w:bottom w:val="single" w:color="000000" w:sz="9"/>
              <w:right w:val="single" w:color="000000" w:sz="3"/>
            </w:tcBorders>
            <w:vAlign w:val="center"/>
          </w:tcPr>
          <w:p>
            <w:pPr>
              <w:pStyle w:val="0"/>
              <w:widowControl w:val="off"/>
              <w:wordWrap w:val="1"/>
              <w:jc w:val="center"/>
            </w:pPr>
            <w:r>
              <w:rPr>
                <w:sz w:val="18"/>
              </w:rPr>
              <w:t>위세중심성</w:t>
            </w:r>
          </w:p>
          <w:p>
            <w:pPr>
              <w:pStyle w:val="0"/>
              <w:widowControl w:val="off"/>
              <w:wordWrap w:val="1"/>
              <w:jc w:val="center"/>
            </w:pPr>
            <w:r>
              <w:rPr>
                <w:sz w:val="18"/>
              </w:rPr>
              <w:t xml:space="preserve"> (Eigenvector)</w:t>
            </w:r>
          </w:p>
        </w:tc>
        <w:tc>
          <w:tcPr>
            <w:tcW w:w="1000"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rPr>
              <w:t>561.0</w:t>
            </w:r>
          </w:p>
        </w:tc>
        <w:tc>
          <w:tcPr>
            <w:tcW w:w="887"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rPr>
              <w:t>0.837</w:t>
            </w:r>
          </w:p>
        </w:tc>
        <w:tc>
          <w:tcPr>
            <w:tcW w:w="1566"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rPr>
              <w:t>유의미하지 않음</w:t>
            </w:r>
          </w:p>
        </w:tc>
        <w:tc>
          <w:tcPr>
            <w:tcW w:w="1680"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rPr>
              <w:t>-0.002</w:t>
            </w:r>
          </w:p>
        </w:tc>
        <w:tc>
          <w:tcPr>
            <w:tcW w:w="1453" w:type="dxa"/>
            <w:tcBorders>
              <w:top w:val="single" w:color="000000" w:sz="3"/>
              <w:left w:val="single" w:color="000000" w:sz="3"/>
              <w:bottom w:val="single" w:color="000000" w:sz="9"/>
              <w:right w:val="none" w:color="000000" w:sz="3"/>
            </w:tcBorders>
            <w:vAlign w:val="center"/>
          </w:tcPr>
          <w:p>
            <w:pPr>
              <w:pStyle w:val="0"/>
              <w:widowControl w:val="off"/>
              <w:wordWrap w:val="1"/>
              <w:jc w:val="center"/>
            </w:pPr>
            <w:r>
              <w:rPr>
                <w:sz w:val="18"/>
              </w:rPr>
              <w:t>박근혜 정부 우의</w:t>
            </w:r>
          </w:p>
        </w:tc>
      </w:tr>
      <w:tr>
        <w:trPr>
          <w:trHeight w:val="0"/>
        </w:trPr>
        <w:tc>
          <w:tcPr>
            <w:tcW w:w="8108" w:type="dxa"/>
            <w:gridSpan w:val="6"/>
            <w:tcBorders>
              <w:top w:val="single" w:color="000000" w:sz="9"/>
              <w:left w:val="none" w:color="000000" w:sz="3"/>
              <w:bottom w:val="none" w:color="000000" w:sz="3"/>
              <w:right w:val="none" w:color="000000" w:sz="3"/>
            </w:tcBorders>
            <w:vAlign w:val="center"/>
          </w:tcPr>
          <w:p>
            <w:pPr>
              <w:pStyle w:val="14"/>
              <w:widowControl w:val="off"/>
            </w:pPr>
            <w:r>
              <w:rPr/>
              <w:t>주: 전반적인 분포 차이는 통계적으로 유의수준 0.05에서 기각됨</w:t>
            </w:r>
          </w:p>
        </w:tc>
      </w:tr>
    </w:tbl>
    <w:p>
      <w:pPr>
        <w:pStyle w:val="1"/>
        <w:widowControl w:val="off"/>
      </w:pPr>
    </w:p>
    <w:p>
      <w:pPr>
        <w:pStyle w:val="6"/>
        <w:widowControl w:val="off"/>
      </w:pPr>
      <w:r>
        <w:rPr/>
        <w:t>&lt;표 10&gt; 중심성 증가/감소 상위 키워드</w:t>
      </w:r>
    </w:p>
    <w:tbl>
      <w:tblPr>
        <w:tblOverlap w:val="never"/>
        <w:tblW w:w="810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54"/>
        <w:gridCol w:w="762"/>
        <w:gridCol w:w="1158"/>
        <w:gridCol w:w="1158"/>
        <w:gridCol w:w="1158"/>
        <w:gridCol w:w="1158"/>
        <w:gridCol w:w="1158"/>
      </w:tblGrid>
      <w:tr>
        <w:trPr>
          <w:trHeight w:val="56"/>
        </w:trPr>
        <w:tc>
          <w:tcPr>
            <w:tcW w:w="1554" w:type="dxa"/>
            <w:tcBorders>
              <w:top w:val="single" w:color="000000" w:sz="9"/>
              <w:left w:val="none" w:color="000000" w:sz="3"/>
              <w:bottom w:val="single" w:color="000000" w:sz="3"/>
              <w:right w:val="single" w:color="000000" w:sz="3"/>
            </w:tcBorders>
            <w:shd w:val="clear" w:fill="cccccc"/>
            <w:vAlign w:val="center"/>
          </w:tcPr>
          <w:p>
            <w:pPr>
              <w:pStyle w:val="0"/>
              <w:widowControl w:val="off"/>
              <w:wordWrap w:val="1"/>
              <w:jc w:val="center"/>
            </w:pPr>
            <w:r>
              <w:rPr>
                <w:b/>
              </w:rPr>
              <w:t>구분</w:t>
            </w:r>
          </w:p>
        </w:tc>
        <w:tc>
          <w:tcPr>
            <w:tcW w:w="762"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rPr>
              <w:t>순위</w:t>
            </w:r>
          </w:p>
        </w:tc>
        <w:tc>
          <w:tcPr>
            <w:tcW w:w="1158"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rPr>
              <w:t>키워드</w:t>
            </w:r>
          </w:p>
        </w:tc>
        <w:tc>
          <w:tcPr>
            <w:tcW w:w="1158"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rPr>
              <w:t>Δ</w:t>
            </w:r>
            <w:r>
              <w:rPr>
                <w:b/>
              </w:rPr>
              <w:t xml:space="preserve"> 연결</w:t>
            </w:r>
          </w:p>
        </w:tc>
        <w:tc>
          <w:tcPr>
            <w:tcW w:w="1158"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rPr>
              <w:t>Δ</w:t>
            </w:r>
            <w:r>
              <w:rPr>
                <w:b/>
              </w:rPr>
              <w:t xml:space="preserve"> 매개</w:t>
            </w:r>
          </w:p>
        </w:tc>
        <w:tc>
          <w:tcPr>
            <w:tcW w:w="1158" w:type="dxa"/>
            <w:tcBorders>
              <w:top w:val="single" w:color="000000" w:sz="9"/>
              <w:left w:val="single" w:color="000000" w:sz="3"/>
              <w:bottom w:val="single" w:color="000000" w:sz="3"/>
              <w:right w:val="single" w:color="000000" w:sz="3"/>
            </w:tcBorders>
            <w:shd w:val="clear" w:fill="cccccc"/>
            <w:vAlign w:val="center"/>
          </w:tcPr>
          <w:p>
            <w:pPr>
              <w:pStyle w:val="0"/>
              <w:widowControl w:val="off"/>
              <w:wordWrap w:val="1"/>
              <w:jc w:val="center"/>
            </w:pPr>
            <w:r>
              <w:rPr>
                <w:b/>
              </w:rPr>
              <w:t>Δ</w:t>
            </w:r>
            <w:r>
              <w:rPr>
                <w:b/>
              </w:rPr>
              <w:t xml:space="preserve"> 근접</w:t>
            </w:r>
          </w:p>
        </w:tc>
        <w:tc>
          <w:tcPr>
            <w:tcW w:w="1158" w:type="dxa"/>
            <w:tcBorders>
              <w:top w:val="single" w:color="000000" w:sz="9"/>
              <w:left w:val="single" w:color="000000" w:sz="3"/>
              <w:bottom w:val="single" w:color="000000" w:sz="3"/>
              <w:right w:val="none" w:color="000000" w:sz="3"/>
            </w:tcBorders>
            <w:shd w:val="clear" w:fill="cccccc"/>
            <w:vAlign w:val="center"/>
          </w:tcPr>
          <w:p>
            <w:pPr>
              <w:pStyle w:val="0"/>
              <w:widowControl w:val="off"/>
              <w:wordWrap w:val="1"/>
              <w:jc w:val="center"/>
            </w:pPr>
            <w:r>
              <w:rPr>
                <w:b/>
              </w:rPr>
              <w:t>Δ</w:t>
            </w:r>
            <w:r>
              <w:rPr>
                <w:b/>
              </w:rPr>
              <w:t xml:space="preserve"> 위세</w:t>
            </w:r>
          </w:p>
        </w:tc>
      </w:tr>
      <w:tr>
        <w:trPr>
          <w:trHeight w:val="56"/>
        </w:trPr>
        <w:tc>
          <w:tcPr>
            <w:tcW w:w="1554" w:type="dxa"/>
            <w:vMerge w:val="restart"/>
            <w:tcBorders>
              <w:top w:val="single" w:color="000000" w:sz="3"/>
              <w:left w:val="none" w:color="000000" w:sz="3"/>
              <w:bottom w:val="single" w:color="000000" w:sz="3"/>
              <w:right w:val="single" w:color="000000" w:sz="3"/>
            </w:tcBorders>
            <w:vAlign w:val="center"/>
          </w:tcPr>
          <w:p>
            <w:pPr>
              <w:pStyle w:val="0"/>
              <w:widowControl w:val="off"/>
              <w:wordWrap w:val="1"/>
              <w:jc w:val="center"/>
            </w:pPr>
            <w:r>
              <w:rPr/>
              <w:t>중심성 증가</w:t>
            </w:r>
            <w:r>
              <w:br/>
              <w:rPr/>
              <w:t>(문재인 정부 강화)</w:t>
            </w: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데이터</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+0.094</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0.000</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+0.402</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+0.001</w:t>
            </w:r>
          </w:p>
        </w:tc>
      </w:tr>
      <w:tr>
        <w:trPr>
          <w:trHeight w:val="56"/>
        </w:trPr>
        <w:tc>
          <w:tcPr>
            <w:tcW w:w="1554" w:type="dxa"/>
            <w:vMerge/>
            <w:tcBorders>
              <w:top w:val="single" w:color="000000" w:sz="3"/>
              <w:left w:val="none" w:color="000000" w:sz="3"/>
              <w:bottom w:val="single" w:color="000000" w:sz="3"/>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인사</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+0.156</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+0.008</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+0.210</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+0.051</w:t>
            </w:r>
          </w:p>
        </w:tc>
      </w:tr>
      <w:tr>
        <w:trPr>
          <w:trHeight w:val="56"/>
        </w:trPr>
        <w:tc>
          <w:tcPr>
            <w:tcW w:w="1554" w:type="dxa"/>
            <w:vMerge/>
            <w:tcBorders>
              <w:top w:val="single" w:color="000000" w:sz="3"/>
              <w:left w:val="none" w:color="000000" w:sz="3"/>
              <w:bottom w:val="single" w:color="000000" w:sz="3"/>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스마트</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+0.031</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0.000</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+0.296</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-0.004</w:t>
            </w:r>
          </w:p>
        </w:tc>
      </w:tr>
      <w:tr>
        <w:trPr>
          <w:trHeight w:val="56"/>
        </w:trPr>
        <w:tc>
          <w:tcPr>
            <w:tcW w:w="1554" w:type="dxa"/>
            <w:vMerge/>
            <w:tcBorders>
              <w:top w:val="single" w:color="000000" w:sz="3"/>
              <w:left w:val="none" w:color="000000" w:sz="3"/>
              <w:bottom w:val="single" w:color="000000" w:sz="3"/>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공정</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+0.063</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+0.034</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+0.203</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+0.020</w:t>
            </w:r>
          </w:p>
        </w:tc>
      </w:tr>
      <w:tr>
        <w:trPr>
          <w:trHeight w:val="56"/>
        </w:trPr>
        <w:tc>
          <w:tcPr>
            <w:tcW w:w="1554" w:type="dxa"/>
            <w:vMerge/>
            <w:tcBorders>
              <w:top w:val="single" w:color="000000" w:sz="3"/>
              <w:left w:val="none" w:color="000000" w:sz="3"/>
              <w:bottom w:val="single" w:color="000000" w:sz="3"/>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채용</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+0.094</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+0.006</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+0.147</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+0.037</w:t>
            </w:r>
          </w:p>
        </w:tc>
      </w:tr>
      <w:tr>
        <w:trPr>
          <w:trHeight w:val="56"/>
        </w:trPr>
        <w:tc>
          <w:tcPr>
            <w:tcW w:w="1554" w:type="dxa"/>
            <w:vMerge/>
            <w:tcBorders>
              <w:top w:val="single" w:color="000000" w:sz="3"/>
              <w:left w:val="none" w:color="000000" w:sz="3"/>
              <w:bottom w:val="single" w:color="000000" w:sz="3"/>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근무</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+0.094</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+0.012</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+0.193</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-0.016</w:t>
            </w:r>
          </w:p>
        </w:tc>
      </w:tr>
      <w:tr>
        <w:trPr>
          <w:trHeight w:val="56"/>
        </w:trPr>
        <w:tc>
          <w:tcPr>
            <w:tcW w:w="1554" w:type="dxa"/>
            <w:vMerge w:val="restart"/>
            <w:tcBorders>
              <w:top w:val="single" w:color="000000" w:sz="3"/>
              <w:left w:val="none" w:color="000000" w:sz="3"/>
              <w:bottom w:val="single" w:color="000000" w:sz="9"/>
              <w:right w:val="single" w:color="000000" w:sz="3"/>
            </w:tcBorders>
            <w:vAlign w:val="center"/>
          </w:tcPr>
          <w:p>
            <w:pPr>
              <w:pStyle w:val="0"/>
              <w:widowControl w:val="off"/>
              <w:wordWrap w:val="1"/>
              <w:jc w:val="center"/>
            </w:pPr>
            <w:r>
              <w:rPr/>
              <w:t>중심성 감소</w:t>
            </w:r>
            <w:r>
              <w:br/>
              <w:rPr/>
              <w:t>(박근혜 정부 강화)</w:t>
            </w: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효율</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-0.125</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-0.216</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-0.246</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-0.019</w:t>
            </w:r>
          </w:p>
        </w:tc>
      </w:tr>
      <w:tr>
        <w:trPr>
          <w:trHeight w:val="56"/>
        </w:trPr>
        <w:tc>
          <w:tcPr>
            <w:tcW w:w="1554" w:type="dxa"/>
            <w:vMerge/>
            <w:tcBorders>
              <w:top w:val="single" w:color="000000" w:sz="3"/>
              <w:left w:val="none" w:color="000000" w:sz="3"/>
              <w:bottom w:val="single" w:color="000000" w:sz="9"/>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예산</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-0.031</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-0.143</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-0.128</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-0.013</w:t>
            </w:r>
          </w:p>
        </w:tc>
      </w:tr>
      <w:tr>
        <w:trPr>
          <w:trHeight w:val="56"/>
        </w:trPr>
        <w:tc>
          <w:tcPr>
            <w:tcW w:w="1554" w:type="dxa"/>
            <w:vMerge/>
            <w:tcBorders>
              <w:top w:val="single" w:color="000000" w:sz="3"/>
              <w:left w:val="none" w:color="000000" w:sz="3"/>
              <w:bottom w:val="single" w:color="000000" w:sz="9"/>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노동</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-0.063</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-0.018</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-0.065</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-0.020</w:t>
            </w:r>
          </w:p>
        </w:tc>
      </w:tr>
      <w:tr>
        <w:trPr>
          <w:trHeight w:val="56"/>
        </w:trPr>
        <w:tc>
          <w:tcPr>
            <w:tcW w:w="1554" w:type="dxa"/>
            <w:vMerge/>
            <w:tcBorders>
              <w:top w:val="single" w:color="000000" w:sz="3"/>
              <w:left w:val="none" w:color="000000" w:sz="3"/>
              <w:bottom w:val="single" w:color="000000" w:sz="9"/>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정책</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-0.031</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-0.028</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-0.024</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-0.019</w:t>
            </w:r>
          </w:p>
        </w:tc>
      </w:tr>
      <w:tr>
        <w:trPr>
          <w:trHeight w:val="56"/>
        </w:trPr>
        <w:tc>
          <w:tcPr>
            <w:tcW w:w="1554" w:type="dxa"/>
            <w:vMerge/>
            <w:tcBorders>
              <w:top w:val="single" w:color="000000" w:sz="3"/>
              <w:left w:val="none" w:color="000000" w:sz="3"/>
              <w:bottom w:val="single" w:color="000000" w:sz="9"/>
              <w:right w:val="single" w:color="000000" w:sz="3"/>
            </w:tcBorders>
          </w:tcPr>
          <w:p/>
        </w:tc>
        <w:tc>
          <w:tcPr>
            <w:tcW w:w="76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공무원</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+0.031</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-0.044</w:t>
            </w:r>
          </w:p>
        </w:tc>
        <w:tc>
          <w:tcPr>
            <w:tcW w:w="1158" w:type="dxa"/>
            <w:tcBorders>
              <w:top w:val="single" w:color="000000" w:sz="3"/>
              <w:left w:val="single" w:color="000000" w:sz="3"/>
              <w:bottom w:val="single" w:color="000000" w:sz="3"/>
              <w:right w:val="single" w:color="000000" w:sz="3"/>
            </w:tcBorders>
            <w:vAlign w:val="center"/>
          </w:tcPr>
          <w:p>
            <w:pPr>
              <w:pStyle w:val="0"/>
              <w:widowControl w:val="off"/>
            </w:pPr>
            <w:r>
              <w:rPr/>
              <w:t>-0.042</w:t>
            </w:r>
          </w:p>
        </w:tc>
        <w:tc>
          <w:tcPr>
            <w:tcW w:w="1158" w:type="dxa"/>
            <w:tcBorders>
              <w:top w:val="single" w:color="000000" w:sz="3"/>
              <w:left w:val="single" w:color="000000" w:sz="3"/>
              <w:bottom w:val="single" w:color="000000" w:sz="3"/>
              <w:right w:val="none" w:color="000000" w:sz="3"/>
            </w:tcBorders>
            <w:vAlign w:val="center"/>
          </w:tcPr>
          <w:p>
            <w:pPr>
              <w:pStyle w:val="0"/>
              <w:widowControl w:val="off"/>
            </w:pPr>
            <w:r>
              <w:rPr/>
              <w:t>-0.021</w:t>
            </w:r>
          </w:p>
        </w:tc>
      </w:tr>
      <w:tr>
        <w:trPr>
          <w:trHeight w:val="56"/>
        </w:trPr>
        <w:tc>
          <w:tcPr>
            <w:tcW w:w="1554" w:type="dxa"/>
            <w:vMerge/>
            <w:tcBorders>
              <w:top w:val="single" w:color="000000" w:sz="3"/>
              <w:left w:val="none" w:color="000000" w:sz="3"/>
              <w:bottom w:val="single" w:color="000000" w:sz="9"/>
              <w:right w:val="single" w:color="000000" w:sz="3"/>
            </w:tcBorders>
          </w:tcPr>
          <w:p/>
        </w:tc>
        <w:tc>
          <w:tcPr>
            <w:tcW w:w="762"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t>6</w:t>
            </w:r>
          </w:p>
        </w:tc>
        <w:tc>
          <w:tcPr>
            <w:tcW w:w="1158" w:type="dxa"/>
            <w:tcBorders>
              <w:top w:val="single" w:color="000000" w:sz="3"/>
              <w:left w:val="single" w:color="000000" w:sz="3"/>
              <w:bottom w:val="single" w:color="000000" w:sz="9"/>
              <w:right w:val="single" w:color="000000" w:sz="3"/>
            </w:tcBorders>
            <w:vAlign w:val="center"/>
          </w:tcPr>
          <w:p>
            <w:pPr>
              <w:pStyle w:val="0"/>
              <w:widowControl w:val="off"/>
            </w:pPr>
            <w:r>
              <w:rPr/>
              <w:t>성과</w:t>
            </w:r>
          </w:p>
        </w:tc>
        <w:tc>
          <w:tcPr>
            <w:tcW w:w="1158" w:type="dxa"/>
            <w:tcBorders>
              <w:top w:val="single" w:color="000000" w:sz="3"/>
              <w:left w:val="single" w:color="000000" w:sz="3"/>
              <w:bottom w:val="single" w:color="000000" w:sz="9"/>
              <w:right w:val="single" w:color="000000" w:sz="3"/>
            </w:tcBorders>
            <w:vAlign w:val="center"/>
          </w:tcPr>
          <w:p>
            <w:pPr>
              <w:pStyle w:val="0"/>
              <w:widowControl w:val="off"/>
            </w:pPr>
            <w:r>
              <w:rPr/>
              <w:t>0.000</w:t>
            </w:r>
          </w:p>
        </w:tc>
        <w:tc>
          <w:tcPr>
            <w:tcW w:w="1158" w:type="dxa"/>
            <w:tcBorders>
              <w:top w:val="single" w:color="000000" w:sz="3"/>
              <w:left w:val="single" w:color="000000" w:sz="3"/>
              <w:bottom w:val="single" w:color="000000" w:sz="9"/>
              <w:right w:val="single" w:color="000000" w:sz="3"/>
            </w:tcBorders>
            <w:vAlign w:val="center"/>
          </w:tcPr>
          <w:p>
            <w:pPr>
              <w:pStyle w:val="0"/>
              <w:widowControl w:val="off"/>
            </w:pPr>
            <w:r>
              <w:rPr/>
              <w:t>0.000</w:t>
            </w:r>
          </w:p>
        </w:tc>
        <w:tc>
          <w:tcPr>
            <w:tcW w:w="1158" w:type="dxa"/>
            <w:tcBorders>
              <w:top w:val="single" w:color="000000" w:sz="3"/>
              <w:left w:val="single" w:color="000000" w:sz="3"/>
              <w:bottom w:val="single" w:color="000000" w:sz="9"/>
              <w:right w:val="single" w:color="000000" w:sz="3"/>
            </w:tcBorders>
            <w:vAlign w:val="center"/>
          </w:tcPr>
          <w:p>
            <w:pPr>
              <w:pStyle w:val="0"/>
              <w:widowControl w:val="off"/>
            </w:pPr>
            <w:r>
              <w:rPr/>
              <w:t>-0.076</w:t>
            </w:r>
          </w:p>
        </w:tc>
        <w:tc>
          <w:tcPr>
            <w:tcW w:w="1158" w:type="dxa"/>
            <w:tcBorders>
              <w:top w:val="single" w:color="000000" w:sz="3"/>
              <w:left w:val="single" w:color="000000" w:sz="3"/>
              <w:bottom w:val="single" w:color="000000" w:sz="9"/>
              <w:right w:val="none" w:color="000000" w:sz="3"/>
            </w:tcBorders>
            <w:vAlign w:val="center"/>
          </w:tcPr>
          <w:p>
            <w:pPr>
              <w:pStyle w:val="0"/>
              <w:widowControl w:val="off"/>
            </w:pPr>
            <w:r>
              <w:rPr/>
              <w:t>-0.001</w:t>
            </w:r>
          </w:p>
        </w:tc>
      </w:tr>
    </w:tbl>
    <w:p>
      <w:pPr>
        <w:pStyle w:val="1"/>
        <w:widowControl w:val="off"/>
      </w:pPr>
    </w:p>
    <w:p>
      <w:pPr>
        <w:pStyle w:val="1"/>
        <w:widowControl w:val="off"/>
      </w:pPr>
      <w:r>
        <w:rPr/>
        <w:t>이러한 변화는 네트워크 의제설정 이론(Guo et al., 2012)의 관점에서 볼 때, 특정 이슈의 단순한 중요도 변화라기보다는 이슈 간 관계 구조의 재편이라는 측면에서 이해할 수 있다. 즉, 동일한 핵심 개념이라 하더라도 어떤 다른 개념들과 함께 연결되는가에 따라 담론의 의미 구조가 달라질 수 있으며, 공직사회 담론 역시 제도개혁 중심 연결망에서 권리, 공정성, 기술혁신 등의 새로운 의제와 결합되는 방향으로 재구성된 것으로 볼 수 있다.</w:t>
      </w:r>
    </w:p>
    <w:p>
      <w:pPr>
        <w:pStyle w:val="1"/>
        <w:widowControl w:val="off"/>
      </w:pPr>
      <w:r>
        <w:rPr/>
        <w:t>해석에 있어서 가설 2에서 논의한 바와 마찬가지로, 이러한 네트워크 차이를 곧바로 특정 정부의 정책 기조 변화만으로 단정하는 데에는 일정한 한계가 존재한다. 본 연구의 이론적 논의와 분석 설계에서 제시한 것처럼, 분석 기간에는 코로나19 팬데믹, 디지털 전환의 가속화, 세대 구성 변화 등 다양한 환경 요인이 동시에 작용하고 있었으며, 이러한 요인들은 공직사회 담론의 관계 구조 변화에도 영향을 미쳤을 가능성이 있다. 또한 언론사별 보도 성향과 프레임 차이 역시 담론 구조 형성 과정에 일정 부분 반영되었을 수 있다. 따라서 본 연구에서 확인된 키워드 중심성의 변화는 특정 정책 기조의 직접적 결과로 단정하기보다는, 정책 환경 변화와 사회적 맥락이 결합된 결과로 제한적으로 해석할 필요가 있다. 이러한 점은 향후 연구에서 언론사별 보도 경향이나 시기별 외생적 사건의 영향을 보다 체계적으로 통제한 추가 분석이 필요함을 시사한다.</w:t>
      </w:r>
    </w:p>
    <w:p>
      <w:pPr>
        <w:pStyle w:val="1"/>
        <w:widowControl w:val="off"/>
      </w:pPr>
      <w:r>
        <w:rPr/>
        <w:t>따라서 H3은 부분적으로 지지된다. 중심성 지표의 분포 차이는 통계적으로 유의하지 않았으나, 개별 키워드 수준에서는 공정성, 데이터, 조직 관련 개념의 중심성이 증가하고 효율, 예산 등 전통적 행정 개념의 중심성이 감소하는 방향성이 확인되었다. 이는 공직사회 담론의 관계 구조가 기존 제도개혁 중심 구조에서 다양한 가치와 정책 환경이 결합된 다층적 구조로 재편되고 있음을 보여준다.</w:t>
      </w:r>
    </w:p>
    <w:p>
      <w:pPr>
        <w:pStyle w:val="2"/>
        <w:widowControl w:val="off"/>
      </w:pPr>
      <w:r>
        <w:rPr/>
        <w:t>Ⅴ</w:t>
      </w:r>
      <w:r>
        <w:rPr/>
        <w:t>. 결론</w:t>
      </w:r>
    </w:p>
    <w:p>
      <w:pPr>
        <w:pStyle w:val="1"/>
        <w:widowControl w:val="off"/>
      </w:pPr>
      <w:r>
        <w:rPr/>
        <w:t>본 연구는 2013년부터 2022년까지 공직사회 관련 뉴스 담론을 분석함으로써 박근혜 정부 시기와 문재인 정부 시기 사이에 나타난 담론 구조의 차이와 연속성을 실증적으로 검토하였다. 분석 결과를 종합하면, 박근혜 정부 시기 공직사회 담론은 연금, 성과, 개혁과 같은 제도개혁 및 성과관리 의제를 중심으로 상대적으로 응집된 구조를 보인 반면, 문재인 정부 시기에는 위기 대응, 디지털 전환, 조직문화, 공정성과 같은 다양한 의제가 동시에 등장하면서 보다 복합적인 담론 구조가 형성된 경향이 나타났다. 이러한 차이는 의제 수준(TF-IDF 및 log-odds 분석), 프레임 수준(LDA 토픽모델링), 구조 수준(공출현 네트워크 분석)에서 일관되게 확인되었다. 동시에, 두 정부 시기에 걸쳐 공직사회 담론에서 일관되게 유지된 공통 기반도 확인되었다. 워드클라우드 분석에서 ‘평가’, ‘공무원’, ‘정책’, ‘운영’, ‘인사’와 같은 행정 운영 어휘는 어느 시기에도 상위 빈출어로 지속되었으며, LDA 토픽 구조에서도 인사 운영과 조직 관리 관련 주제는 두 시기 모두에서 담론의 일부를 구성하였다. 공출현 네트워크 분석에서도 ‘개혁-조직’, ‘개혁-인사’와 같은 핵심 단어 쌍은 양 시기에서 공통적으로 높은 빈도를 보였다. 이는 공직사회 담론이 정권 교체와 사회 환경 변화에 따라 새로운 의제를 흡수하고 재편되는 과정에서도 행정 운영과 조직 관리에 대한 지속적인 관심이라는 공통 기반을 유지해 왔음을 보여준다.</w:t>
      </w:r>
    </w:p>
    <w:p>
      <w:pPr>
        <w:pStyle w:val="1"/>
        <w:widowControl w:val="off"/>
      </w:pPr>
      <w:r>
        <w:rPr/>
        <w:t>본 연구는 공직사회 담론이 시기별 차이를 보이면서도, 외생적 환경 변화와 결합하여 기존 구조 위에서 재편되는 양상을 보였음을 확인하였다. 즉, 공직사회 담론의 변화는 기존 담론 구조의 소멸과 새로운 구조의 등장이 아니라, 지속되는 공통 기반 위에 시기별 환경 변화가 중첩되는 방식으로 이해하는 것이 방식으로 이해하는 것이 적절하다.</w:t>
      </w:r>
    </w:p>
    <w:p>
      <w:pPr>
        <w:pStyle w:val="1"/>
        <w:widowControl w:val="off"/>
      </w:pPr>
      <w:r>
        <w:rPr/>
        <w:t>이러한 결과는 몇 가지 이론적 함의를 제공한다. 첫째, 공직사회 담론은 동일한 정책 대상이라 하더라도 시기별 정책 기조와 행정환경에 따라 제도개혁의 대상, 위기 대응의 주체, 조직문화 개선의 장, 공정성과 권리의 문제 공간 등으로 상이하게 재현될 수 있음을 보여준다. 둘째, 네트워크 의제설정 관점은 개별 키워드의 빈도 변화뿐 아니라 이슈와 속성이 어떻게 연결되어 담론의 의미 구조를 형성하는지를 분석하는 데 유효한 이론적 틀임을 확인하였다. 셋째, 공직사회 담론의 변화는 제도개혁 대 조직문화라는 이분법적 구도로 이해되기보다는, 제도개혁, 조직문화, 위기 대응, 디지털 전환과 같은 다양한 의제가 시기별 정책 환경 속에서 서로 다른 방식으로 결합되면서도 행정 운영이라는 공통 기반을 지속하는 과정으로 이해할 필요가 있다.</w:t>
      </w:r>
    </w:p>
    <w:p>
      <w:pPr>
        <w:pStyle w:val="1"/>
        <w:widowControl w:val="off"/>
      </w:pPr>
      <w:r>
        <w:rPr/>
        <w:t>본 연구의 분석 결과는 실무적 측면에서도 몇 가지 시사점을 제공한다는 점에서 정책적 함의를 가진다. 첫째, log-odds 및 공출현 네트워크 분석에서 문재인 정부 시기에 ‘연금</w:t>
      </w:r>
      <w:r>
        <w:rPr/>
        <w:t>–청년</w:t>
      </w:r>
      <w:r>
        <w:rPr/>
        <w:t>’, ‘연금</w:t>
      </w:r>
      <w:r>
        <w:rPr/>
        <w:t>–공정</w:t>
      </w:r>
      <w:r>
        <w:rPr/>
        <w:t>’, ‘개혁</w:t>
      </w:r>
      <w:r>
        <w:rPr/>
        <w:t>–인권</w:t>
      </w:r>
      <w:r>
        <w:rPr/>
        <w:t>’ 등의 키워드 결합이 상대적으로 강하게 나타났다. 이는 공직사회 개혁 논의가 단순한 재정 효율화 프레임에만 머무를 경우, 공정성과 세대 문제에 민감한 MZ세대 공무원의 조직 경험과 이탈 문제를 충분히 설명하거나 대응하기 어렵다는 점을 보여준다. 따라서 공직제도 개편 논의는 재정 건전성뿐 아니라 구성원의 공정성 인식과 세대 간 기대 차이를 함께 고려하는 방향으로 설계될 필요가 있다. 둘째, LDA 토픽 분석 결과에서 박근혜 정부 시기 담론이 효율화와 성과관리 중심의 비교적 단일한 구조를 보인 반면, 문재인 정부 시기에는 조직문화, 공정성, 위기 대응, 디지털 전환 의제가 병존하는 복합 구조가 나타났다. 이는 단일한 관리 프레임 중심의 공직개혁 담론이 조직 내부의 문화적 갈등이나 구성원 경험을 충분히 포괄하지 못할 수 있음을 시사한다. 따라서 향후 공직사회 관련 정책 커뮤니케이션은 효율화 메시지 중심의 접근을 넘어 공정성, 조직문화, 디지털 전환 등 다양한 사회적 기대를 반영한 복합적 프레임을 함께 구성할 필요가 있다. 셋째, TF-IDF 및 log-odds 분석에서 문재인 정부 시기에 디지털, 플랫폼, 인공지능과 같은 키워드가 공직사회 담론과 강하게 결합된 것으로 나타났다. 나아가 디지털 전환이 단순한 기술 도입의 문제가 아니라 공직사회의 일하는 방식과 조직 경험 전반을 재구성하는 중요한 담론적 사건으로 작동하고 있는 것으로 보여준다. 따라서 공공부문 디지털 혁신 정책은 기술 인프라 구축에 국한되지 않고 조직문화와 구성원 경험의 변화까지 고려하는 통합적 접근이 요구된다. 다만 이러한 시사점은 본 연구의 분석 범위 내에서 도출된 것으로, 특정 정책 처방으로 직접 연결되는 것으로 과도하게 해석하는 것은 적절하지 않다.</w:t>
      </w:r>
    </w:p>
    <w:p>
      <w:pPr>
        <w:pStyle w:val="1"/>
        <w:widowControl w:val="off"/>
      </w:pPr>
      <w:r>
        <w:rPr/>
        <w:t>본 연구는 몇 가지 한계를 지닌다. 첫째, 분석 대상이 10개 언론사에 한정되어 있어 한국 언론 지형 전체를 대표하지 못할 가능성이 있으며, 보수·진보·공영 매체 간 프레임 차이를 별도로 구분하여 검증하지 못하였다. 또한 언론사별 기사량 차이가 시기별 네트워크 구조와 중심성 결과에 일부 영향을 미쳤을 가능성도 존재한다. 따라서 본 연구의 결과는 특정 매체의 입장을 대표한다기보다는 주요 언론 전반에서 나타난 시기별 담론 구조 차이를 비교적으로 보여주는 결과로 해석할 필요가 있다. 둘째, 본 연구는 담론 변화의 원인으로서 정부 정책 기조, 팬데믹, 디지털 전환, 세대 구성 변화의 영향을 정량적으로 분리하여 검증하지 못하였다. 따라서 본 연구의 결과는 인과관계의 규명이라기보다 시기별 담론 구조 차이의 확인이라는 수준에서 이해하는 것이 적절하다. 셋째, 토픽 모델링과 네트워크 분석은 해석적 요소를 포함하기 때문에 토픽 수 설정이나 네트워크 임계값 설정에 따라 일부 결과가 달라질 가능성이 있다. 넷째, 본 연구는 언론 텍스트에서 특정 키워드와 토픽의 출현 빈도와 관계 구조를 중심으로 분석하였으나, 해당 보도가 공직사회를 우호적으로 재현하는지 또는 비판적으로 재현하는지를 구분하는 감성 분석은 수행하지 못하였다. 동일한 키워드라도 긍정적 맥락과 부정적 맥락에서 상이하게 사용될 수 있으므로, 본 연구의 결과는 담론의 방향성보다는 구조적 특성의 차이를 보여주는 것으로 이해할 필요가 있다.</w:t>
      </w:r>
    </w:p>
    <w:p>
      <w:pPr>
        <w:pStyle w:val="1"/>
        <w:widowControl w:val="off"/>
      </w:pPr>
      <w:r>
        <w:rPr/>
        <w:t>이러한 한계를 바탕으로 향후 연구에서는 토픽 해석의 타당성을 확보하기 위해 평가자 간 신뢰도(inter-rater reliability) 절차를 도입하고, 감성 분석을 병행함으로써 담론의 구조적 특성과 질적 방향성을 함께 분석할 필요가 있다. 또한 언론사별 보도 성향과 정치적 프레임 차이를 구분한 추가 분석을 통해 공직사회 담론의 형성과 재구성 과정에 대한 보다 정교한 설명을 시도할 필요가 있다.</w:t>
      </w:r>
    </w:p>
    <w:p>
      <w:r>
        <w:br w:type="page"/>
      </w:r>
    </w:p>
    <w:p>
      <w:pPr>
        <w:pStyle w:val="11"/>
        <w:widowControl w:val="off"/>
      </w:pPr>
      <w:r>
        <w:rPr/>
        <w:t>【참고문헌】</w:t>
      </w:r>
    </w:p>
    <w:p>
      <w:pPr>
        <w:pStyle w:val="1"/>
        <w:widowControl w:val="off"/>
        <w:rPr/>
      </w:pPr>
    </w:p>
    <w:p>
      <w:pPr>
        <w:pStyle w:val="12"/>
        <w:widowControl w:val="off"/>
      </w:pPr>
      <w:r>
        <w:rPr/>
        <w:t>구자군, 이정욱. (2024). 공무원 이직의도의 영향요인과 대응방안에 관한 연구: X 세대와 MZ 세대 간 비교분석을 중심으로. 한국조직학회보, 21(3), 239-271.</w:t>
      </w:r>
    </w:p>
    <w:p>
      <w:pPr>
        <w:pStyle w:val="12"/>
        <w:widowControl w:val="off"/>
      </w:pPr>
      <w:r>
        <w:rPr/>
        <w:t>김지성. (2019). 한국의 일과 삶 균형정책에 대한 미디어담론의 프레임 분석. 사회과학연구, 45(1), 151-176.</w:t>
      </w:r>
    </w:p>
    <w:p>
      <w:pPr>
        <w:pStyle w:val="12"/>
        <w:widowControl w:val="off"/>
      </w:pPr>
      <w:r>
        <w:rPr/>
        <w:t>김진영, 이솔빈, 이태헌, 장재윤. (2024). 온라인 리뷰 텍스트 분석을 통한 공무원들의 공직에 대한 장단점 인식: 토픽 모델링에 의한 탐색적 연구. 한국인사행정학회보, 23(4), 129</w:t>
      </w:r>
      <w:r>
        <w:rPr/>
        <w:t>–</w:t>
      </w:r>
      <w:r>
        <w:rPr/>
        <w:t>174.</w:t>
      </w:r>
    </w:p>
    <w:p>
      <w:pPr>
        <w:pStyle w:val="12"/>
        <w:widowControl w:val="off"/>
      </w:pPr>
      <w:r>
        <w:rPr/>
        <w:t>남궁근. (2019). 사회적 가치 실현을 위한 성과 거버넌스: 문재인 정부 국정과제의 성과평가를 중심으로. 한국행정연구, 28(3), 35-71.</w:t>
      </w:r>
    </w:p>
    <w:p>
      <w:pPr>
        <w:pStyle w:val="12"/>
        <w:widowControl w:val="off"/>
      </w:pPr>
      <w:r>
        <w:rPr/>
        <w:t>노광표. (2015). 공공부문 정상화 정책 진단과 향후 전망. 노동리뷰, 2015(6), 21</w:t>
      </w:r>
      <w:r>
        <w:rPr/>
        <w:t>–</w:t>
      </w:r>
      <w:r>
        <w:rPr/>
        <w:t>35. 한국노동연구원</w:t>
      </w:r>
    </w:p>
    <w:p>
      <w:pPr>
        <w:pStyle w:val="12"/>
        <w:widowControl w:val="off"/>
      </w:pPr>
      <w:r>
        <w:rPr/>
        <w:t>박순형. (2022). MZ 세대의 특성과 언어 사용 연구. 한말연구, 63(18), 1</w:t>
      </w:r>
      <w:r>
        <w:rPr/>
        <w:t>–</w:t>
      </w:r>
      <w:r>
        <w:rPr/>
        <w:t>23.</w:t>
      </w:r>
    </w:p>
    <w:p>
      <w:pPr>
        <w:pStyle w:val="12"/>
        <w:widowControl w:val="off"/>
      </w:pPr>
      <w:r>
        <w:rPr/>
        <w:t>박지홍. (2012). 공무원연금개혁의 정책결정과정에 관한 연구-윌슨 (JQ Wilson) 의 정책모형을 중심으로 (Doctoral dissertation, 서울대학교 대학원).</w:t>
      </w:r>
    </w:p>
    <w:p>
      <w:pPr>
        <w:pStyle w:val="12"/>
        <w:widowControl w:val="off"/>
      </w:pPr>
      <w:r>
        <w:rPr/>
        <w:t>배귀희, 양건모. (2011). 공무원 유연근무제 정착에 관한 실증적 연구: 탄력근무, 시간제근무 및 재택근무를 중심으로. 한국지방자치학회보, 23(4), 125-153.</w:t>
      </w:r>
    </w:p>
    <w:p>
      <w:pPr>
        <w:pStyle w:val="12"/>
        <w:widowControl w:val="off"/>
      </w:pPr>
      <w:r>
        <w:rPr/>
        <w:t>배정숙. (2017). 공공기관의 정상화 정책 순응에 영향을 미치는 요인에 관한 연구: 정상화 정책 도입시기를 중심으로 (Doctoral dissertation, 서울대학교 행정대학원).</w:t>
      </w:r>
    </w:p>
    <w:p>
      <w:pPr>
        <w:pStyle w:val="12"/>
        <w:widowControl w:val="off"/>
      </w:pPr>
      <w:r>
        <w:rPr/>
        <w:t>서진우, 강종수. (2022). MZ 세대 공무원의 이직 의향 결정요인 및 후생복지의 조절효과. 인문사회 21, 13(6), 2783</w:t>
      </w:r>
      <w:r>
        <w:rPr/>
        <w:t>–</w:t>
      </w:r>
      <w:r>
        <w:rPr/>
        <w:t>2796.</w:t>
      </w:r>
    </w:p>
    <w:p>
      <w:pPr>
        <w:pStyle w:val="12"/>
        <w:widowControl w:val="off"/>
      </w:pPr>
      <w:r>
        <w:rPr/>
        <w:t>이영. (2023). 공기업 공공가치 수렴성이 성과에 미치는 영향 (Doctoral dissertation, 서울대학교 대학원).</w:t>
      </w:r>
    </w:p>
    <w:p>
      <w:pPr>
        <w:pStyle w:val="12"/>
        <w:widowControl w:val="off"/>
      </w:pPr>
      <w:r>
        <w:rPr/>
        <w:t>이영미. (2014). 박근혜 정부의 국정운영기조의 형성과 변화: 경제민주화와 창조경제 이슈를 중심으로 한 네트워크 분석: 경제민주화와 창조경제 이슈를 중심으로 한 네트워크 분석. 한국정책과학학회보, 18(1), 1-28.</w:t>
      </w:r>
    </w:p>
    <w:p>
      <w:pPr>
        <w:pStyle w:val="12"/>
        <w:widowControl w:val="off"/>
      </w:pPr>
      <w:r>
        <w:rPr/>
        <w:t>이인원, 이영미. (2019). 언어 네트워크 분석기법을 활용한 문재인정부의 가치지향과 정책방향 분석: 100 대 국정과제를 중심으로. 한국행정논집, 31(4), 643-670.</w:t>
      </w:r>
    </w:p>
    <w:p>
      <w:pPr>
        <w:pStyle w:val="12"/>
        <w:widowControl w:val="off"/>
      </w:pPr>
      <w:r>
        <w:rPr/>
        <w:t>이창호. (2017). 공무원연금개혁과 국민연금개혁에 관한 언론보도 프레임 연구 (Doctoral dissertation, 서울대학교 행정대학원).</w:t>
      </w:r>
    </w:p>
    <w:p>
      <w:pPr>
        <w:pStyle w:val="12"/>
        <w:widowControl w:val="off"/>
      </w:pPr>
      <w:r>
        <w:rPr/>
        <w:t>이태준, 이승배, 오창동. (2017). 원자력 이슈에 대한 정부와 언론의 커뮤니케이션 전략 비교연구: 토픽모델링 (Topic Modeling) 의 적용. 언론과학연구, 17(3), 172-229.</w:t>
      </w:r>
    </w:p>
    <w:p>
      <w:pPr>
        <w:pStyle w:val="12"/>
        <w:widowControl w:val="off"/>
      </w:pPr>
      <w:r>
        <w:rPr/>
        <w:t>임주영, 박형준. (2015). 정권별 한국 행정개혁 가치 규범의 정합성: 행정개혁의 핵심가치 언어네트워크 분석을 중심으로. 한국행정학보, 49(2), 149-179.</w:t>
      </w:r>
    </w:p>
    <w:p>
      <w:pPr>
        <w:pStyle w:val="12"/>
        <w:widowControl w:val="off"/>
      </w:pPr>
      <w:r>
        <w:rPr/>
        <w:t>정태석. (2021). 능력주의와 공정의 딜레마: 경합하는 가치판단 기준들. 경제와사회, 12-46.</w:t>
      </w:r>
    </w:p>
    <w:p>
      <w:pPr>
        <w:pStyle w:val="12"/>
        <w:widowControl w:val="off"/>
      </w:pPr>
      <w:r>
        <w:rPr/>
        <w:t>정희정. (2019). 일·생활 균형 및 성평등 현안과 유연근로제의 한계. 국제사회보장리뷰, 2019(봄호, 통권 8호), 49</w:t>
      </w:r>
      <w:r>
        <w:rPr/>
        <w:t>–</w:t>
      </w:r>
      <w:r>
        <w:rPr/>
        <w:t>60. 한국보건사회연구원.</w:t>
      </w:r>
    </w:p>
    <w:p>
      <w:pPr>
        <w:pStyle w:val="12"/>
        <w:widowControl w:val="off"/>
      </w:pPr>
      <w:r>
        <w:rPr/>
        <w:t>조영철. (2018). 문재인 정부 경제정책 평가. 경제와사회, 134-157.</w:t>
      </w:r>
    </w:p>
    <w:p>
      <w:pPr>
        <w:pStyle w:val="12"/>
        <w:widowControl w:val="off"/>
      </w:pPr>
      <w:r>
        <w:rPr/>
        <w:t>황성호. (2023). MZ 세대 공무원의 조직몰입과 이직의도 영향분석: 전국 17 개 광역자치단체 소속 20~30대 공무원을 중심으로. 한국공공관리학보, 217</w:t>
      </w:r>
      <w:r>
        <w:rPr/>
        <w:t>–</w:t>
      </w:r>
      <w:r>
        <w:rPr/>
        <w:t>251.</w:t>
      </w:r>
    </w:p>
    <w:p>
      <w:pPr>
        <w:pStyle w:val="12"/>
        <w:widowControl w:val="off"/>
      </w:pPr>
      <w:r>
        <w:rPr/>
        <w:t>Al-Heeh, S., Salameh, A., &amp; Abu-Srour, S. (2022). Mechanics of Linguistic Mobility in COVID-19 Pandemic: Lexical innovation and richness. Journal of Palestine Ahliya University for Research and Studies, 1(1), 144-162.</w:t>
      </w:r>
    </w:p>
    <w:p>
      <w:pPr>
        <w:pStyle w:val="12"/>
        <w:widowControl w:val="off"/>
      </w:pPr>
      <w:r>
        <w:rPr/>
        <w:t>Banks, S. (2011). Ethics in an age of austerity: Social work and the evolving new public management. Journal of Social Intervention: Theory and Practice, 20(2), 5-23.</w:t>
      </w:r>
    </w:p>
    <w:p>
      <w:pPr>
        <w:pStyle w:val="12"/>
        <w:widowControl w:val="off"/>
      </w:pPr>
      <w:r>
        <w:rPr/>
        <w:t>Berger, P. L., &amp;Luckmann, T. (1966). The social construction of Reality: A Treatise in the sociology of knowledge. New York: Anchor.</w:t>
      </w:r>
    </w:p>
    <w:p>
      <w:pPr>
        <w:pStyle w:val="12"/>
        <w:widowControl w:val="off"/>
      </w:pPr>
      <w:r>
        <w:rPr/>
        <w:t>Blei, D. M., Ng, A. Y., &amp; Jordan, M. I. (2003). Latent dirichlet allocation. Journal of machine Learning research, 3(Jan), 993-1022.</w:t>
      </w:r>
    </w:p>
    <w:p>
      <w:pPr>
        <w:pStyle w:val="12"/>
        <w:widowControl w:val="off"/>
      </w:pPr>
      <w:r>
        <w:rPr/>
        <w:t>Bouma, G. (2009). Normalized (pointwise) mutual information in collocation extraction. Proceedings of GSCL, 30, 31-40.</w:t>
      </w:r>
    </w:p>
    <w:p>
      <w:pPr>
        <w:pStyle w:val="12"/>
        <w:widowControl w:val="off"/>
      </w:pPr>
      <w:r>
        <w:rPr/>
        <w:t>Byrkjeflot, H. (2016). Healthcare states and medical professions: the challenges from NPM. In The Ashgate research companion to new public management (pp. 147-159). Routledge.</w:t>
      </w:r>
    </w:p>
    <w:p>
      <w:pPr>
        <w:pStyle w:val="12"/>
        <w:widowControl w:val="off"/>
      </w:pPr>
      <w:r>
        <w:rPr/>
        <w:t>Callon, M., Courtial, J. P., Turner, W. A., &amp;Bauin, S. (1983). From translations to problematic networks: An introduction to co-word analysis. Social science information, 22(2), 191-235.</w:t>
      </w:r>
    </w:p>
    <w:p>
      <w:pPr>
        <w:pStyle w:val="12"/>
        <w:widowControl w:val="off"/>
      </w:pPr>
      <w:r>
        <w:rPr/>
        <w:t>Chang, J., Gerrish, S., Wang, C., Boyd-Graber, J., &amp;Blei, D. (2009). Reading tea leaves: How humans interpret topic models. Advances in neural information processing systems, 22.</w:t>
      </w:r>
    </w:p>
    <w:p>
      <w:pPr>
        <w:pStyle w:val="12"/>
        <w:widowControl w:val="off"/>
      </w:pPr>
      <w:r>
        <w:rPr/>
        <w:t>Christensen, T. (2012). Post-NPM and changing public governance. Meiji journal of political science and economics, 1(1), 1-11.</w:t>
      </w:r>
    </w:p>
    <w:p>
      <w:pPr>
        <w:pStyle w:val="12"/>
        <w:widowControl w:val="off"/>
      </w:pPr>
      <w:r>
        <w:rPr/>
        <w:t>Entman, R. M. (1993). Framing: Towards clarification of a fractured paradigm. McQuail's Reader in Mass Communication Theory, 390, 397.</w:t>
      </w:r>
    </w:p>
    <w:p>
      <w:pPr>
        <w:pStyle w:val="12"/>
        <w:widowControl w:val="off"/>
      </w:pPr>
      <w:r>
        <w:rPr/>
        <w:t>Fischer, M. (1966). The KWIC index concept: A retrospective view. American Documentation, 17(2), 57-70.</w:t>
      </w:r>
    </w:p>
    <w:p>
      <w:pPr>
        <w:pStyle w:val="12"/>
        <w:widowControl w:val="off"/>
      </w:pPr>
      <w:r>
        <w:rPr/>
        <w:t>Foster, K. R. (2016). Generation as a politics of representation. International Journal of Work Innovation, 1(4), 375-390.</w:t>
      </w:r>
    </w:p>
    <w:p>
      <w:pPr>
        <w:pStyle w:val="12"/>
        <w:widowControl w:val="off"/>
      </w:pPr>
      <w:r>
        <w:rPr/>
        <w:t>Gamson, W. A., &amp;Modigliani, A. (1989). Media discourse and public opinion on nuclear power: A constructionist approach. American journal of sociology, 95(1), 1-37.</w:t>
      </w:r>
    </w:p>
    <w:p>
      <w:pPr>
        <w:pStyle w:val="12"/>
        <w:widowControl w:val="off"/>
      </w:pPr>
      <w:r>
        <w:rPr/>
        <w:t>Guo, L., Vu, H. T., &amp;McCombs, M. (2012). An expanded perspective on agenda-setting effects: Exploring the third level of agenda setting. Revista de comunicación, (11), 51-68.</w:t>
      </w:r>
    </w:p>
    <w:p>
      <w:pPr>
        <w:pStyle w:val="12"/>
        <w:widowControl w:val="off"/>
      </w:pPr>
      <w:r>
        <w:rPr/>
        <w:t>Indahsari, C. L., &amp; Raharja, S. U. J. (2020). New public management (NPM) as an effort in governance. Jurnal Manajemen Pelayanan Publik, 3(2), 73-81.</w:t>
      </w:r>
    </w:p>
    <w:p>
      <w:pPr>
        <w:pStyle w:val="12"/>
        <w:widowControl w:val="off"/>
      </w:pPr>
      <w:r>
        <w:rPr/>
        <w:t>Inglehart, R. (1977). Values, objective needs, and subjective satisfaction among western publics. Comparative Political Studies, 9(4), 429</w:t>
      </w:r>
      <w:r>
        <w:rPr/>
        <w:t>–</w:t>
      </w:r>
      <w:r>
        <w:rPr/>
        <w:t>458.</w:t>
      </w:r>
    </w:p>
    <w:p>
      <w:pPr>
        <w:pStyle w:val="12"/>
        <w:widowControl w:val="off"/>
      </w:pPr>
      <w:r>
        <w:rPr/>
        <w:t>Jensen, M. C., &amp;Meckling, W. H. (1976). Theory of the firm. Journal of Financial Economics, 3(4), 305</w:t>
      </w:r>
      <w:r>
        <w:rPr/>
        <w:t>–</w:t>
      </w:r>
      <w:r>
        <w:rPr/>
        <w:t>360.</w:t>
      </w:r>
    </w:p>
    <w:p>
      <w:pPr>
        <w:pStyle w:val="12"/>
        <w:widowControl w:val="off"/>
      </w:pPr>
      <w:r>
        <w:rPr/>
        <w:t>Joo, S., Lee, K., Nah, W. J., Jeon, S. M., &amp; Joe, D. H. (2020). The income-led growth in Korea: Status, prospects and lessons for other countries. KIEP Research Paper, Policy Analysis, 20-01.</w:t>
      </w:r>
    </w:p>
    <w:p>
      <w:pPr>
        <w:pStyle w:val="12"/>
        <w:widowControl w:val="off"/>
      </w:pPr>
      <w:r>
        <w:rPr/>
        <w:t>Jurkiewicz, C. L., &amp;Brown, R. G. (1998). Generational comparisons of public employee motivation. Review of public personnel administration, 18(4), 18-37.</w:t>
      </w:r>
    </w:p>
    <w:p>
      <w:pPr>
        <w:pStyle w:val="12"/>
        <w:widowControl w:val="off"/>
      </w:pPr>
      <w:r>
        <w:rPr/>
        <w:t>Kim, S., &amp;Han, C. (2015). Administrative reform in South Korea: New public management and the bureaucracy. International Review of Administrative Sciences, 81(4), 694-712.</w:t>
      </w:r>
    </w:p>
    <w:p>
      <w:pPr>
        <w:pStyle w:val="12"/>
        <w:widowControl w:val="off"/>
      </w:pPr>
      <w:r>
        <w:rPr/>
        <w:t>Lane, J. E. (2002). New public management: an introduction. Routledge.</w:t>
      </w:r>
    </w:p>
    <w:p>
      <w:pPr>
        <w:pStyle w:val="12"/>
        <w:widowControl w:val="off"/>
      </w:pPr>
      <w:r>
        <w:rPr/>
        <w:t>Lee, H. J., Oh, H. G., &amp; Park, S. M. (2020). Do trust and culture matter for public service motivation development? Evidence from public sector employees in Korea. Public Personnel Management, 49(2), 290-323.</w:t>
      </w:r>
    </w:p>
    <w:p>
      <w:pPr>
        <w:pStyle w:val="12"/>
        <w:widowControl w:val="off"/>
      </w:pPr>
      <w:r>
        <w:rPr/>
        <w:t>Lee, S. Y., &amp; Kim, S. (2023). Introduction to the South Korean civil service system. In Handbook on Asian Public Administration (pp. 105-119). Edward Elgar Publishing.</w:t>
      </w:r>
    </w:p>
    <w:p>
      <w:pPr>
        <w:pStyle w:val="12"/>
        <w:widowControl w:val="off"/>
      </w:pPr>
      <w:r>
        <w:rPr/>
        <w:t>Matthews, F. W., &amp; Shillingford, A. D. (1973, April). Variations on KWIC. In Aslib Proceedings (Vol. 25, No. 4, pp. 140-152). MCB UP Ltd.</w:t>
      </w:r>
    </w:p>
    <w:p>
      <w:pPr>
        <w:pStyle w:val="12"/>
        <w:widowControl w:val="off"/>
      </w:pPr>
      <w:r>
        <w:rPr/>
        <w:t>McCombs, M. E., &amp;Shaw, D. L. (1972). The agenda-setting function of mass media. Public Opinion Quarterly, 36(2), 176</w:t>
      </w:r>
      <w:r>
        <w:rPr/>
        <w:t>–</w:t>
      </w:r>
      <w:r>
        <w:rPr/>
        <w:t>187.</w:t>
      </w:r>
    </w:p>
    <w:p>
      <w:pPr>
        <w:pStyle w:val="12"/>
        <w:widowControl w:val="off"/>
      </w:pPr>
      <w:r>
        <w:rPr/>
        <w:t>Monroe, B. L., Colaresi, M. P., &amp;Quinn, K. M. (2008). Fightin'words: Lexical feature selection and evaluation for identifying the content of political conflict. Political Analysis, 16(4), 372-403.</w:t>
      </w:r>
    </w:p>
    <w:p>
      <w:pPr>
        <w:pStyle w:val="12"/>
        <w:widowControl w:val="off"/>
      </w:pPr>
      <w:r>
        <w:rPr/>
        <w:t>Moore, M. H. (1997). Creating public value: Strategic management in government. Harvard University Press.</w:t>
      </w:r>
    </w:p>
    <w:p>
      <w:pPr>
        <w:pStyle w:val="12"/>
        <w:widowControl w:val="off"/>
      </w:pPr>
      <w:r>
        <w:rPr/>
        <w:t>Nam, J. H. (2016). The patterns and dynamics of the civil service pay reform in Korea (Doctoral dissertation, London School of Economics and Political Science).</w:t>
      </w:r>
    </w:p>
    <w:p>
      <w:pPr>
        <w:pStyle w:val="12"/>
        <w:widowControl w:val="off"/>
      </w:pPr>
      <w:r>
        <w:rPr/>
        <w:t>Osborne, S. P. (2006). The new public governance? Routledge.</w:t>
      </w:r>
    </w:p>
    <w:p>
      <w:pPr>
        <w:pStyle w:val="12"/>
        <w:widowControl w:val="off"/>
      </w:pPr>
      <w:r>
        <w:rPr/>
        <w:t>Parker, R., &amp; Bradley, L. (2000). Organisational culture in the public sector: evidence from six organisations. International Journal of Public Sector Management, 13(2), 125-141.</w:t>
      </w:r>
    </w:p>
    <w:p>
      <w:pPr>
        <w:pStyle w:val="12"/>
        <w:widowControl w:val="off"/>
      </w:pPr>
      <w:r>
        <w:rPr/>
        <w:t>Park, E. L., &amp; Cho, S. (2014). KoNLPy: Korean natural language processing in Python. In Annual conference on human and language technology (pp. 133-136). Human and Language Technology.</w:t>
      </w:r>
    </w:p>
    <w:p>
      <w:pPr>
        <w:pStyle w:val="12"/>
        <w:widowControl w:val="off"/>
      </w:pPr>
      <w:r>
        <w:rPr/>
        <w:t>Scheufele, D. A. (1999). Framing as a theory of media effects. Journal of Communication, 49(1), 103</w:t>
      </w:r>
      <w:r>
        <w:rPr/>
        <w:t>–</w:t>
      </w:r>
      <w:r>
        <w:rPr/>
        <w:t>122.</w:t>
      </w:r>
    </w:p>
    <w:p>
      <w:pPr>
        <w:pStyle w:val="12"/>
        <w:widowControl w:val="off"/>
      </w:pPr>
      <w:r>
        <w:rPr/>
        <w:t>Sedano, J. M. (1964). Keyword-in-context (KWIC) indexing: background, statistical evaluation, pros and cons, applications.</w:t>
      </w:r>
    </w:p>
    <w:p>
      <w:pPr>
        <w:pStyle w:val="12"/>
        <w:widowControl w:val="off"/>
      </w:pPr>
      <w:r>
        <w:rPr/>
        <w:t>Shim, A. (2021). Juggling it all: A discourse analysis of the Korean work-life balance policy through gender lens.</w:t>
      </w:r>
    </w:p>
    <w:p>
      <w:pPr>
        <w:pStyle w:val="12"/>
        <w:widowControl w:val="off"/>
      </w:pPr>
      <w:r>
        <w:rPr/>
        <w:t>Sparck Jones, K. (1972). A statistical interpretation of term specificity and its application in retrieval. Journal of documentation, 28(1), 11-21.</w:t>
      </w:r>
    </w:p>
    <w:p>
      <w:pPr>
        <w:pStyle w:val="12"/>
        <w:widowControl w:val="off"/>
      </w:pPr>
      <w:r>
        <w:rPr/>
        <w:t>Strauss, W., &amp;Howe, N. (1991). Generations: The history of America’s future, 1584 to 2069.</w:t>
      </w:r>
    </w:p>
    <w:p>
      <w:pPr>
        <w:pStyle w:val="12"/>
        <w:widowControl w:val="off"/>
      </w:pPr>
      <w:r>
        <w:rPr/>
        <w:t>Tolofari, S. (2005). New public management and education. Policy futures in education, 3(1), 75-89.</w:t>
      </w:r>
    </w:p>
    <w:p>
      <w:pPr>
        <w:pStyle w:val="12"/>
        <w:widowControl w:val="off"/>
      </w:pPr>
      <w:r>
        <w:rPr/>
        <w:t>Torfing, J., Sørensen, E., &amp; Røiseland, A. (2019). Transforming the public sector into an arena for co-creation: Barriers, drivers, benefits, and ways forward. Administration &amp; society, 51(5), 795-825.</w:t>
      </w:r>
    </w:p>
    <w:p>
      <w:pPr>
        <w:pStyle w:val="12"/>
        <w:widowControl w:val="off"/>
      </w:pPr>
      <w:r>
        <w:rPr/>
        <w:t>Van Bockel, J., &amp; Noordegraaf, M. (2006). Identifying identities: performance</w:t>
      </w:r>
      <w:r>
        <w:rPr/>
        <w:t>‐</w:t>
      </w:r>
      <w:r>
        <w:rPr/>
        <w:t>driven, but professional public managers. International Journal of Public Sector Management, 19(6), 585-597.</w:t>
      </w:r>
    </w:p>
    <w:p>
      <w:pPr>
        <w:pStyle w:val="12"/>
        <w:widowControl w:val="off"/>
      </w:pPr>
      <w:r>
        <w:rPr/>
        <w:t>Walters, D. E. (1997). Confidence limits and log-odds ratios. Journal of the Royal Statistical Society Series D: The Statistician, 46(3), 433-438.</w:t>
      </w:r>
    </w:p>
    <w:p>
      <w:pPr>
        <w:pStyle w:val="12"/>
        <w:widowControl w:val="off"/>
      </w:pPr>
      <w:r>
        <w:rPr/>
        <w:t>Williams, C. K. (2022). On suspicious coincidences and pointwise mutual information. Neural Computation, 34(10), 2037-2046.</w:t>
      </w:r>
    </w:p>
    <w:p>
      <w:pPr>
        <w:pStyle w:val="12"/>
        <w:widowControl w:val="off"/>
      </w:pPr>
      <w:r>
        <w:rPr/>
        <w:t>Williamson, O. E. (1985). The economic institutions of capitalism. Free Press.</w:t>
      </w:r>
    </w:p>
    <w:p>
      <w:pPr>
        <w:pStyle w:val="12"/>
        <w:widowControl w:val="off"/>
      </w:pPr>
      <w:r>
        <w:rPr/>
        <w:t>Wright, B. E., &amp; Davis, B. S. (2003). Job satisfaction in the public sector: The role of the work environment. The American review of public administration, 33(1), 70-90.</w:t>
      </w:r>
    </w:p>
    <w:p>
      <w:pPr>
        <w:pStyle w:val="12"/>
        <w:widowControl w:val="off"/>
      </w:pPr>
      <w:r>
        <w:rPr/>
        <w:t>Yoon, K. S., &amp; Lee, S. Y. (2020). Policy systems and measures for the social economy in Seoul (No. 2020-6). UNRISD Working Paper.</w:t>
      </w: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6"/>
        <w:widowControl w:val="off"/>
      </w:pPr>
      <w:r>
        <w:rPr/>
        <w:t>&lt;부록 1: 연구 절차&gt;</w:t>
      </w:r>
    </w:p>
    <w:p>
      <w:pPr>
        <w:pStyle w:val="1"/>
        <w:widowControl w:val="off"/>
        <w:wordWrap w:val="1"/>
        <w:jc w:val="center"/>
      </w:pPr>
      <w:r>
        <w:drawing>
          <wp:inline distT="0" distB="0" distL="0" distR="0">
            <wp:extent cx="4014343" cy="7221982"/>
            <wp:effectExtent l="0" t="0" r="0" b="0"/>
            <wp:docPr id="9" name="그림 %d 9"/>
            <wp:cNvGraphicFramePr/>
            <a:graphic>
              <a:graphicData uri="http://schemas.openxmlformats.org/drawingml/2006/picture">
                <pic:pic>
                  <pic:nvPicPr>
                    <pic:cNvPr id="0" name="C:\Temp\Hnc\BinData\EMB000012442036.bmp"/>
                    <pic:cNvPicPr/>
                  </pic:nvPicPr>
                  <pic:blipFill>
                    <a:blip r:embed="rId9"/>
                    <a:stretch>
                      <a:fillRect/>
                    </a:stretch>
                  </pic:blipFill>
                  <pic:spPr>
                    <a:xfrm>
                      <a:off x="0" y="0"/>
                      <a:ext cx="4014343" cy="7221982"/>
                    </a:xfrm>
                    <a:prstGeom prst="rect">
                      <a:avLst/>
                    </a:prstGeom>
                    <a:effectLst/>
                  </pic:spPr>
                </pic:pic>
              </a:graphicData>
            </a:graphic>
          </wp:inline>
        </w:drawing>
      </w:r>
    </w:p>
    <w:p>
      <w:pPr>
        <w:pStyle w:val="1"/>
        <w:widowControl w:val="off"/>
        <w:rPr/>
      </w:pPr>
    </w:p>
    <w:p>
      <w:pPr>
        <w:pStyle w:val="6"/>
        <w:widowControl w:val="off"/>
      </w:pPr>
      <w:r>
        <w:rPr/>
        <w:t>&lt;부록 2: 기본 불용어 및 보존어 목록&gt;</w:t>
      </w:r>
    </w:p>
    <w:p>
      <w:pPr>
        <w:pStyle w:val="3"/>
        <w:widowControl w:val="off"/>
      </w:pPr>
      <w:r>
        <w:rPr/>
        <w:t>1. 기본 불용어 선정 원칙</w:t>
      </w:r>
    </w:p>
    <w:p>
      <w:pPr>
        <w:pStyle w:val="1"/>
        <w:widowControl w:val="off"/>
      </w:pPr>
      <w:r>
        <w:rPr/>
        <w:t>기본 불용어는 조사·접속사·기능어와 같이 분석적 의미가 낮은 단어, 특정 인물·정당·기관명과 같은 고유명사, 뉴스 기사 작성 과정에서 반복적으로 등장하는 상투적 표현, 그리고 연구 주제와 직접 관련성이 낮은 일반 사회어를 중심으로 구성하였다. 이러한 기본 불용어는 모든 분석에서 공통적으로 적용하였다.</w:t>
      </w:r>
    </w:p>
    <w:p>
      <w:pPr>
        <w:pStyle w:val="3"/>
        <w:widowControl w:val="off"/>
      </w:pPr>
      <w:r>
        <w:rPr/>
        <w:t>2. 보존어(KEEP_WORDS)</w:t>
      </w:r>
    </w:p>
    <w:p>
      <w:pPr>
        <w:pStyle w:val="1"/>
        <w:widowControl w:val="off"/>
      </w:pPr>
      <w:r>
        <w:rPr/>
        <w:t>다음 단어들은 공직사회 구성원의 인식, 감정, 경험, 조직문화, 공정성, 권리 및 책임과 관련된 핵심 개념어로 판단하여 불용어 목록에서 제외하였다.</w:t>
      </w:r>
    </w:p>
    <w:p>
      <w:pPr>
        <w:pStyle w:val="1"/>
        <w:widowControl w:val="off"/>
      </w:pPr>
      <w:r>
        <w:rPr/>
        <w:t>불안, 공감, 신뢰, 만족, 불만, 태도, 인식, 감정, 느낌, 마음, 경험, 체감, 현실, 개선, 문제, 비판, 공정, 공정성, 차별, 권리, 인권, 책임, 자율, 위계, 수직, 수평</w:t>
      </w:r>
    </w:p>
    <w:p>
      <w:pPr>
        <w:pStyle w:val="3"/>
        <w:widowControl w:val="off"/>
      </w:pPr>
      <w:r>
        <w:rPr/>
        <w:t>3. 기본 불용어 목록</w:t>
      </w:r>
    </w:p>
    <w:p>
      <w:pPr>
        <w:pStyle w:val="4"/>
        <w:widowControl w:val="off"/>
      </w:pPr>
      <w:r>
        <w:rPr/>
        <w:t>3.1 정치 및 기관명</w:t>
      </w:r>
    </w:p>
    <w:p>
      <w:pPr>
        <w:pStyle w:val="1"/>
        <w:widowControl w:val="off"/>
      </w:pPr>
      <w:r>
        <w:rPr/>
        <w:t>정부, 국가, 제도, 위원회, 부처, 국회, 장관, 대통령, 청와대, 서울시, 의원, 기자, 위원, 위원장, 관계자, 단체, 기관, 본부, 발표, 회의, 예산, 조사, 보고서, 언론, 나라, 시장</w:t>
      </w:r>
    </w:p>
    <w:p>
      <w:pPr>
        <w:pStyle w:val="4"/>
        <w:widowControl w:val="off"/>
      </w:pPr>
      <w:r>
        <w:rPr/>
        <w:t>3.2 정치인 및 정당명</w:t>
      </w:r>
    </w:p>
    <w:p>
      <w:pPr>
        <w:pStyle w:val="1"/>
        <w:widowControl w:val="off"/>
      </w:pPr>
      <w:r>
        <w:rPr/>
        <w:t>윤석열, 윤석렬, 김건희, 이재명, 조국, 문재인, 박근혜, 박원순, 이명박, 국민의힘, 민주당, 더불어민주당, 국힘, 혁신당, 민주, 진보, 보수, 더불어, 애국, 새누리당, 자유한국당, 정의당, 민주통합당, 미래통합당, 국민의당, 공화당, 진보당, 민주평화당, 통합당, 미래당</w:t>
      </w:r>
    </w:p>
    <w:p>
      <w:pPr>
        <w:pStyle w:val="4"/>
        <w:widowControl w:val="off"/>
      </w:pPr>
      <w:r>
        <w:rPr/>
        <w:t>3.3 지명 및 지역명</w:t>
      </w:r>
    </w:p>
    <w:p>
      <w:pPr>
        <w:pStyle w:val="1"/>
        <w:widowControl w:val="off"/>
      </w:pPr>
      <w:r>
        <w:rPr/>
        <w:t>한국, 대한민국, 서울, 일본, 대만, 지방, 강진군, 전국, 인천, 부산, 대구, 광주, 제주, 울산, 경북, 경남, 강원, 강원도, 충남, 전북, 경기도, 여의도, 호남, 워싱턴, 뉴욕, 도쿄, 베이징, 싱가포르, 러시아, 프랑스, 이라크, 시리아, 우크라이나, 이스라엘, 이란, 호주, 브라질, 이탈리아, 터키, 파리, 중동, 유럽, 미국, 중국, 북한, 영국, 독일, 인도</w:t>
      </w:r>
    </w:p>
    <w:p>
      <w:pPr>
        <w:pStyle w:val="4"/>
        <w:widowControl w:val="off"/>
      </w:pPr>
      <w:r>
        <w:rPr/>
        <w:t>3.4 기능어·상투어·기사 작성용 표현</w:t>
      </w:r>
    </w:p>
    <w:p>
      <w:pPr>
        <w:pStyle w:val="1"/>
        <w:widowControl w:val="off"/>
      </w:pPr>
      <w:r>
        <w:rPr/>
        <w:t>관련, 통해, 의견, 논의, 방안, 지적, 확대, 요구, 대상, 중요, 사실, 입장, 시작, 처리, 위해, 대한, 이번, 내용, 진행, 참석, 설명, 확인, 결과, 현재, 부분, 이유, 이전, 경우, 때문, 정도, 이후, 당시, 가운데, 방식, 과거, 실제, 핵심, 발언, 노력, 상태, 방향, 효과, 포함, 요청, 지속, 수행, 대비, 기준, 활동, 영향, 작업, 관심, 주요, 최고, 전체, 이름, 자리, 시각, 직접, 그동안, 계획, 생각, 얘기, 이야기, 검토, 이용, 기반, 설계, 공개, 현황, 목표, 사용, 분야, 기간, 수준, 가능, 가능성, 강조, 파악, 원인, 기본, 비교, 일반, 등장, 소개, 제공, 활용, 목적, 실적, 형태, 비중, 차이, 여부, 단계, 방법, 사례, 자료, 기록, 보고, 질문, 배포, 일정, 현장, 준비, 공식, 취지, 반영, 소식, 올해, 해석, 추천, 적용, 선정, 확보, 제시, 작성, 제출, 답변</w:t>
      </w:r>
    </w:p>
    <w:p>
      <w:pPr>
        <w:pStyle w:val="4"/>
        <w:widowControl w:val="off"/>
      </w:pPr>
      <w:r>
        <w:rPr/>
        <w:t>3.5 사건·사고 및 일반 뉴스용어</w:t>
      </w:r>
    </w:p>
    <w:p>
      <w:pPr>
        <w:pStyle w:val="1"/>
        <w:widowControl w:val="off"/>
      </w:pPr>
      <w:r>
        <w:rPr/>
        <w:t>사건, 사안, 피해자, 성폭력, 성희롱, 비서, 비서실, 투표, 선거, 대선, 탄핵, 촛불, 법안, 검찰, 심판, 수사, 혐의, 재판, 고발, 기소, 판결, 선고, 구속, 심의, 심사, 처벌, 불법, 형사, 처분, 감찰, 특검, 공수처, 공수처법, 검경, 검수완박, 대장동, 드루킹, 미투, 화천대유, 세월호, 참사, 성추행, 폭행, 범행, 화재, 사망자, 자살, 간첩, 내란, 내란음모, 해산, 위조, 감염, 감염증, 확진, 병상, 변이, 오미크론, 백신, 마스크, 신천지, 방역당국, 위중증, 코로나바이러스, 확산세</w:t>
      </w:r>
    </w:p>
    <w:p>
      <w:pPr>
        <w:pStyle w:val="4"/>
        <w:widowControl w:val="off"/>
      </w:pPr>
      <w:r>
        <w:rPr/>
        <w:t>3.6 역사·의례·국가보훈 관련어</w:t>
      </w:r>
    </w:p>
    <w:p>
      <w:pPr>
        <w:pStyle w:val="1"/>
        <w:widowControl w:val="off"/>
      </w:pPr>
      <w:r>
        <w:rPr/>
        <w:t>전쟁, 호국, 현충일, 독립운동, 독립운동가, 태극기, 유공, 보훈, 희생, 광복, 평화, 선언, 올림픽, 역사, 민주주의, 문화재, 관광</w:t>
      </w:r>
    </w:p>
    <w:p>
      <w:pPr>
        <w:pStyle w:val="4"/>
        <w:widowControl w:val="off"/>
      </w:pPr>
      <w:r>
        <w:rPr/>
        <w:t>3.7 일반 사회어 및 일상어</w:t>
      </w:r>
    </w:p>
    <w:p>
      <w:pPr>
        <w:pStyle w:val="1"/>
        <w:widowControl w:val="off"/>
      </w:pPr>
      <w:r>
        <w:rPr/>
        <w:t>학교, 학생, 학생들, 아이, 아이들, 유치원, 부모, 친구, 친구들, 급식, 가족, 노인, 지역, 부담, 주민, 주민들, 도시, 교사, 교과서, 학부모, 청년들, 사람, 사람들, 시민, 시민들, 남성, 남자, 여자, 엄마, 아내, 남편, 어머니, 아버지, 아들, 자녀, 주인공, 삶, 행복, 기억, 세상, 인생, 자연, 가정, 건강, 음식, 치료, 치료제, 병원, 환자, 의사, 입학, 졸업, 수업, 시험, 학년도, 전형, 면접, 수능, 공부, 영어, 수학</w:t>
      </w:r>
    </w:p>
    <w:p>
      <w:pPr>
        <w:pStyle w:val="4"/>
        <w:widowControl w:val="off"/>
      </w:pPr>
      <w:r>
        <w:rPr/>
        <w:t>3.8 산업·경제·기술·문화·스포츠 일반어</w:t>
      </w:r>
    </w:p>
    <w:p>
      <w:pPr>
        <w:pStyle w:val="1"/>
        <w:widowControl w:val="off"/>
      </w:pPr>
      <w:r>
        <w:rPr/>
        <w:t>경기, 수출, 투자, 제품, 금융, 서비스, 기업, 삼성, 현대, 현대차, 삼성전자, 브랜드, 마케팅, 소비자, 구매, 주식, 코스피, 증권, 거래, 금리, 대출, 펀드, 상장, 보험, 배터리, 반도체, 스마트폰, 디스플레이, 콘텐츠, 플랫폼, 모바일, 메타버스, 카카오, 구글, 애플, 아마존, 네이버, 테슬라, 쿠팡, 유튜브, 넷플릭스, 화웨이, 알파고, 로봇, 스타트업, 에너지, 전기차, 원전, 공급</w:t>
      </w:r>
    </w:p>
    <w:p>
      <w:pPr>
        <w:pStyle w:val="4"/>
        <w:widowControl w:val="off"/>
      </w:pPr>
      <w:r>
        <w:rPr/>
        <w:t>3.9 정치·사회 이슈 고유명사 및 시사 인물</w:t>
      </w:r>
    </w:p>
    <w:p>
      <w:pPr>
        <w:pStyle w:val="1"/>
        <w:widowControl w:val="off"/>
      </w:pPr>
      <w:r>
        <w:rPr/>
        <w:t>노무현, 김영삼, 노태우, 이승만, 김일성, 김정일, 김기춘, 안철수, 최순실, 정윤회, 안종범, 조윤선, 정유라, 원세훈, 이석기, 정진석, 남재준, 정종섭, 안대희, 정의화, 유병언, 황우여, 윤창중, 현오석, 최룡해, 문창극, 황교안, 유승민, 우병우, 반기문, 추미애, 정세균, 이정현, 홍준표, 남경필, 김종인, 김한길, 최경환, 김무성, 김영란, 이준석, 나경원, 김경수, 이해찬, 임종석, 김여정, 박범계, 정경심, 김학의, 김병준, 양승태, 송영길, 심상정, 홍남기, 한동훈, 박지원, 안희정, 강경화, 김동연, 이낙연, 오세훈, 푸틴, 바이든, 볼턴, 폼페이오, 파월, 시진핑, 스가, 류현진, 손흥민, 김연아</w:t>
      </w:r>
    </w:p>
    <w:p>
      <w:pPr>
        <w:pStyle w:val="4"/>
        <w:widowControl w:val="off"/>
      </w:pPr>
      <w:r>
        <w:rPr/>
        <w:t>3.10 기타 일반 불용어</w:t>
      </w:r>
    </w:p>
    <w:p>
      <w:pPr>
        <w:pStyle w:val="1"/>
        <w:widowControl w:val="off"/>
      </w:pPr>
      <w:r>
        <w:rPr/>
        <w:t>뉴스, 오늘, 어제, 내일, 앵커, 앵커멘트, 인터뷰, 방송, 리포트, 보도, 기자회견, 촬영기자, 사회자, 멘트, 바탕, 근거, 전문, 개별, 각종, 긍정적, 최선, 도움, 필요, 기대, 고민, 인정, 정상, 집중, 특별, 주목, 최근, 지난, 지난해, 지난달, 내년, 하루, 요즘, 마지막, 처음, 자체, 어디, 무엇, 모든, 가장, 우리, 우리나라, 같은, 함께, 전면, 지속적, 별도, 유일, 절반, 중심, 본격적, 완전, 정확한, 아래, 바랍니다, 있을, 있다, 있는, 합니다, 있습니다, 것으로, 밝혔다, 말했다</w:t>
      </w: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6"/>
        <w:widowControl w:val="off"/>
      </w:pPr>
      <w:r>
        <w:rPr/>
        <w:t>&lt;부록 3: 조건부 불용어 및 분석별 적용 규칙&gt;</w:t>
      </w:r>
    </w:p>
    <w:p>
      <w:pPr>
        <w:pStyle w:val="3"/>
        <w:widowControl w:val="off"/>
      </w:pPr>
      <w:r>
        <w:rPr/>
        <w:t>1. 조건부 불용어 선정 원칙</w:t>
      </w:r>
    </w:p>
    <w:p>
      <w:pPr>
        <w:pStyle w:val="1"/>
        <w:widowControl w:val="off"/>
      </w:pPr>
      <w:r>
        <w:rPr/>
        <w:t>조건부 불용어는 두 정부 시기 모두에서 공통적으로 높은 빈도로 등장하지만, 특정 시기의 고유한 담론 차별성을 설명하기보다는 행정 일반어 또는 배경어로 기능할 가능성이 높은 단어를 중심으로 선정하였다. 이러한 단어들은 탐색적 분석에서는 유지하되, 시기별 차별성 검증을 목적으로 하는 분석에서는 제외하였다.</w:t>
      </w:r>
    </w:p>
    <w:p>
      <w:pPr>
        <w:pStyle w:val="3"/>
        <w:widowControl w:val="off"/>
      </w:pPr>
      <w:r>
        <w:rPr/>
        <w:t>2. 조건부 불용어 목록</w:t>
      </w:r>
    </w:p>
    <w:p>
      <w:pPr>
        <w:pStyle w:val="1"/>
        <w:widowControl w:val="off"/>
      </w:pPr>
      <w:r>
        <w:rPr/>
        <w:t>평가, 정책, 운영, 추진, 인사, 참여, 여성, 수소, 클라우드, 블록체인, 바이오, 공급망, 모빌리티</w:t>
      </w:r>
    </w:p>
    <w:p>
      <w:pPr>
        <w:pStyle w:val="3"/>
        <w:widowControl w:val="off"/>
      </w:pPr>
      <w:r>
        <w:rPr/>
        <w:t>3. 분석별 적용 규칙</w:t>
      </w:r>
    </w:p>
    <w:tbl>
      <w:tblPr>
        <w:tblOverlap w:val="never"/>
        <w:tblW w:w="809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699"/>
        <w:gridCol w:w="2699"/>
        <w:gridCol w:w="2699"/>
      </w:tblGrid>
      <w:tr>
        <w:trPr>
          <w:trHeight w:val="236"/>
        </w:trPr>
        <w:tc>
          <w:tcPr>
            <w:tcW w:w="2699" w:type="dxa"/>
            <w:tcBorders>
              <w:top w:val="single" w:color="000000" w:sz="9"/>
              <w:left w:val="none" w:color="000000" w:sz="3"/>
              <w:bottom w:val="single" w:color="000000" w:sz="3"/>
              <w:right w:val="single" w:color="000000" w:sz="3"/>
            </w:tcBorders>
            <w:shd w:val="clear" w:fill="d8d8d8"/>
            <w:vAlign w:val="center"/>
          </w:tcPr>
          <w:p>
            <w:pPr>
              <w:pStyle w:val="15"/>
              <w:widowControl w:val="off"/>
            </w:pPr>
            <w:r>
              <w:rPr/>
              <w:t>분석 기법</w:t>
            </w:r>
          </w:p>
        </w:tc>
        <w:tc>
          <w:tcPr>
            <w:tcW w:w="2699" w:type="dxa"/>
            <w:tcBorders>
              <w:top w:val="single" w:color="000000" w:sz="9"/>
              <w:left w:val="single" w:color="000000" w:sz="3"/>
              <w:bottom w:val="single" w:color="000000" w:sz="3"/>
              <w:right w:val="single" w:color="000000" w:sz="3"/>
            </w:tcBorders>
            <w:shd w:val="clear" w:fill="d8d8d8"/>
            <w:vAlign w:val="center"/>
          </w:tcPr>
          <w:p>
            <w:pPr>
              <w:pStyle w:val="15"/>
              <w:widowControl w:val="off"/>
            </w:pPr>
            <w:r>
              <w:rPr/>
              <w:t>기본 불용어 적용</w:t>
            </w:r>
          </w:p>
        </w:tc>
        <w:tc>
          <w:tcPr>
            <w:tcW w:w="2699" w:type="dxa"/>
            <w:tcBorders>
              <w:top w:val="single" w:color="000000" w:sz="9"/>
              <w:left w:val="single" w:color="000000" w:sz="3"/>
              <w:bottom w:val="single" w:color="000000" w:sz="3"/>
              <w:right w:val="none" w:color="000000" w:sz="3"/>
            </w:tcBorders>
            <w:shd w:val="clear" w:fill="d8d8d8"/>
            <w:vAlign w:val="center"/>
          </w:tcPr>
          <w:p>
            <w:pPr>
              <w:pStyle w:val="15"/>
              <w:widowControl w:val="off"/>
            </w:pPr>
            <w:r>
              <w:rPr/>
              <w:t>조건부 불용어 적용</w:t>
            </w:r>
          </w:p>
        </w:tc>
      </w:tr>
      <w:tr>
        <w:trPr>
          <w:trHeight w:val="256"/>
        </w:trPr>
        <w:tc>
          <w:tcPr>
            <w:tcW w:w="2699" w:type="dxa"/>
            <w:tcBorders>
              <w:top w:val="single" w:color="000000" w:sz="3"/>
              <w:left w:val="none" w:color="000000" w:sz="3"/>
              <w:bottom w:val="single" w:color="000000" w:sz="3"/>
              <w:right w:val="single" w:color="000000" w:sz="3"/>
            </w:tcBorders>
            <w:vAlign w:val="center"/>
          </w:tcPr>
          <w:p>
            <w:pPr>
              <w:pStyle w:val="15"/>
              <w:widowControl w:val="off"/>
            </w:pPr>
            <w:r>
              <w:rPr/>
              <w:t>워드클라우드</w:t>
            </w:r>
          </w:p>
        </w:tc>
        <w:tc>
          <w:tcPr>
            <w:tcW w:w="2699" w:type="dxa"/>
            <w:tcBorders>
              <w:top w:val="single" w:color="000000" w:sz="3"/>
              <w:left w:val="single" w:color="000000" w:sz="3"/>
              <w:bottom w:val="single" w:color="000000" w:sz="3"/>
              <w:right w:val="single" w:color="000000" w:sz="3"/>
            </w:tcBorders>
            <w:vAlign w:val="center"/>
          </w:tcPr>
          <w:p>
            <w:pPr>
              <w:pStyle w:val="15"/>
              <w:widowControl w:val="off"/>
            </w:pPr>
            <w:r>
              <w:rPr/>
              <w:t>적용</w:t>
            </w:r>
          </w:p>
        </w:tc>
        <w:tc>
          <w:tcPr>
            <w:tcW w:w="2699" w:type="dxa"/>
            <w:tcBorders>
              <w:top w:val="single" w:color="000000" w:sz="3"/>
              <w:left w:val="single" w:color="000000" w:sz="3"/>
              <w:bottom w:val="single" w:color="000000" w:sz="3"/>
              <w:right w:val="none" w:color="000000" w:sz="3"/>
            </w:tcBorders>
            <w:vAlign w:val="center"/>
          </w:tcPr>
          <w:p>
            <w:pPr>
              <w:pStyle w:val="15"/>
              <w:widowControl w:val="off"/>
            </w:pPr>
            <w:r>
              <w:rPr/>
              <w:t>미적용</w:t>
            </w:r>
          </w:p>
        </w:tc>
      </w:tr>
      <w:tr>
        <w:trPr>
          <w:trHeight w:val="256"/>
        </w:trPr>
        <w:tc>
          <w:tcPr>
            <w:tcW w:w="2699" w:type="dxa"/>
            <w:tcBorders>
              <w:top w:val="single" w:color="000000" w:sz="3"/>
              <w:left w:val="none" w:color="000000" w:sz="3"/>
              <w:bottom w:val="single" w:color="000000" w:sz="3"/>
              <w:right w:val="single" w:color="000000" w:sz="3"/>
            </w:tcBorders>
            <w:vAlign w:val="center"/>
          </w:tcPr>
          <w:p>
            <w:pPr>
              <w:pStyle w:val="15"/>
              <w:widowControl w:val="off"/>
            </w:pPr>
            <w:r>
              <w:rPr/>
              <w:t>LDA 토픽모델링</w:t>
            </w:r>
          </w:p>
        </w:tc>
        <w:tc>
          <w:tcPr>
            <w:tcW w:w="2699" w:type="dxa"/>
            <w:tcBorders>
              <w:top w:val="single" w:color="000000" w:sz="3"/>
              <w:left w:val="single" w:color="000000" w:sz="3"/>
              <w:bottom w:val="single" w:color="000000" w:sz="3"/>
              <w:right w:val="single" w:color="000000" w:sz="3"/>
            </w:tcBorders>
            <w:vAlign w:val="center"/>
          </w:tcPr>
          <w:p>
            <w:pPr>
              <w:pStyle w:val="15"/>
              <w:widowControl w:val="off"/>
            </w:pPr>
            <w:r>
              <w:rPr/>
              <w:t>적용</w:t>
            </w:r>
          </w:p>
        </w:tc>
        <w:tc>
          <w:tcPr>
            <w:tcW w:w="2699" w:type="dxa"/>
            <w:tcBorders>
              <w:top w:val="single" w:color="000000" w:sz="3"/>
              <w:left w:val="single" w:color="000000" w:sz="3"/>
              <w:bottom w:val="single" w:color="000000" w:sz="3"/>
              <w:right w:val="none" w:color="000000" w:sz="3"/>
            </w:tcBorders>
            <w:vAlign w:val="center"/>
          </w:tcPr>
          <w:p>
            <w:pPr>
              <w:pStyle w:val="15"/>
              <w:widowControl w:val="off"/>
            </w:pPr>
            <w:r>
              <w:rPr/>
              <w:t>미적용</w:t>
            </w:r>
          </w:p>
        </w:tc>
      </w:tr>
      <w:tr>
        <w:trPr>
          <w:trHeight w:val="256"/>
        </w:trPr>
        <w:tc>
          <w:tcPr>
            <w:tcW w:w="2699" w:type="dxa"/>
            <w:tcBorders>
              <w:top w:val="single" w:color="000000" w:sz="3"/>
              <w:left w:val="none" w:color="000000" w:sz="3"/>
              <w:bottom w:val="single" w:color="000000" w:sz="3"/>
              <w:right w:val="single" w:color="000000" w:sz="3"/>
            </w:tcBorders>
            <w:vAlign w:val="center"/>
          </w:tcPr>
          <w:p>
            <w:pPr>
              <w:pStyle w:val="15"/>
              <w:widowControl w:val="off"/>
            </w:pPr>
            <w:r>
              <w:rPr/>
              <w:t>TF-IDF</w:t>
            </w:r>
          </w:p>
        </w:tc>
        <w:tc>
          <w:tcPr>
            <w:tcW w:w="2699" w:type="dxa"/>
            <w:tcBorders>
              <w:top w:val="single" w:color="000000" w:sz="3"/>
              <w:left w:val="single" w:color="000000" w:sz="3"/>
              <w:bottom w:val="single" w:color="000000" w:sz="3"/>
              <w:right w:val="single" w:color="000000" w:sz="3"/>
            </w:tcBorders>
            <w:vAlign w:val="center"/>
          </w:tcPr>
          <w:p>
            <w:pPr>
              <w:pStyle w:val="15"/>
              <w:widowControl w:val="off"/>
            </w:pPr>
            <w:r>
              <w:rPr/>
              <w:t>적용</w:t>
            </w:r>
          </w:p>
        </w:tc>
        <w:tc>
          <w:tcPr>
            <w:tcW w:w="2699" w:type="dxa"/>
            <w:tcBorders>
              <w:top w:val="single" w:color="000000" w:sz="3"/>
              <w:left w:val="single" w:color="000000" w:sz="3"/>
              <w:bottom w:val="single" w:color="000000" w:sz="3"/>
              <w:right w:val="none" w:color="000000" w:sz="3"/>
            </w:tcBorders>
            <w:vAlign w:val="center"/>
          </w:tcPr>
          <w:p>
            <w:pPr>
              <w:pStyle w:val="15"/>
              <w:widowControl w:val="off"/>
            </w:pPr>
            <w:r>
              <w:rPr/>
              <w:t>적용</w:t>
            </w:r>
          </w:p>
        </w:tc>
      </w:tr>
      <w:tr>
        <w:trPr>
          <w:trHeight w:val="256"/>
        </w:trPr>
        <w:tc>
          <w:tcPr>
            <w:tcW w:w="2699" w:type="dxa"/>
            <w:tcBorders>
              <w:top w:val="single" w:color="000000" w:sz="3"/>
              <w:left w:val="none" w:color="000000" w:sz="3"/>
              <w:bottom w:val="single" w:color="000000" w:sz="9"/>
              <w:right w:val="single" w:color="000000" w:sz="3"/>
            </w:tcBorders>
            <w:vAlign w:val="center"/>
          </w:tcPr>
          <w:p>
            <w:pPr>
              <w:pStyle w:val="15"/>
              <w:widowControl w:val="off"/>
            </w:pPr>
            <w:r>
              <w:rPr/>
              <w:t>log-odds</w:t>
            </w:r>
          </w:p>
        </w:tc>
        <w:tc>
          <w:tcPr>
            <w:tcW w:w="2699" w:type="dxa"/>
            <w:tcBorders>
              <w:top w:val="single" w:color="000000" w:sz="3"/>
              <w:left w:val="single" w:color="000000" w:sz="3"/>
              <w:bottom w:val="single" w:color="000000" w:sz="9"/>
              <w:right w:val="single" w:color="000000" w:sz="3"/>
            </w:tcBorders>
            <w:vAlign w:val="center"/>
          </w:tcPr>
          <w:p>
            <w:pPr>
              <w:pStyle w:val="15"/>
              <w:widowControl w:val="off"/>
            </w:pPr>
            <w:r>
              <w:rPr/>
              <w:t>적용</w:t>
            </w:r>
          </w:p>
        </w:tc>
        <w:tc>
          <w:tcPr>
            <w:tcW w:w="2699" w:type="dxa"/>
            <w:tcBorders>
              <w:top w:val="single" w:color="000000" w:sz="3"/>
              <w:left w:val="single" w:color="000000" w:sz="3"/>
              <w:bottom w:val="single" w:color="000000" w:sz="9"/>
              <w:right w:val="none" w:color="000000" w:sz="3"/>
            </w:tcBorders>
            <w:vAlign w:val="center"/>
          </w:tcPr>
          <w:p>
            <w:pPr>
              <w:pStyle w:val="15"/>
              <w:widowControl w:val="off"/>
            </w:pPr>
            <w:r>
              <w:rPr/>
              <w:t>적용</w:t>
            </w:r>
          </w:p>
        </w:tc>
      </w:tr>
    </w:tbl>
    <w:p>
      <w:pPr>
        <w:pStyle w:val="1"/>
        <w:widowControl w:val="off"/>
      </w:pPr>
    </w:p>
    <w:p>
      <w:pPr>
        <w:pStyle w:val="3"/>
        <w:widowControl w:val="off"/>
      </w:pPr>
      <w:r>
        <w:rPr/>
        <w:t>4. 적용 이유</w:t>
      </w:r>
    </w:p>
    <w:p>
      <w:pPr>
        <w:pStyle w:val="1"/>
        <w:widowControl w:val="off"/>
      </w:pPr>
      <w:r>
        <w:rPr/>
        <w:t>워드클라우드와 LDA 분석은 담론의 전반적 흐름과 주제 분포를 탐색하는 데 목적이 있으므로, ‘정책’, ‘평가’, ‘운영’, ‘인사’, ‘참여’, ‘여성’ 등과 같은 공통 행정어를 유지하였다. 또한 ‘수소’, ‘클라우드’, ‘블록체인’, ‘바이오’, ‘공급망’, ‘모빌리티’와 같은 기술·산업 일반어 역시 특정 시기 정부 정책 및 산업 전략 기사에서 폭넓게 등장하며 담론의 외연과 정책 환경을 보여줄 수 있으므로 탐색적 분석에서는 유지하였다. 반면 TF-IDF 및 log-odds 분석은 시기별 차별적 단어를 식별하는 데 목적이 있으므로, 이러한 단어들이 특정 정부의 고유한 공직사회 담론을 반영하기보다 공통 행정 배경어 또는 정책·산업 배경어로 기능할 가능성을 고려하여 조건부 불용어로 제거하였다.</w:t>
      </w: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6"/>
        <w:widowControl w:val="off"/>
      </w:pPr>
      <w:r>
        <w:rPr/>
        <w:t>&lt;부록 4: LDA 토픽 모델링 검증 결과&gt;</w:t>
      </w:r>
    </w:p>
    <w:p>
      <w:pPr>
        <w:pStyle w:val="4"/>
        <w:widowControl w:val="off"/>
      </w:pPr>
      <w:r>
        <w:rPr/>
        <w:t>4-1. 토픽 수(k)에 따른 coherence 점수 비교 (c_v, u_mass)</w:t>
      </w:r>
    </w:p>
    <w:p>
      <w:pPr>
        <w:pStyle w:val="1"/>
        <w:widowControl w:val="off"/>
        <w:wordWrap w:val="1"/>
        <w:jc w:val="center"/>
      </w:pPr>
      <w:r>
        <w:drawing>
          <wp:inline distT="0" distB="0" distL="0" distR="0">
            <wp:extent cx="4260469" cy="2529459"/>
            <wp:effectExtent l="0" t="0" r="0" b="0"/>
            <wp:docPr id="10" name="그림 %d 10"/>
            <wp:cNvGraphicFramePr/>
            <a:graphic>
              <a:graphicData uri="http://schemas.openxmlformats.org/drawingml/2006/picture">
                <pic:pic>
                  <pic:nvPicPr>
                    <pic:cNvPr id="0" name="C:\Temp\Hnc\BinData\EMB000012442037.bmp"/>
                    <pic:cNvPicPr/>
                  </pic:nvPicPr>
                  <pic:blipFill>
                    <a:blip r:embed="rId10"/>
                    <a:stretch>
                      <a:fillRect/>
                    </a:stretch>
                  </pic:blipFill>
                  <pic:spPr>
                    <a:xfrm>
                      <a:off x="0" y="0"/>
                      <a:ext cx="4260469" cy="2529459"/>
                    </a:xfrm>
                    <a:prstGeom prst="rect">
                      <a:avLst/>
                    </a:prstGeom>
                    <a:effectLst/>
                  </pic:spPr>
                </pic:pic>
              </a:graphicData>
            </a:graphic>
          </wp:inline>
        </w:drawing>
      </w:r>
    </w:p>
    <w:p>
      <w:pPr>
        <w:pStyle w:val="4"/>
        <w:widowControl w:val="off"/>
      </w:pPr>
      <w:r>
        <w:rPr/>
        <w:t>4-2. 시드별 coherence 분포 비교 (c_v, u_mass)</w:t>
      </w:r>
    </w:p>
    <w:p>
      <w:pPr>
        <w:pStyle w:val="1"/>
        <w:widowControl w:val="off"/>
        <w:wordWrap w:val="1"/>
        <w:jc w:val="center"/>
      </w:pPr>
      <w:r>
        <w:drawing>
          <wp:inline distT="0" distB="0" distL="0" distR="0">
            <wp:extent cx="5185537" cy="2130044"/>
            <wp:effectExtent l="0" t="0" r="0" b="0"/>
            <wp:docPr id="11" name="그림 %d 11"/>
            <wp:cNvGraphicFramePr/>
            <a:graphic>
              <a:graphicData uri="http://schemas.openxmlformats.org/drawingml/2006/picture">
                <pic:pic>
                  <pic:nvPicPr>
                    <pic:cNvPr id="0" name="C:\Temp\Hnc\BinData\EMB000012442038.bmp"/>
                    <pic:cNvPicPr/>
                  </pic:nvPicPr>
                  <pic:blipFill>
                    <a:blip r:embed="rId11"/>
                    <a:stretch>
                      <a:fillRect/>
                    </a:stretch>
                  </pic:blipFill>
                  <pic:spPr>
                    <a:xfrm>
                      <a:off x="0" y="0"/>
                      <a:ext cx="5185537" cy="2130044"/>
                    </a:xfrm>
                    <a:prstGeom prst="rect">
                      <a:avLst/>
                    </a:prstGeom>
                    <a:effectLst/>
                  </pic:spPr>
                </pic:pic>
              </a:graphicData>
            </a:graphic>
          </wp:inline>
        </w:drawing>
      </w: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1"/>
        <w:widowControl w:val="off"/>
        <w:rPr/>
      </w:pPr>
    </w:p>
    <w:p>
      <w:pPr>
        <w:pStyle w:val="6"/>
        <w:widowControl w:val="off"/>
      </w:pPr>
      <w:r>
        <w:rPr/>
        <w:t xml:space="preserve">&lt;부록 5: 각 정부 공출현 네트워크 (FMI </w:t>
      </w:r>
      <w:r>
        <w:rPr/>
        <w:t>≥</w:t>
      </w:r>
      <w:r>
        <w:rPr/>
        <w:t xml:space="preserve"> 0.3&gt;</w:t>
      </w:r>
    </w:p>
    <w:p>
      <w:pPr>
        <w:pStyle w:val="4"/>
        <w:widowControl w:val="off"/>
      </w:pPr>
      <w:r>
        <w:rPr/>
        <w:t xml:space="preserve">5-1. 박근혜 정부 공출현 네트워크 (PMI </w:t>
      </w:r>
      <w:r>
        <w:rPr/>
        <w:t>≥</w:t>
      </w:r>
      <w:r>
        <w:rPr/>
        <w:t xml:space="preserve"> 0.3)</w:t>
      </w:r>
    </w:p>
    <w:p>
      <w:pPr>
        <w:pStyle w:val="1"/>
        <w:widowControl w:val="off"/>
        <w:wordWrap w:val="1"/>
        <w:jc w:val="center"/>
      </w:pPr>
      <w:r>
        <w:drawing>
          <wp:inline distT="0" distB="0" distL="0" distR="0">
            <wp:extent cx="3256788" cy="2662301"/>
            <wp:effectExtent l="0" t="0" r="0" b="0"/>
            <wp:docPr id="12" name="그림 %d 12"/>
            <wp:cNvGraphicFramePr/>
            <a:graphic>
              <a:graphicData uri="http://schemas.openxmlformats.org/drawingml/2006/picture">
                <pic:pic>
                  <pic:nvPicPr>
                    <pic:cNvPr id="0" name="C:\Temp\Hnc\BinData\EMB000012442039.bmp"/>
                    <pic:cNvPicPr/>
                  </pic:nvPicPr>
                  <pic:blipFill>
                    <a:blip r:embed="rId12"/>
                    <a:stretch>
                      <a:fillRect/>
                    </a:stretch>
                  </pic:blipFill>
                  <pic:spPr>
                    <a:xfrm>
                      <a:off x="0" y="0"/>
                      <a:ext cx="3256788" cy="2662301"/>
                    </a:xfrm>
                    <a:prstGeom prst="rect">
                      <a:avLst/>
                    </a:prstGeom>
                    <a:effectLst/>
                  </pic:spPr>
                </pic:pic>
              </a:graphicData>
            </a:graphic>
          </wp:inline>
        </w:drawing>
      </w:r>
    </w:p>
    <w:p>
      <w:pPr>
        <w:pStyle w:val="4"/>
        <w:widowControl w:val="off"/>
      </w:pPr>
      <w:r>
        <w:rPr/>
        <w:t xml:space="preserve">5-2. 문재인 정부 공출현 네트워크 (PMI </w:t>
      </w:r>
      <w:r>
        <w:rPr/>
        <w:t>≥</w:t>
      </w:r>
      <w:r>
        <w:rPr/>
        <w:t xml:space="preserve"> 0.3)</w:t>
      </w:r>
    </w:p>
    <w:p>
      <w:pPr>
        <w:pStyle w:val="1"/>
        <w:widowControl w:val="off"/>
        <w:wordWrap w:val="1"/>
        <w:jc w:val="center"/>
      </w:pPr>
      <w:r>
        <w:drawing>
          <wp:inline distT="0" distB="0" distL="0" distR="0">
            <wp:extent cx="3052445" cy="2542159"/>
            <wp:effectExtent l="0" t="0" r="0" b="0"/>
            <wp:docPr id="13" name="그림 %d 13"/>
            <wp:cNvGraphicFramePr/>
            <a:graphic>
              <a:graphicData uri="http://schemas.openxmlformats.org/drawingml/2006/picture">
                <pic:pic>
                  <pic:nvPicPr>
                    <pic:cNvPr id="0" name="C:\Temp\Hnc\BinData\EMB00001244203a.bmp"/>
                    <pic:cNvPicPr/>
                  </pic:nvPicPr>
                  <pic:blipFill>
                    <a:blip r:embed="rId13"/>
                    <a:stretch>
                      <a:fillRect/>
                    </a:stretch>
                  </pic:blipFill>
                  <pic:spPr>
                    <a:xfrm>
                      <a:off x="0" y="0"/>
                      <a:ext cx="3052445" cy="2542159"/>
                    </a:xfrm>
                    <a:prstGeom prst="rect">
                      <a:avLst/>
                    </a:prstGeom>
                    <a:effectLst/>
                  </pic:spPr>
                </pic:pic>
              </a:graphicData>
            </a:graphic>
          </wp:inline>
        </w:drawing>
      </w:r>
    </w:p>
    <w:p>
      <w:pPr>
        <w:pStyle w:val="1"/>
        <w:widowControl w:val="off"/>
        <w:rPr/>
      </w:pPr>
    </w:p>
    <w:p>
      <w:pPr>
        <w:pStyle w:val="1"/>
        <w:widowControl w:val="off"/>
        <w:rPr/>
      </w:pPr>
    </w:p>
    <w:p>
      <w:pPr>
        <w:pStyle w:val="1"/>
        <w:widowControl w:val="off"/>
        <w:rPr/>
      </w:pPr>
    </w:p>
    <w:p>
      <w:pPr>
        <w:pStyle w:val="1"/>
        <w:widowControl w:val="off"/>
        <w:rPr/>
      </w:pPr>
    </w:p>
    <w:p>
      <w:r>
        <w:br w:type="page"/>
      </w:r>
    </w:p>
    <w:p>
      <w:pPr>
        <w:pStyle w:val="7"/>
        <w:widowControl w:val="off"/>
      </w:pPr>
      <w:r>
        <w:rPr/>
        <w:t>Structural Reconfiguration of Public Service Discourse: A Comparative Analysis of Media Discourses During the Park Geun-hye and Moon Jae-in Administrations</w:t>
      </w:r>
    </w:p>
    <w:p>
      <w:pPr>
        <w:pStyle w:val="9"/>
        <w:widowControl w:val="off"/>
      </w:pPr>
      <w:r>
        <w:rPr/>
        <w:t>Abstract</w:t>
      </w:r>
    </w:p>
    <w:p>
      <w:pPr>
        <w:pStyle w:val="8"/>
        <w:widowControl w:val="off"/>
      </w:pPr>
      <w:r>
        <w:rPr/>
        <w:t>This study analyzes the structural differences in media discourse on the public sector in South Korea during the administrations of Park Geun-hye (2013</w:t>
      </w:r>
      <w:r>
        <w:rPr/>
        <w:t>–</w:t>
      </w:r>
      <w:r>
        <w:rPr/>
        <w:t>2017) and Moon Jae-in (2017</w:t>
      </w:r>
      <w:r>
        <w:rPr/>
        <w:t>–</w:t>
      </w:r>
      <w:r>
        <w:rPr/>
        <w:t>2022), using BigKinds news data from 2013 to 2022. The dataset consists of 1,105,749 news articles related to the public sector. Drawing on text mining techniques, the study examines discourse changes across three levels: agenda, frame, and structure. At the agenda level, TF-IDF and log-odds analyses were employed to identify differences in issue salience. The results show that during the Park administration, public sector discourse exhibited a relatively cohesive structure centered on institutional reform and performance management, characterized by keywords such as pension, performance, reform, and efficiency. In contrast, during the Moon administration, a more complex discourse structure emerged, combining issues such as COVID-19 response, digital transformation, organizational culture, fairness, and employee experience. At the agenda level, keywords related to COVID-19, quarantine, platforms, and digitalization were prominent. At the frame level, topics concerning internal organizational management, fairness, accountability, and crisis response expanded. At the structural level, the existing reform-oriented discourse was reconfigured through its integration with emerging concepts such as youth, fairness, human rights, digitalization, and innovation. Although statistical tests on centrality measures did not indicate significant overall structural differences, changes were observed at the level of individual keywords. These findings suggest that public sector discourse exhibits temporal variation across administrations while being restructured upon an existing foundation through the interaction of multiple factors, including policy orientation, the pandemic, digital transformation, and broader environmental changes.</w:t>
      </w:r>
    </w:p>
    <w:p>
      <w:pPr>
        <w:pStyle w:val="10"/>
        <w:widowControl w:val="off"/>
      </w:pPr>
      <w:r>
        <w:rPr/>
        <w:t>Keywords: Civil service discourse, BigKinds, Text mining, Topic modeling, Co-occurrence network</w:t>
      </w:r>
    </w:p>
    <w:sectPr>
      <w:footnotePr>
        <w:numFmt w:val="decimal"/>
        <w:numRestart w:val="continuous"/>
      </w:footnotePr>
      <w:endnotePr>
        <w:pos w:val="docEnd"/>
        <w:numFmt w:val="decimal"/>
        <w:numRestart w:val="continuous"/>
      </w:endnotePr>
      <w:pgSz w:w="11906" w:h="16838"/>
      <w:pgMar w:top="2381" w:right="1984" w:bottom="2268" w:left="1701" w:header="1701" w:footer="1701" w:gutter="0"/>
      <w:cols w:space="0"/>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2">
    <w:name w:val="장 (Ⅰ.)"/>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left"/>
      <w:textAlignment w:val="baseline"/>
    </w:pPr>
    <w:rPr>
      <w:rFonts w:ascii="바탕체" w:eastAsia="바탕체"/>
      <w:b/>
      <w:color w:val="000000"/>
      <w:sz w:val="26"/>
      <w:shd w:val="clear" w:color="000000"/>
    </w:rPr>
  </w:style>
  <w:style w:type="paragraph" w:styleId="3">
    <w:name w:val="절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60" w:after="80" w:line="384" w:lineRule="auto"/>
      <w:ind w:left="0" w:right="0" w:firstLine="0"/>
      <w:jc w:val="both"/>
      <w:textAlignment w:val="baseline"/>
    </w:pPr>
    <w:rPr>
      <w:rFonts w:ascii="바탕체" w:eastAsia="바탕체"/>
      <w:b/>
      <w:color w:val="000000"/>
      <w:sz w:val="24"/>
      <w:shd w:val="clear" w:color="000000"/>
    </w:rPr>
  </w:style>
  <w:style w:type="paragraph" w:styleId="4">
    <w:name w:val="항 (1))"/>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20" w:after="0" w:line="384" w:lineRule="auto"/>
      <w:ind w:left="0" w:right="0" w:firstLine="0"/>
      <w:jc w:val="both"/>
      <w:textAlignment w:val="baseline"/>
    </w:pPr>
    <w:rPr>
      <w:rFonts w:ascii="바탕체" w:eastAsia="바탕체"/>
      <w:color w:val="000000"/>
      <w:sz w:val="22"/>
      <w:shd w:val="clear" w:color="000000"/>
    </w:rPr>
  </w:style>
  <w:style w:type="paragraph" w:styleId="5">
    <w:name w:val="세부항 ((1))"/>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6">
    <w:name w:val="표제목"/>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바탕체" w:eastAsia="바탕체"/>
      <w:color w:val="000000"/>
      <w:sz w:val="20"/>
      <w:shd w:val="clear" w:color="000000"/>
    </w:rPr>
  </w:style>
  <w:style w:type="paragraph" w:styleId="7">
    <w:name w:val="제목(국문)"/>
    <w:uiPriority w:val="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center"/>
      <w:textAlignment w:val="baseline"/>
    </w:pPr>
    <w:rPr>
      <w:rFonts w:ascii="바탕체" w:eastAsia="바탕체"/>
      <w:b/>
      <w:color w:val="000000"/>
      <w:sz w:val="32"/>
      <w:shd w:val="clear" w:color="000000"/>
    </w:rPr>
  </w:style>
  <w:style w:type="paragraph" w:styleId="8">
    <w:name w:val="초록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체" w:eastAsia="바탕체"/>
      <w:color w:val="000000"/>
      <w:sz w:val="20"/>
      <w:shd w:val="clear" w:color="000000"/>
    </w:rPr>
  </w:style>
  <w:style w:type="paragraph" w:styleId="9">
    <w:name w:val="초록제목"/>
    <w:uiPriority w:val="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바탕체" w:eastAsia="바탕체"/>
      <w:b/>
      <w:color w:val="000000"/>
      <w:sz w:val="22"/>
      <w:shd w:val="clear" w:color="000000"/>
    </w:rPr>
  </w:style>
  <w:style w:type="paragraph" w:styleId="10">
    <w:name w:val="키워드"/>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left"/>
      <w:textAlignment w:val="baseline"/>
    </w:pPr>
    <w:rPr>
      <w:rFonts w:ascii="바탕체" w:eastAsia="바탕체"/>
      <w:color w:val="000000"/>
      <w:sz w:val="20"/>
      <w:shd w:val="clear" w:color="000000"/>
    </w:rPr>
  </w:style>
  <w:style w:type="paragraph" w:styleId="11">
    <w:name w:val="참고문헌제목"/>
    <w:uiPriority w:val="1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center"/>
      <w:textAlignment w:val="baseline"/>
    </w:pPr>
    <w:rPr>
      <w:rFonts w:ascii="바탕체" w:eastAsia="바탕체"/>
      <w:b/>
      <w:color w:val="000000"/>
      <w:sz w:val="24"/>
      <w:shd w:val="clear" w:color="000000"/>
    </w:rPr>
  </w:style>
  <w:style w:type="paragraph" w:styleId="12">
    <w:name w:val="참고문헌 본문"/>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400" w:right="0" w:hanging="400"/>
      <w:jc w:val="left"/>
      <w:textAlignment w:val="baseline"/>
    </w:pPr>
    <w:rPr>
      <w:rFonts w:ascii="바탕체" w:eastAsia="바탕체"/>
      <w:color w:val="000000"/>
      <w:sz w:val="20"/>
      <w:shd w:val="clear" w:color="000000"/>
    </w:rPr>
  </w:style>
  <w:style w:type="paragraph" w:styleId="13">
    <w:name w:val="각주"/>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바탕체" w:eastAsia="바탕체"/>
      <w:color w:val="000000"/>
      <w:sz w:val="18"/>
      <w:shd w:val="clear" w:color="000000"/>
    </w:rPr>
  </w:style>
  <w:style w:type="paragraph" w:styleId="14">
    <w:name w:val="표_주_행정연구"/>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80" w:after="0" w:line="312" w:lineRule="auto"/>
      <w:ind w:left="0" w:right="0" w:firstLine="0"/>
      <w:jc w:val="left"/>
      <w:textAlignment w:val="baseline"/>
    </w:pPr>
    <w:rPr>
      <w:rFonts w:ascii="한양신명조" w:eastAsia="한양신명조"/>
      <w:color w:val="000000"/>
      <w:spacing w:val="-4"/>
      <w:w w:val="95"/>
      <w:sz w:val="18"/>
      <w:shd w:val="clear" w:color="000000"/>
    </w:rPr>
  </w:style>
  <w:style w:type="paragraph" w:styleId="15">
    <w:name w:val="가설_행정연구"/>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color w:val="000000"/>
      <w:spacing w:val="-5"/>
      <w:w w:val="95"/>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10" Type="http://schemas.openxmlformats.org/officeDocument/2006/relationships/image" Target="media/image9.bmp"  /><Relationship Id="rId11" Type="http://schemas.openxmlformats.org/officeDocument/2006/relationships/image" Target="media/image10.bmp"  /><Relationship Id="rId12" Type="http://schemas.openxmlformats.org/officeDocument/2006/relationships/image" Target="media/image11.bmp"  /><Relationship Id="rId13" Type="http://schemas.openxmlformats.org/officeDocument/2006/relationships/image" Target="media/image12.bmp"  /><Relationship Id="rId14" Type="http://schemas.openxmlformats.org/officeDocument/2006/relationships/settings" Target="settings.xml"  /><Relationship Id="rId15" Type="http://schemas.openxmlformats.org/officeDocument/2006/relationships/styles" Target="styles.xml"  /><Relationship Id="rId2" Type="http://schemas.openxmlformats.org/officeDocument/2006/relationships/image" Target="media/image1.bmp"  /><Relationship Id="rId3" Type="http://schemas.openxmlformats.org/officeDocument/2006/relationships/image" Target="media/image2.bmp"  /><Relationship Id="rId4" Type="http://schemas.openxmlformats.org/officeDocument/2006/relationships/image" Target="media/image3.bmp"  /><Relationship Id="rId5" Type="http://schemas.openxmlformats.org/officeDocument/2006/relationships/image" Target="media/image4.bmp"  /><Relationship Id="rId6" Type="http://schemas.openxmlformats.org/officeDocument/2006/relationships/image" Target="media/image5.bmp"  /><Relationship Id="rId7" Type="http://schemas.openxmlformats.org/officeDocument/2006/relationships/image" Target="media/image6.bmp"  /><Relationship Id="rId8" Type="http://schemas.openxmlformats.org/officeDocument/2006/relationships/image" Target="media/image7.bmp"  /><Relationship Id="rId9" Type="http://schemas.openxmlformats.org/officeDocument/2006/relationships/image" Target="media/image8.bmp"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KMI</dc:creator>
  <dc:description>|Fasoo_Trace_ID: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</dc:description>
  <cp:lastModifiedBy>KMI</cp:lastModifiedBy>
  <dcterms:created xsi:type="dcterms:W3CDTF">2026-03-30T22:06:24.755</dcterms:created>
  <dcterms:modified xsi:type="dcterms:W3CDTF">2026-03-31T13:44:28.061</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</vt:lpwstr>
  </property>
</Properties>
</file>