
<file path=[Content_Types].xml><?xml version="1.0" encoding="utf-8"?>
<Types xmlns="http://schemas.openxmlformats.org/package/2006/content-types">
  <Default Extension="bmp" ContentType="image/bmp"/>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7"/>
        <w:widowControl w:val="off"/>
      </w:pPr>
      <w:r>
        <w:rPr/>
        <w:t>하이브리드 거버넌스 조건에서의 정당성 인식</w:t>
      </w:r>
      <w:r>
        <w:br/>
      </w:r>
      <w:r>
        <w:rPr>
          <w:sz w:val="28"/>
        </w:rPr>
        <w:t>: 재난 개인정보 거버넌스에서 관리신뢰와 형식적 안전관리의 비대징척 연관</w:t>
      </w:r>
    </w:p>
    <w:p>
      <w:pPr>
        <w:pStyle w:val="9"/>
        <w:widowControl w:val="off"/>
        <w:rPr/>
      </w:pPr>
    </w:p>
    <w:p>
      <w:pPr>
        <w:pStyle w:val="9"/>
        <w:widowControl w:val="off"/>
      </w:pPr>
      <w:r>
        <w:rPr/>
        <w:t>초록</w:t>
      </w:r>
    </w:p>
    <w:p>
      <w:pPr>
        <w:pStyle w:val="9"/>
        <w:widowControl w:val="off"/>
        <w:rPr/>
      </w:pPr>
    </w:p>
    <w:p>
      <w:pPr>
        <w:pStyle w:val="8"/>
        <w:widowControl w:val="off"/>
      </w:pPr>
      <w:r>
        <w:rPr/>
        <w:t>본 연구는 명령·통제와 사후규제가 공존하는 하이브리드 거버넌스 구조 속에서 개인들이 형성하는 거버넌스 정당성 인식 패턴을 탐색적으로 검토한다. Beck(1992)의 위험사회론과 Luhmann(1979)의 신뢰 이론을 이론 생성적 분석 틀로 삼아, 재귀적 근대화 조건에서 관리신뢰·위험인식·안전관리 긍정 인식이 정책수용성 및 제도적 신뢰와 어떠한 방향으로 연관되는지를 분석한다. 한국 일반 국민 1,094명을 대상으로 한 횡단면 설문 자료를 활용하여 OLS 회귀분석, 부트스트랩 간접 연관 탐색, 조절효과 분석을 수행한 결과, 다음과 같은 패턴이 확인되었다. 첫째, 관리신뢰(H1 지지: β=0.713***)와 안전관리 긍정 인식(β=+0.191***)은 각각 독립적으로 정책수용성과 유의한 정적 연관을 보였으며, 관리신뢰의 연관은 제도적 신뢰를 경유하는 탐색적 간접 연관 패턴을 포함하였다(H3 탐색적 확인: 간접 연관 추정치=0.040, 95% CI[0.023, 0.058]). 둘째, 위험인식은 정책수용성과 유의한 부적 연관성을 나타냈고(H2 지지: β=−0.064**), 위험인식이 높은 조건에서 관리신뢰와 정책수용성 간 정적 연관의 기울기가 더 크게 나타나는 조건부 연관 패턴이 탐색적으로 관찰되었다(H4 탐색적 부합: 상호작용 β=0.084**). 본 연구는 재난 데이터 거버넌스 맥락, 관리신뢰와 안전관리 긍정 인식의 독립적 정적 연관 패턴, 한국 하이브리드 거버넌스 구조라는 요소들의 결합을 통해 거버넌스 정당성 인식 연구에 탐색적 이론적 기반을 제공하며, 사후규제 체계의 정당성 생산 조건에 관한 후속 비교·종단 연구를 위한 경험적 출발점을 제시한다.</w:t>
      </w:r>
      <w:r>
        <w:rPr/>
      </w:r>
      <w:r>
        <w:rPr/>
      </w:r>
      <w:r>
        <w:rPr/>
      </w:r>
      <w:r>
        <w:rPr/>
      </w:r>
      <w:r>
        <w:rPr/>
      </w:r>
      <w:r>
        <w:rPr/>
      </w:r>
      <w:r>
        <w:rPr/>
      </w:r>
      <w:r>
        <w:rPr/>
      </w:r>
      <w:r>
        <w:rPr/>
      </w:r>
      <w:r>
        <w:rPr/>
      </w:r>
      <w:r>
        <w:rPr/>
      </w:r>
      <w:r>
        <w:rPr/>
      </w:r>
    </w:p>
    <w:p>
      <w:pPr>
        <w:pStyle w:val="8"/>
        <w:widowControl w:val="off"/>
        <w:rPr/>
      </w:pPr>
    </w:p>
    <w:p>
      <w:pPr>
        <w:pStyle w:val="10"/>
        <w:widowControl w:val="off"/>
      </w:pPr>
      <w:r>
        <w:rPr/>
        <w:t>주제어: 거버넌스 정당성 인식, 재난 데이터 거버넌스, 하이브리드 거버넌스, 관리신뢰, 위험사회론, 사후규제</w:t>
      </w:r>
    </w:p>
    <w:p>
      <w:r>
        <w:br w:type="page"/>
      </w:r>
    </w:p>
    <w:p>
      <w:pPr>
        <w:pStyle w:val="2"/>
        <w:widowControl w:val="off"/>
      </w:pPr>
      <w:r>
        <w:rPr/>
        <w:t>Ⅰ</w:t>
      </w:r>
      <w:r>
        <w:rPr/>
        <w:t>. 서론</w:t>
      </w:r>
    </w:p>
    <w:p>
      <w:pPr>
        <w:pStyle w:val="1"/>
        <w:widowControl w:val="off"/>
      </w:pPr>
      <w:r>
        <w:rPr/>
        <w:t>재난 상황에서의 개인정보 활용을 둘러싼 거버넌스 정당성 문제는 현대 공공 거버넌스가 직면한 가장 첨예한 제도적 도전 중 하나로 부상하고 있다(Sanfilippo et al., 2020; Clark &amp; Albris, 2020). 정부와 플랫폼 사업자들은 감염병 재난, 기상재해, 사회적 위기 대응 과정에서 위치정보, 의료기록, 접촉자 추적 데이터, 행동 정보를 광범위하게 수집·활용함으로써 공공 감시의 범위를 전례 없이 확장하고 있다(Kitchin, 2014; Mossberger et al., 2013; Lund-Tønnesen, 2024; Bradford et al., 2020). 이러한 실천은 단순한 기술적·법적 차원의 개인정보 관리 문제를 넘어선다. 재난 상황에서 개인은 행정적 필요의 대상이자 보호적 개입의 수혜자이면서 동시에 제도화된 위험에 노출된 당사자로서 삼중적 제도적 위치를 점한다(Beck, 1992; Hilhorst et al., 2020). 바로 이 삼중성이 재난 데이터 거버넌스에 구조적으로 고유한 정당성 문제를 발생시킨다. 개인은 같은 제도적 장치가 자신을 동시에 보호하고 감시하며 위험에 노출시킨다는 것을 인식하기 때문이다. 이 조건에서 데이터 활용의 정당성은 형식적 법규 준수나 개인 동의 절차의 차원으로 환원될 수 없다. 그것은 본질적으로 불확실성이 구조화된 조건 속에서 공중이 거버넌스 기관을 신뢰하고 그 권위를 정당한 것으로 수용하는가의 문제</w:t>
      </w:r>
      <w:r>
        <w:rPr/>
        <w:t>—즉</w:t>
      </w:r>
      <w:r>
        <w:rPr/>
        <w:t>, 제도적 신뢰 형성을 통한 거버넌스 정당성(governance legitimacy) 생산의 문제이다.</w:t>
      </w:r>
    </w:p>
    <w:p>
      <w:pPr>
        <w:pStyle w:val="1"/>
        <w:widowControl w:val="off"/>
      </w:pPr>
      <w:r>
        <w:rPr/>
        <w:t xml:space="preserve">이러한 거버넌스 정당성 문제에 대응하는 제도 형식으로 사후규제(post-regulation) 거버넌스가 부상하였다. 사후규제 거버넌스는 전통적 명령·통제 규제와 달리, 책임성 메커니즘, 성과 기준, 자율규제 의무, 감사 기반 감독을 통해 기관 행태를 관리하며, 기술적 역량의 시연을 통한 정당성 확보를 목표로 한다(Black, 2001; Braithwaite, 2002; Scott, 2004; Lodge &amp; Wegrich, 2012). 한국의 </w:t>
      </w:r>
      <w:r>
        <w:rPr/>
        <w:t>「개인정보</w:t>
      </w:r>
      <w:r>
        <w:rPr/>
        <w:t xml:space="preserve"> 보호법</w:t>
      </w:r>
      <w:r>
        <w:rPr/>
        <w:t>」</w:t>
      </w:r>
      <w:r>
        <w:rPr/>
        <w:t>, 유럽연합의 일반개인정보보호규정(GDPR)을 비롯한 주요 개인정보 보호 체계는 이러한 사후규제적 요소를 포함하고 있으며, 절차적 책임성과 문서화된 안전관리 체계를 요구한다(Baldwin, Cave, &amp; Lodge, 2012; Ko et al., 2017; Cavoukian et al., 2010). 그러나 실제 거버넌스 체계는 대부분 사후규제와 명령·통제 규제가 혼합된 하이브리드 구조를 취한다(Trubek &amp; Trubek, 2007). 재난 상황에서는 특히 이 혼합성이 두드러진다: 의무적 개인정보 수집과 강제적 접촉자 추적은 명령·통제적 성격을 갖는 반면, 안전관리 기준 준수 여부와 책임성 확인 체계는 사후규제적 논리에 따른다.</w:t>
      </w:r>
    </w:p>
    <w:p>
      <w:pPr>
        <w:pStyle w:val="1"/>
        <w:widowControl w:val="off"/>
      </w:pPr>
      <w:r>
        <w:rPr/>
        <w:t>개인정보 거버넌스와 정책수용성에 관한 기존 연구는 이 문제를 주로 심리학적 관점에서 이론화해 왔다. 프라이버시 칼큘러스 모형은 개인이 정보 공개 결정을 위험-편익 계산을 통해 수행한다고 설명하고(Dinev &amp; Hart, 2006; Acquisti &amp; Grossklags, 2005; Kehr et al., 2015), 신뢰 기반 모형은 기관의 능력과 성실성에 대한 개인 지각이 수용성을 결정한다고 본다(Kitt et al., 2021; Mayer, Davis, &amp; Schoorman, 1995). 이 문헌군은 개인 수준의 정보 행동 결정 요인을 규명하는 데 상당한 기여를 해 왔다. 그러나 이 문헌들은 공통적으로 중요한 이론적 공백을 남기고 있다: 거버넌스 시스템 자체가 불확실성 조건하에서 제도적 신뢰를 생산하거나 생산하지 못하게 되는 구조적 조건을 이론화하지 못한다. 사후규제 연구들(Hood &amp; Rothstein, 2001; Black, 2010)은 거버넌스 성과의 한계를 기술하면서도, 제도적 신뢰가 형식적 안전관리 권위가 실패할 때 그 기능적 대체 자원으로 작동하는 구체적 메커니즘을 규명하지 못했다. Solove(2013)가 지적하듯, 형식적 동의 프레임워크는 개인을 권능화하는 것처럼 설계되어 있으나 실제로는 제도적 이해에 구조적으로 편향된 절차 메커니즘을 통해 거버넌스 배치를 정당화한다.</w:t>
      </w:r>
    </w:p>
    <w:p>
      <w:pPr>
        <w:pStyle w:val="1"/>
        <w:widowControl w:val="off"/>
      </w:pPr>
      <w:r>
        <w:rPr/>
        <w:t>이 이론적 공백을 메우는 데 있어 Ulrich Beck(1992)의 위험사회론과 Luhmann(1979)의 신뢰 이론이 중요한 분석적 시각을 제공한다. Beck(1992)에 따르면, 위험사회에서 공중은 현대 제도들이 스스로 관리하는 위험을 생산하는 시스템에 내재되어 있다는 사실을 점차 자각하며, 이 자각이 형식적 전문성과 기술적 안전관리에 대한 지각적 의존을 구조적으로 약화시킨다(Mythen, 2004). 재난 데이터 거버넌스 맥락에서 개인들이 경험하는 정당성 인식 구조는 이 이론적 시각과의 연관 속에서 탐색될 수 있다: 형식적 안전관리 시연이 개인의 정책수용성 인식에 충분한 정당성 신호로 기능하는가, 아니면 관계적 신뢰가 더 중요한 정당성 인식의 기반이 되는가. Luhmann(1979)의 신뢰 이론은 관계적으로 구축된 신뢰가 불확실성이 해소되지 않은 상태에서도 개인이 거버넌스 기관을 수용하는 판단을 내릴 수 있게 하는 복잡성 축소(complexity reduction) 기제로 기능함을 설명한다(Luhmann, 1979). Giddens(1990)의 언어로, 재귀적 근대화 조건에서 형식적 전문성이 '신뢰 고정점(anchor)' 역할을 상실할 때 관계적 신뢰가 그 기능적 위치를 대체하게 된다(Beck et al., 1994).</w:t>
      </w:r>
    </w:p>
    <w:p>
      <w:pPr>
        <w:pStyle w:val="1"/>
        <w:widowControl w:val="off"/>
      </w:pPr>
      <w:r>
        <w:rPr/>
        <w:t xml:space="preserve">한국은 이 연구 질문을 탐구하기에 이론적으로 유의미한 맥락을 제공한다. </w:t>
      </w:r>
      <w:r>
        <w:rPr/>
        <w:t>「감염병의</w:t>
      </w:r>
      <w:r>
        <w:rPr/>
        <w:t xml:space="preserve"> 예방 및 관리에 관한 법률</w:t>
      </w:r>
      <w:r>
        <w:rPr/>
        <w:t>」에</w:t>
      </w:r>
      <w:r>
        <w:rPr/>
        <w:t xml:space="preserve"> 의거한 의무적 접촉자 추적과 실시간 위치정보 수집은 강력한 명령·통제적 요소를 내포하는 반면, 이를 둘러싼 </w:t>
      </w:r>
      <w:r>
        <w:rPr/>
        <w:t>「개인정보</w:t>
      </w:r>
      <w:r>
        <w:rPr/>
        <w:t xml:space="preserve"> 보호법</w:t>
      </w:r>
      <w:r>
        <w:rPr/>
        <w:t>」</w:t>
      </w:r>
      <w:r>
        <w:rPr/>
        <w:t xml:space="preserve"> 체계는 절차적 책임성과 안전관리 기준에 기반한 사후규제적 요소를 포함한다. 이 명령·통제와 사후규제의 혼합이 만들어내는 하이브리드 거버넌스 조건은, 공중이 형식적 안전관리 신호와 관계적 신뢰를 어떻게 정당성 판단의 자원으로 활용하는지를 탐색하기에 실질적으로 적합한 분석 현장을 제공한다.</w:t>
      </w:r>
    </w:p>
    <w:p>
      <w:pPr>
        <w:pStyle w:val="1"/>
        <w:widowControl w:val="off"/>
      </w:pPr>
      <w:r>
        <w:rPr/>
        <w:t>본 연구는 다음 세 가지 측면에서 기존 연구를 진전시킨다. 이론적으로, Beck(1992)의 위험사회론과 Luhmann(1979)의 신뢰 이론을 이론 생성적 분석 틀로 활용하여, 불확실성 조건 하에서 개인의 정당성 인식이 어떤 방식으로 구조화되는가에 관한 이론적으로 도출된 탐색적 명제들을 제시하고 경험적 패턴으로 검토한다. 방법론적으로, 정책수용성을 프라이버시 선호도의 개인적 합산이 아닌 거버넌스 정당성 인식의 행태적 지표로 재해석함으로써, 개인 수준 프라이버시 수용 연구에 제도적 맥락의 분석 시각을 도입한다. 실증적으로, 한국 재난 데이터 거버넌스 맥락에서 관리신뢰와 안전관리 긍정 인식이 각각 독립적으로 정책수용성과 유의하게 연관되며, 위험인식 조건에서 관리신뢰의 연관 기울기가 달라지는 조건부 패턴(N=1,094)을 확인함으로써, 후속 비교·종단 연구를 위한 경험적 기초를 제공한다.</w:t>
      </w:r>
    </w:p>
    <w:p>
      <w:pPr>
        <w:pStyle w:val="2"/>
        <w:widowControl w:val="off"/>
      </w:pPr>
      <w:r>
        <w:rPr/>
        <w:t>Ⅱ</w:t>
      </w:r>
      <w:r>
        <w:rPr/>
        <w:t>. 이론적 배경 및 가설</w:t>
      </w:r>
    </w:p>
    <w:p>
      <w:pPr>
        <w:pStyle w:val="3"/>
        <w:widowControl w:val="off"/>
      </w:pPr>
      <w:r>
        <w:rPr/>
        <w:t>1. 위험사회론과 개인의 정당성 인식</w:t>
      </w:r>
    </w:p>
    <w:p>
      <w:pPr>
        <w:pStyle w:val="1"/>
        <w:widowControl w:val="off"/>
      </w:pPr>
      <w:r>
        <w:rPr/>
        <w:t>개인이 거버넌스 기관의 권위를 정당한 것으로 인정하는 방식</w:t>
      </w:r>
      <w:r>
        <w:rPr/>
        <w:t>—즉</w:t>
      </w:r>
      <w:r>
        <w:rPr/>
        <w:t xml:space="preserve"> 정당성 인식(legitimacy perception)</w:t>
      </w:r>
      <w:r>
        <w:rPr/>
        <w:t>—은</w:t>
      </w:r>
      <w:r>
        <w:rPr/>
        <w:t xml:space="preserve"> 사회적 불확실성 조건에 따라 달라진다. Ulrich Beck(1992)의 위험사회론(risk society theory)은 현대 사회에서 이 인식이 변화하는 구조적 맥락을 이해하는 이론적 자원을 제공한다. Beck에 따르면, 현대성의 진화는 산업적 위험 관리로부터 '제조된 불확실성(manufactured uncertainty)'의 조건으로의 전환을 수반한다. 제조된 불확실성이란 현대 기술·제도 시스템 자체가 예측 불가능하고 귀책이 불분명한 새로운 위험을 내생적으로 생산하는 조건으로, 이 조건에서 위험에 대한 지식은 더 이상 안심의 근거로 기능하지 못하고 오히려 불확실성의 비해소 가능성을 가시화하는 정보로 전환된다(Beck, 1992; Lash &amp; Urry, 1994).</w:t>
      </w:r>
    </w:p>
    <w:p>
      <w:pPr>
        <w:pStyle w:val="1"/>
        <w:widowControl w:val="off"/>
      </w:pPr>
      <w:r>
        <w:rPr/>
        <w:t>이 인식론적 조건이 개인의 거버넌스 정당성 인식에 미치는 영향을 재귀적 근대화(reflexive modernization)라는 사회구조적 과정이 매개한다. 재귀적 근대화 하에서 개인들은 거버넌스 기관들이 자신이 관리하는 위험을 생산하는 경제적·기술적 시스템에 내재되어 있다는 사실을 점차 인식하게 된다. 이 인식의 확산이 형식적 전문성, 기술적 역량 인증, 제도적 권위의 위계에 대한 신뢰 의존을 약화시킬 수 있다고 위험사회론은 제안한다(Beck, 1992; Wynne, 1992). Slovic(1999)의 신뢰 비대칭 연구는 이 동학의 개인 수준 표현을 확인한다: 신뢰는 관계적 실천의 누적을 통해 구축되지만 형식적 권위의 실패를 통해 빠르게 붕괴하며, 기술적 역량 시연이 개인들의 거버넌스 신뢰 인식을 회복하는 데 갖는 효과는 비대칭적으로 제한된다. 이 이론적 맥락에서, 재귀적 근대화 조건에서 형식적 안전관리 신호가 개인의 확산적 신뢰에 어떻게 기여하는지는 이론적으로 불확정적이며 경험적 탐색을 필요로 한다.</w:t>
      </w:r>
    </w:p>
    <w:p>
      <w:pPr>
        <w:pStyle w:val="1"/>
        <w:widowControl w:val="off"/>
      </w:pPr>
      <w:r>
        <w:rPr/>
        <w:t>이 이론적 시각이 본 연구에 갖는 분석적 의의는 다음과 같다. Beck(1992)의 재귀적 근대화 이론은 형식적 안전관리 신호가 개인의 정당성 인식에서 관계적 신뢰보다 덜 중요해질 수 있는 인식론적 맥락을 설명하는 이론적 틀을 제공한다. 이 맥락 속에서 Luhmann(1979)의 신뢰이론은 관계적 신뢰가 어떻게 작동하는가를 설명한다: 신뢰는 불확실성을 완전히 해소하지 않고도 복잡성을 축소하여 개인이 행위를 결정할 수 있게 하는 사회적 기제이다. 형식적 성과 시연이 불확실성 '해소'를 목표로 한다면, 관계적으로 구축된 신뢰는 불확실성이 해소되지 않은 상태에서도 개인이 거버넌스 기관을 수용하는 판단을 가능하게 하는 복잡성 축소 자원으로 작동한다. Giddens(1990)의 언어로는, 재귀적 근대화 조건에서 형식적 전문성이 '신뢰 고정점(anchor)' 역할을 상실할 때 관계적 신뢰가 그 기능적 위치를 대체하게 된다. 이로부터 도출되는 본 연구의 분석 시각은 다음과 같다: 위험사회적 불확실성 조건 하에서, 개인들의 정당성 인식은 형식적 안전관리 신호보다 관계적으로 구축된 관리신뢰와 더 강하게 연관될 수 있으며, 이 연관성은 위험인식이 높아질수록 증폭될 수 있다.</w:t>
      </w:r>
    </w:p>
    <w:p>
      <w:pPr>
        <w:pStyle w:val="3"/>
        <w:widowControl w:val="off"/>
      </w:pPr>
      <w:r>
        <w:rPr/>
        <w:t>2. 하이브리드 거버넌스 맥락에서의 정당성 긴장</w:t>
      </w:r>
    </w:p>
    <w:p>
      <w:pPr>
        <w:pStyle w:val="1"/>
        <w:widowControl w:val="off"/>
      </w:pPr>
      <w:r>
        <w:rPr/>
        <w:t>재귀적 근대화가 진행되는 조건에서, 현대 거버넌스 체계가 형식적 성과 시연을 통해 개인들의 정당성 인식을 충분히 확보하는 데 한계가 있을 수 있다는 이론적 긴장(legitimacy tension)이 제기된다. 사후규제(post-regulation) 거버넌스는 처방적 규칙 대신 성과 기반 책임성, 자율규제 의무, 감사 기반 감독을 통해 기관 행태를 관리하며(Braithwaite, 2002; Parker, 2002), 절차적 준수 시연을 정당화의 주요 수단으로 채택한다. 그러나 현실의 거버넌스 체계는 순수한 사후규제와 전통적 명령·통제 규제 사이의 다양한 하이브리드 형태로 구성된다.</w:t>
      </w:r>
    </w:p>
    <w:p>
      <w:pPr>
        <w:pStyle w:val="1"/>
        <w:widowControl w:val="off"/>
      </w:pPr>
      <w:r>
        <w:rPr/>
        <w:t>사후규제 이론 문헌은 이 정당성 긴장 가능성을 여러 분석 흐름에서 지지한다. Hood와 Rothstein(2001)은 성과 책임성 지향의 규제 시스템이 실질적 거버넌스 정당성 생산보다 책임 회피(blame shifting)에 최적화되는 경향을 기술한다. Black(2010)은 성과 측정 가능성에 대한 의존이 측정하기 어려운 관계적 신뢰 자원을 과소 투자하게 만드는 역인센티브 구조를 생성함을 보여준다. Rothstein, Huber, Gaskell(2006)은 사후규제 체계들이 형식적 책임 시연에 최적화되면서 확산적 정당성 생산 역량을 약화시키는 '위험 식민화(risk colonization)' 경향을 개념화한다. 이 분석들이 공통으로 시사하는 것은: 사후규제 시스템은 준수(compliance)를 생산하도록 설계되어 있으나, 정당성(legitimacy)</w:t>
      </w:r>
      <w:r>
        <w:rPr/>
        <w:t>—제도적</w:t>
      </w:r>
      <w:r>
        <w:rPr/>
        <w:t xml:space="preserve"> 권위가 그 대상으로부터 신뢰할 만하고 적절한 것으로 인정받는 사회학적 조건(Luhmann, 1979; Saurugger, 2010)</w:t>
      </w:r>
      <w:r>
        <w:rPr/>
        <w:t>—을</w:t>
      </w:r>
      <w:r>
        <w:rPr/>
        <w:t xml:space="preserve"> 자동으로 보장하지 않는다는 것이다.</w:t>
      </w:r>
    </w:p>
    <w:p>
      <w:pPr>
        <w:pStyle w:val="1"/>
        <w:widowControl w:val="off"/>
      </w:pPr>
      <w:r>
        <w:rPr/>
        <w:t>Beck(1992)의 재귀적 근대화 시각과 결합하면, 이 정당성 긴장은 단순한 제도 설계 실패가 아닌 인식론적 조건의 문제로 이론화된다. 본 연구는 이를 하이브리드 거버넌스 조건에서의 정당성 인식 긴장(legitimacy perception tension)으로 개념화하며, 이것이 개인 수준에서 관리신뢰와 안전관리 긍정 인식이 정책수용성과 어떠한 연관 패턴을 보이는가를 탐색적으로 검토한다. 재귀적 근대화 조건에서 형식적 안전관리 신호가 확산적 신뢰 형성에 어떻게 기여하는지는 이론적으로 불확정적이며(Giddens, 1990; Luhmann, 1979), 이 불확정성은 경험적 분석을 통해 탐색될 필요가 있다.</w:t>
      </w:r>
    </w:p>
    <w:p>
      <w:pPr>
        <w:pStyle w:val="3"/>
        <w:widowControl w:val="off"/>
      </w:pPr>
      <w:r>
        <w:rPr/>
        <w:t>3. 정책수용성의 재해석과 신뢰 개념화</w:t>
      </w:r>
    </w:p>
    <w:p>
      <w:pPr>
        <w:pStyle w:val="1"/>
        <w:widowControl w:val="off"/>
      </w:pPr>
      <w:r>
        <w:rPr/>
        <w:t>본 연구는 정책수용성을 단순한 프라이버시 선호도의 표현이 아닌, 개인이 하이브리드 거버넌스 조건 하에서 거버넌스 기관의 권위를 정당한 것으로 인정하는 정도를 나타내는 정당성 인식의 행태적 지표(behavioral indicator of individual legitimacy perception)로 재해석한다. 기존 프라이버시 칼큘러스 모형(Dinev &amp; Hart, 2006; Acquisti &amp; Grossklags, 2005)과 신뢰 기반 수용 모형(Smith, Dinev, &amp; Xu, 2011)은 정책수용성을 개인적 위험-편익 계산이나 심리적 신뢰 지각의 결과로 이론화한다. 이 접근에서 신뢰는 기관의 능력·성실성·선의에 대한 개인의 심리적 지각 변수로 취급된다(Mayer, Davis, &amp; Schoorman, 1995). 이 이론화는 해석 프레임이 개인 심리에 고정됨으로써 개인의 정당성 인식이 거버넌스 맥락에 의해 구조화되는 방식을 포착하기 어렵다. Solove(2013)의 '동의 딜레마(consent dilemma)' 분석은 이 한계를 명확히 한다: 형식적 동의 메커니즘은 개인의 선호를 반영하는 것처럼 설계되어 있으나, 실제로는 거버넌스 배치가 개인의 정당성 인식을 구조화하는 조건과 분리하기 어렵다.</w:t>
      </w:r>
    </w:p>
    <w:p>
      <w:pPr>
        <w:pStyle w:val="1"/>
        <w:widowControl w:val="off"/>
      </w:pPr>
      <w:r>
        <w:rPr/>
        <w:t>이 재해석은 신뢰 구성개념의 이론적 위치도 정교화한다. 본 연구는 Luhmann(1979)의 구분을 거버넌스 제도 맥락에 적용하여 두 가지 신뢰 층위를 개념적으로 분리한다. 관리신뢰(management trust)는 특정 거버넌스 기관이 재난 데이터를 관리할 역량과 권위를 가진다는 개인의 인식</w:t>
      </w:r>
      <w:r>
        <w:rPr/>
        <w:t>—</w:t>
      </w:r>
      <w:r>
        <w:rPr/>
        <w:t>Mayer et al.(1995)의 역량 기반 신뢰(ability-based trust)와 대응되는</w:t>
      </w:r>
      <w:r>
        <w:rPr/>
        <w:t>—으로서</w:t>
      </w:r>
      <w:r>
        <w:rPr/>
        <w:t>, 불확실성 조건에서 형식적 안전관리 인증을 대신하는 개인 수준의 정당성 인식 기반을 구성한다. 제도적 신뢰(institutional trust)는 특정 성과 역량 평가와 독립적으로 형성되는 확산적·비특정적 기관 신뢰로서, Luhmann(1979)의 복잡성 축소 메커니즘에서 기관 신뢰가 수행하는 역할</w:t>
      </w:r>
      <w:r>
        <w:rPr/>
        <w:t>—불확실성이</w:t>
      </w:r>
      <w:r>
        <w:rPr/>
        <w:t xml:space="preserve"> 해소되지 않은 상태에서도 개인이 거버넌스 기관을 수용하는 판단을 내릴 수 있게 하는 인지적 자원</w:t>
      </w:r>
      <w:r>
        <w:rPr/>
        <w:t>—을</w:t>
      </w:r>
      <w:r>
        <w:rPr/>
        <w:t xml:space="preserve"> 개인 수준에서 포착한다. 관계적 신뢰의 거버넌스 중요성은 협력 거버넌스 문헌(Ansell &amp; Gash, 2008)과 절차적 공정성 연구(Tyler, 2006)에서 이미 인식되어 왔다. 본 연구의 차별적 분석 시각은 이 일반 명제가 아닌, 하이브리드 거버넌스 맥락의 불확실성 조건 하에서 관리신뢰와 안전관리 긍정 인식이 각각 정책수용성과 어떻게 연관되며, 이 연관성이 위험인식 수준에 따라 달라지는가라는 탐색적 질문에 있다.</w:t>
      </w:r>
    </w:p>
    <w:p>
      <w:pPr>
        <w:pStyle w:val="3"/>
        <w:widowControl w:val="off"/>
      </w:pPr>
      <w:r>
        <w:rPr/>
        <w:t>4. 개인 정당성 인식의 연관 경로: 탐색적 이론화</w:t>
      </w:r>
    </w:p>
    <w:p>
      <w:pPr>
        <w:pStyle w:val="1"/>
        <w:widowControl w:val="off"/>
      </w:pPr>
      <w:r>
        <w:rPr/>
        <w:t>앞의 이론적 논의로부터 하이브리드 거버넌스 맥락에서 개인들이 정당성 인식을 형성하는 세 가지 개념적 경로가 탐색적으로 도출된다.</w:t>
      </w:r>
    </w:p>
    <w:p>
      <w:pPr>
        <w:pStyle w:val="1"/>
        <w:widowControl w:val="off"/>
      </w:pPr>
      <w:r>
        <w:rPr/>
        <w:t>경로 1 직접 인정 경로(Direct Recognition Pathway): Beck(1992)의 재귀적 근대화 이론과 Luhmann(1979)의 복잡성 축소 메커니즘은 하이브리드 거버넌스 조건에서 개인이 정책수용성을 판단하는 방식에 대한 이론적 예측을 제공한다. 불확실성이 높은 거버넌스 맥락에 놓인 개인들은 형식적 안전관리 인식과 함께 관계적으로 구축된 관리신뢰를 정당성 판단의 핵심 기반으로 삼는 경향이 이론적으로 시사된다. 관계적 신뢰가 복잡성 축소 자원으로서 형식적 신호의 기능을 부분적으로 대체할 수 있다는 Luhmann 적 메커니즘에 기초한다.</w:t>
      </w:r>
    </w:p>
    <w:p>
      <w:pPr>
        <w:pStyle w:val="1"/>
        <w:widowControl w:val="off"/>
      </w:pPr>
      <w:r>
        <w:rPr/>
        <w:t>경로 2 신뢰 형성 매개 경로(Trust Formation Mediation Pathway): 관리신뢰가 직접 경로를 통해 정책수용성과 연관되는 것과 별개로, 개인들은 관리신뢰를 통해 더 확산적인 제도적 신뢰를 형성하고 이를 경유하여 정책수용성에 이르는 간접 경로를 경험할 수 있다. 관리신뢰가 높은 개인들은 거버넌스 기관의 데이터 활용을 제도화된 역량의 범위 내에 있는 것으로 해석하는 인지적 맥락을 보유하며, 이 맥락은 특정 역량 평가와 분리된 확산적 제도적 신뢰의 형성을 용이하게 한다. 부분 매개가 완전 매개보다 이론적으로 적합한 이유는, 재난이라는 고긴급성 맥락에서 관리신뢰가 확산적 신뢰 형성이라는 성찰적 과정을 우회하여 즉각적으로 정책수용성과 연관될 수 있기 때문이다.</w:t>
      </w:r>
    </w:p>
    <w:p>
      <w:pPr>
        <w:pStyle w:val="1"/>
        <w:widowControl w:val="off"/>
      </w:pPr>
      <w:r>
        <w:rPr/>
        <w:t>경로 3 불확실성 조절 경로(Uncertainty Moderation Pathway): 위험사회론의 개인 수준 함의는, 위험인식의 정도가 정당성 인식 형성에서 관리신뢰의 상대적 중요성을 조절할 수 있다는 것이다. Beck(1992)의 이론적 시각에 따르면, 위험인식이 높은 개인들은 형식적 거버넌스 신호에 대한 재귀적 성찰이 심화된 상태에 있으며, 이 조건에서 Luhmann(1979)의 복잡성 축소 메커니즘은 형식적 신호보다 관계적으로 구축된 관리신뢰를 통해 더 강하게 작동할 것이 예측된다. Giddens(1990)의 언어로, 위험인식이 높은 조건에서 '신뢰 고정점(anchor)' 역할이 형식적 전문성에서 관계적 신뢰로 이전되는 것이다. 이를 본 연구는 Luhmann-Giddens 계통의 신뢰이론을 Beck의 위험사회론적 맥락과 결합하여 신뢰 대체(trust substitution) 메커니즘으로 개념화한다.</w:t>
      </w:r>
    </w:p>
    <w:p>
      <w:pPr>
        <w:pStyle w:val="1"/>
        <w:widowControl w:val="off"/>
      </w:pPr>
      <w:r>
        <w:rPr/>
        <w:t>형식적 안전관리 인식과 확산적 제도 신뢰 간 연관의 방향성에 관한 이론적 주의. 재귀적 근대화가 진행되는 조건에서 형식적 안전관리 신호가 개인의 확산적 신뢰 형성에 어떻게 기여하는지는 이론적으로 불확정적이다(Giddens, 1990; Luhmann, 1979). 안전관리 긍정 인식이 정책수용성 및 제도적 신뢰와 맺는 연관의 방향과 크기는 경험적 탐색을 통해 확인될 필요가 있으며, 본 연구는 분석 결과의 해석에서 이 이론적 불확정성을 명시적으로 고려한다.</w:t>
      </w:r>
      <w:r>
        <w:rPr/>
      </w:r>
      <w:r>
        <w:rPr/>
      </w:r>
      <w:r>
        <w:rPr/>
      </w:r>
      <w:r>
        <w:rPr/>
      </w:r>
    </w:p>
    <w:p>
      <w:pPr>
        <w:pStyle w:val="3"/>
        <w:widowControl w:val="off"/>
      </w:pPr>
      <w:r>
        <w:rPr/>
        <w:t>5. 연구모형 및 가설</w:t>
      </w:r>
    </w:p>
    <w:p>
      <w:pPr>
        <w:pStyle w:val="1"/>
        <w:widowControl w:val="off"/>
      </w:pPr>
      <w:r>
        <w:rPr/>
        <w:t>앞의 이론적 논의로부터 네 가지 가설이 도출된다. H1과 H2는 경로 1(직접 인정)로부터, H3는 경로 2(신뢰 형성 매개)로부터, H4는 경로 3(불확실성 조절)으로부터 도출된다.</w:t>
      </w:r>
    </w:p>
    <w:p>
      <w:pPr>
        <w:pStyle w:val="4"/>
        <w:widowControl w:val="off"/>
      </w:pPr>
      <w:r>
        <w:rPr/>
        <w:t>1) 관리신뢰의 상대적 정당성 인식 연관 효과</w:t>
      </w:r>
    </w:p>
    <w:p>
      <w:pPr>
        <w:pStyle w:val="1"/>
        <w:widowControl w:val="off"/>
      </w:pPr>
      <w:r>
        <w:rPr/>
        <w:t>하이브리드 거버넌스 조건의 불확실성 하에서, Beck(1992)의 재귀적 근대화 이론과 Luhmann(1979)의 복잡성 축소 메커니즘은 개인들이 정책수용성을 판단하는 과정에서 형식적 안전관리 인식과 함께 관계적으로 구축된 관리신뢰에도 의존하는 경향을 이론적으로 시사한다. 불확실성이 완전히 해소되지 않는 조건에서 관계적 신뢰는 개인이 거버넌스 기관의 권위를 정당한 것으로 수용하도록 하는 인지적 자원으로 기능한다. 이에 따라 다음과 같은 가설 1을 도출하였다.</w:t>
      </w:r>
    </w:p>
    <w:p>
      <w:pPr>
        <w:pStyle w:val="1"/>
        <w:widowControl w:val="off"/>
        <w:rPr/>
      </w:pPr>
    </w:p>
    <w:p>
      <w:pPr>
        <w:pStyle w:val="15"/>
        <w:widowControl w:val="off"/>
      </w:pPr>
      <w:r>
        <w:rPr/>
        <w:t>가설 1: 관리신뢰는 재난 관련 개인정보 활용에 대한 정책수용성과 정(+)의 방향으로 유의하게 연관될 것이며, 안전관리 긍정 인식 역시 정책수용성과 정(+)의 방향으로 유의하게 연관될 것이다.</w:t>
      </w:r>
    </w:p>
    <w:p>
      <w:pPr>
        <w:pStyle w:val="15"/>
        <w:widowControl w:val="off"/>
        <w:rPr/>
      </w:pPr>
    </w:p>
    <w:p>
      <w:pPr>
        <w:pStyle w:val="4"/>
        <w:widowControl w:val="off"/>
      </w:pPr>
      <w:r>
        <w:rPr/>
        <w:t>2) 위험인식의 정책수용성 연관 효과</w:t>
      </w:r>
    </w:p>
    <w:p>
      <w:pPr>
        <w:pStyle w:val="1"/>
        <w:widowControl w:val="off"/>
      </w:pPr>
      <w:r>
        <w:rPr/>
        <w:t>위험사회론(Beck, 1992)에 따르면, 데이터 활용과 관련된 위험을 높게 인식하는 개인들은 거버넌스 기관의 관리 역량과 의도에 대한 재귀적 성찰이 심화된 상태에 있다. 이 상태에서 형식적 거버넌스 신호의 불확실성 해소 기능에 대한 개인의 회의가 강화되며, 이는 개인 수준에서 정책수용성에 대한 부적 연관 패턴으로 나타날 것이 예측된다. 이에 따라 다음과 같은 가설 2를 도출하였다.</w:t>
      </w:r>
    </w:p>
    <w:p>
      <w:pPr>
        <w:pStyle w:val="1"/>
        <w:widowControl w:val="off"/>
        <w:rPr/>
      </w:pPr>
    </w:p>
    <w:p>
      <w:pPr>
        <w:pStyle w:val="15"/>
        <w:widowControl w:val="off"/>
      </w:pPr>
      <w:r>
        <w:rPr/>
        <w:t>가설 2: 위험인식은 재난 관련 개인정보 활용에 대한 정책수용성과 부(-)의 방향으로 유의하게 연관될 것이다.</w:t>
      </w:r>
    </w:p>
    <w:p>
      <w:pPr>
        <w:pStyle w:val="15"/>
        <w:widowControl w:val="off"/>
        <w:rPr/>
      </w:pPr>
    </w:p>
    <w:p>
      <w:pPr>
        <w:pStyle w:val="4"/>
        <w:widowControl w:val="off"/>
      </w:pPr>
      <w:r>
        <w:rPr/>
        <w:t>3) 제도적 신뢰의 부분 매개 효과</w:t>
      </w:r>
    </w:p>
    <w:p>
      <w:pPr>
        <w:pStyle w:val="1"/>
        <w:widowControl w:val="off"/>
      </w:pPr>
      <w:r>
        <w:rPr/>
        <w:t>Luhmann(1979)의 이론적 시각에서, 관리신뢰가 높은 개인들은 거버넌스 기관에 대한 확산적 제도적 신뢰를 형성하는 인지적 맥락을 보유하며, 이 제도적 신뢰는 관리신뢰와 독립적인 정당성 인식 자원으로서 정책수용성과 연관된다. 부분 매개가 완전 매개보다 적합한 이유는, 재난이라는 고긴급성 맥락에서 관리신뢰가 제도적 신뢰 형성이라는 성찰적 과정을 거치지 않고 정책수용성과 직접 연관될 수 있기 때문이다. 이에 따라 다음과 같은 가설 3을 도출하였다.</w:t>
      </w:r>
    </w:p>
    <w:p>
      <w:pPr>
        <w:pStyle w:val="1"/>
        <w:widowControl w:val="off"/>
        <w:rPr/>
      </w:pPr>
    </w:p>
    <w:p>
      <w:pPr>
        <w:pStyle w:val="15"/>
        <w:widowControl w:val="off"/>
      </w:pPr>
      <w:r>
        <w:rPr/>
        <w:t>가설 3: 제도적 신뢰는 관리신뢰와 정책수용성 사이에서 유의한 간접 연관 패턴을 보일 것이며, 제도적 신뢰 포함 후에도 관리신뢰의 직접 연관 효과는 유의하게 유지될 것이다.</w:t>
      </w:r>
    </w:p>
    <w:p>
      <w:pPr>
        <w:pStyle w:val="15"/>
        <w:widowControl w:val="off"/>
        <w:rPr/>
      </w:pPr>
    </w:p>
    <w:p>
      <w:pPr>
        <w:pStyle w:val="4"/>
        <w:widowControl w:val="off"/>
      </w:pPr>
      <w:r>
        <w:rPr/>
        <w:t>4) 위험인식의 조절 효과</w:t>
      </w:r>
    </w:p>
    <w:p>
      <w:pPr>
        <w:pStyle w:val="1"/>
        <w:widowControl w:val="off"/>
      </w:pPr>
      <w:r>
        <w:rPr/>
        <w:t>Beck(1992)의 재귀적 근대화론과 Luhmann(1979)-Giddens(1990)의 신뢰 대체 메커니즘에 따르면, 위험인식이 높아질수록 형식적 거버넌스 신호의 인지적 기능은 약화되고 관리신뢰의 복잡성 축소 기능은 상대적으로 강화된다. 상호작용 계수의 방향은 이론적 연역으로부터 양(+)이 예측된다. 이에 따라 다음과 같은 가설 4를 도출하였다.</w:t>
      </w:r>
    </w:p>
    <w:p>
      <w:pPr>
        <w:pStyle w:val="1"/>
        <w:widowControl w:val="off"/>
        <w:rPr/>
      </w:pPr>
    </w:p>
    <w:p>
      <w:pPr>
        <w:pStyle w:val="15"/>
        <w:widowControl w:val="off"/>
      </w:pPr>
      <w:r>
        <w:rPr/>
        <w:t>가설 4: 관리신뢰와 위험인식의 상호작용은 정책수용성과 유의하게 연관될 것이며, 그 상호작용 계수는 양(+)의 방향을 가질 것이다</w:t>
      </w:r>
      <w:r>
        <w:rPr/>
        <w:t>—위험인식이</w:t>
      </w:r>
      <w:r>
        <w:rPr/>
        <w:t xml:space="preserve"> 높을수록 관리신뢰의 정적 연관이 증폭되고, 낮을수록 약화되는 패턴이 탐색적으로 검토된다.</w:t>
      </w:r>
    </w:p>
    <w:p>
      <w:pPr>
        <w:pStyle w:val="6"/>
        <w:widowControl w:val="off"/>
      </w:pPr>
      <w:r>
        <w:rPr/>
        <w:t>&lt;그림 1: 연구 모형&gt;</w:t>
      </w:r>
    </w:p>
    <w:p>
      <w:pPr>
        <w:pStyle w:val="6"/>
        <w:widowControl w:val="off"/>
      </w:pPr>
      <w:r>
        <w:drawing>
          <wp:inline distT="0" distB="0" distL="0" distR="0">
            <wp:extent cx="5220081" cy="4211066"/>
            <wp:effectExtent l="0" t="0" r="0" b="0"/>
            <wp:docPr id="1" name="그림 %d 1"/>
            <wp:cNvGraphicFramePr/>
            <a:graphic>
              <a:graphicData uri="http://schemas.openxmlformats.org/drawingml/2006/picture">
                <pic:pic>
                  <pic:nvPicPr>
                    <pic:cNvPr id="0" name="C:\Temp\Hnc\BinData\EMB0000757c0a81.bmp"/>
                    <pic:cNvPicPr/>
                  </pic:nvPicPr>
                  <pic:blipFill>
                    <a:blip r:embed="rId1"/>
                    <a:stretch>
                      <a:fillRect/>
                    </a:stretch>
                  </pic:blipFill>
                  <pic:spPr>
                    <a:xfrm>
                      <a:off x="0" y="0"/>
                      <a:ext cx="5220081" cy="4211066"/>
                    </a:xfrm>
                    <a:prstGeom prst="rect">
                      <a:avLst/>
                    </a:prstGeom>
                    <a:effectLst/>
                  </pic:spPr>
                </pic:pic>
              </a:graphicData>
            </a:graphic>
          </wp:inline>
        </w:drawing>
      </w:r>
    </w:p>
    <w:p>
      <w:pPr>
        <w:pStyle w:val="14"/>
        <w:widowControl w:val="off"/>
        <w:jc w:val="center"/>
      </w:pPr>
      <w:r>
        <w:rPr/>
        <w:t>주: 모든 경로는 개인 수준 인식 변수 간 연관성이며, 거버넌스 시스템의 구조적 속성에 대한 주장이 아니다.</w:t>
      </w:r>
    </w:p>
    <w:p>
      <w:pPr>
        <w:pStyle w:val="14"/>
        <w:widowControl w:val="off"/>
        <w:jc w:val="center"/>
        <w:rPr/>
      </w:pPr>
    </w:p>
    <w:p>
      <w:pPr>
        <w:pStyle w:val="2"/>
        <w:widowControl w:val="off"/>
      </w:pPr>
      <w:r>
        <w:rPr/>
        <w:t>Ⅲ</w:t>
      </w:r>
      <w:r>
        <w:rPr/>
        <w:t>. 연구 설계</w:t>
      </w:r>
    </w:p>
    <w:p>
      <w:pPr>
        <w:pStyle w:val="3"/>
        <w:widowControl w:val="off"/>
      </w:pPr>
      <w:r>
        <w:rPr/>
        <w:t>1. 연구대상 및 자료 수집</w:t>
      </w:r>
    </w:p>
    <w:p>
      <w:pPr>
        <w:pStyle w:val="1"/>
        <w:widowControl w:val="off"/>
      </w:pPr>
      <w:r>
        <w:rPr/>
        <w:t xml:space="preserve">본 연구는 한국행정연구원이 수행한 </w:t>
      </w:r>
      <w:r>
        <w:rPr/>
        <w:t>「재난</w:t>
      </w:r>
      <w:r>
        <w:rPr/>
        <w:t xml:space="preserve"> 상황에서의 개인정보 거버넌스와 정책수용성</w:t>
      </w:r>
      <w:r>
        <w:rPr/>
        <w:t>」</w:t>
      </w:r>
      <w:r>
        <w:rPr/>
        <w:t xml:space="preserve"> 연구의 일환으로, 2023년 5월에 실시된 구조화 설문조사 자료를 활용한다. 분석에 사용된 자료는 한국 성인 일반 국민을 대상으로 수집된 횡단면 설문 데이터로, 최종 유효 응답자는 1,094명이다. 설문은 재난 개인정보 활용, 관리 역량에 대한 신뢰, 위험인식, 제도적 신뢰, 정책수용성 등 거버넌스 정당성과 직결된 구성개념들을 측정하도록 설계되었으며, 복수의 재난 유형(감염병 재난, 자연재해, 사이버 보안 위기)에 걸친 매트릭스 문항 구조를 포함한다. 표본은 성별·연령·지역을 기준으로 한 비례 층화추출(proportional stratified sampling) 방식으로 설계되었으며, 한국갤럽조사연구소가 온라인 패널을 통한 웹조사로 자료를 수집하였다.</w:t>
      </w:r>
    </w:p>
    <w:p>
      <w:pPr>
        <w:pStyle w:val="1"/>
        <w:widowControl w:val="off"/>
      </w:pPr>
      <w:r>
        <w:rPr/>
        <w:t>표본의 인구통계 구성은 다음과 같다. 성별은 남성 52.0%(n=569), 여성 48.0%(n=525)이며, 연령은 20대 21.8%(n=239), 30대 22.9%(n=250), 40대 27.8%(n=304), 50대 27.5%(n=301)로 분포한다. 교육수준은 고졸 이하 11.3%(n=124), 대졸 46.9%(n=513), 대학원 이상 41.8%(n=457)이며, 소득수준은 중간 계층(4구간 중 3분위)이 46.9%로 가장 많다.</w:t>
      </w:r>
    </w:p>
    <w:p>
      <w:pPr>
        <w:pStyle w:val="6"/>
        <w:widowControl w:val="off"/>
      </w:pPr>
      <w:r>
        <w:rPr/>
        <w:t>&lt;표 1 : 조사 개요&gt;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804"/>
        <w:gridCol w:w="3184"/>
        <w:gridCol w:w="3184"/>
      </w:tblGrid>
      <w:tr>
        <w:trPr>
          <w:trHeight w:val="0"/>
          <w:tblHeader/>
        </w:trPr>
        <w:tc>
          <w:tcPr>
            <w:tcW w:w="18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항목</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일반국민 조사</w:t>
            </w:r>
          </w:p>
        </w:tc>
        <w:tc>
          <w:tcPr>
            <w:tcW w:w="31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실무자 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시기</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2023년 5월</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방식</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온라인 웹조사 (패널 기반)</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이메일 설문조사</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의뢰·주관</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한국행정연구원</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실시</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한국갤럽조사연구소</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대상</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만 19</w:t>
            </w:r>
            <w:r>
              <w:rPr>
                <w:sz w:val="18"/>
              </w:rPr>
              <w:t>–</w:t>
            </w:r>
            <w:r>
              <w:rPr>
                <w:sz w:val="18"/>
              </w:rPr>
              <w:t>59세 한국 성인 일반 국민</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재난관리 공무원 (행안부·광역·기초자치단체·소방청·경찰청 등)</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유효 표본</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1,094명</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별도 표본 (비교 분석용)</w:t>
            </w:r>
          </w:p>
        </w:tc>
      </w:tr>
      <w:tr>
        <w:trPr>
          <w:trHeight w:val="0"/>
        </w:trPr>
        <w:tc>
          <w:tcPr>
            <w:tcW w:w="18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표본 설계</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성별·연령·지역 비례 층화추출</w:t>
            </w:r>
          </w:p>
        </w:tc>
        <w:tc>
          <w:tcPr>
            <w:tcW w:w="31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기관 유형별 할당 이메일 발송</w:t>
            </w:r>
          </w:p>
        </w:tc>
      </w:tr>
      <w:tr>
        <w:trPr>
          <w:trHeight w:val="0"/>
        </w:trPr>
        <w:tc>
          <w:tcPr>
            <w:tcW w:w="18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조사 도구</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 및 이분형)</w:t>
            </w:r>
          </w:p>
        </w:tc>
        <w:tc>
          <w:tcPr>
            <w:tcW w:w="31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구조화 자기보고식 설문 (5점 리커트)</w:t>
            </w:r>
          </w:p>
        </w:tc>
      </w:tr>
    </w:tbl>
    <w:p>
      <w:pPr>
        <w:pStyle w:val="16"/>
        <w:widowControl w:val="off"/>
        <w:spacing w:after="80" w:line="278"/>
        <w:jc w:val="both"/>
      </w:pPr>
      <w:r>
        <w:rPr>
          <w:sz w:val="18"/>
        </w:rPr>
        <w:t>주: 본 연구의 주 분석은 일반국민 표본(N=1,094)을 대상으로 수행하며, 실무자 표본은 강건성 검토를 위한 비교 집단으로 활용된다.</w:t>
      </w:r>
    </w:p>
    <w:p>
      <w:pPr>
        <w:pStyle w:val="1"/>
        <w:widowControl w:val="off"/>
      </w:pPr>
      <w:r>
        <w:rPr/>
        <w:t>한국 재난 데이터 거버넌스의 제도적 맥락. 감염병예방법에 근거한 위치정보 수집 및 접촉자 추적은 강제적 명령·통제(command-and-control) 논리를 따르는 반면, 개인정보보호법상 안전관리 기준, 감사 체계, 개인정보 보호책임자 제도는 성과 기반 사후규제(post-regulatory accountability) 논리에 기반한다. 한국은 강력한 디지털 인프라와 높은 개인정보보호 규제 수준을 갖추면서도 코로나19 팬데믹을 통해 대규모 재난 데이터 거버넌스를 경험한 사례로서, 하이브리드 거버넌스 조건에서 개인의 정당성 인식을 탐색적으로 검토하는 데 이론적으로 적합한 맥락을 제공한다.</w:t>
      </w:r>
    </w:p>
    <w:p>
      <w:pPr>
        <w:pStyle w:val="3"/>
        <w:widowControl w:val="off"/>
      </w:pPr>
      <w:r>
        <w:rPr/>
        <w:t>2. 변수의 측정 및 조작화</w:t>
      </w:r>
    </w:p>
    <w:p>
      <w:pPr>
        <w:pStyle w:val="1"/>
        <w:widowControl w:val="off"/>
      </w:pPr>
      <w:r>
        <w:rPr/>
        <w:t>핵심 분석 변수는 이론적 구성개념</w:t>
      </w:r>
      <w:r>
        <w:rPr/>
        <w:t>—관리신뢰</w:t>
      </w:r>
      <w:r>
        <w:rPr/>
        <w:t>, 위험인식, 안전관리 긍정 인식(safe_management), 제도적 신뢰, 정책수용성</w:t>
      </w:r>
      <w:r>
        <w:rPr/>
        <w:t>—이</w:t>
      </w:r>
      <w:r>
        <w:rPr/>
        <w:t xml:space="preserve"> 거버넌스 정당성 동학의 상이한 차원을 포착하도록 설계되었다.</w:t>
      </w:r>
    </w:p>
    <w:p>
      <w:pPr>
        <w:pStyle w:val="1"/>
        <w:widowControl w:val="off"/>
      </w:pPr>
      <w:r>
        <w:rPr/>
        <w:t>정책수용성(consent)은 재난 상황에서 개인정보를 제공하는 것에 대한 응답자의 수용 의향으로, 3개 문항(q7, q8, q9)의 평균으로 구성하였다(</w:t>
      </w:r>
      <w:r>
        <w:rPr/>
        <w:t>α</w:t>
      </w:r>
      <w:r>
        <w:rPr/>
        <w:t>=.876, M=3.61, SD=0.77). 본 연구의 이론적 입장</w:t>
      </w:r>
      <w:r>
        <w:rPr/>
        <w:t>—정책수용성을</w:t>
      </w:r>
      <w:r>
        <w:rPr/>
        <w:t xml:space="preserve"> 단순한 개인 태도의 집합이 아닌, 거버넌스 시스템이 공중으로부터 정당성을 인정받는 행태적 지표로 재정의한다</w:t>
      </w:r>
      <w:r>
        <w:rPr/>
        <w:t>—에</w:t>
      </w:r>
      <w:r>
        <w:rPr/>
        <w:t xml:space="preserve"> 따른 것이다(Saurugger, 2010; Luhmann, 1979).</w:t>
      </w:r>
    </w:p>
    <w:p>
      <w:pPr>
        <w:pStyle w:val="1"/>
        <w:widowControl w:val="off"/>
      </w:pPr>
      <w:r>
        <w:rPr/>
        <w:t>관리신뢰(manage_trust)는 재난 개인정보를 관리하는 기관의 구체적 운영 역량에 대한 응답자의 신뢰를 측정하는 기능적 신뢰 구성개념이다. Luhmann(1979)의 특정 역량 기반 신뢰 구분, Mayer et al.(1995)의 능력 기반 신뢰(ability-based trust) 개념과 이론적으로 대응하며, 2개 문항(q5, q6)의 평균으로 측정하였다(</w:t>
      </w:r>
      <w:r>
        <w:rPr/>
        <w:t>α</w:t>
      </w:r>
      <w:r>
        <w:rPr/>
        <w:t>=.834, M=3.80, SD=0.71).</w:t>
      </w:r>
    </w:p>
    <w:p>
      <w:pPr>
        <w:pStyle w:val="1"/>
        <w:widowControl w:val="off"/>
      </w:pPr>
      <w:r>
        <w:rPr/>
        <w:t>위험인식(risk)은 재난 상황에서 개인정보 활용으로 인한 잠재적 위험에 대한 주관적 인식으로, 2개 문항(q21, q22)의 평균으로 구성하였다(</w:t>
      </w:r>
      <w:r>
        <w:rPr/>
        <w:t>α</w:t>
      </w:r>
      <w:r>
        <w:rPr/>
        <w:t>=.833, M=3.82, SD=0.78). 이론적으로 Beck(1992)의 '제조된 불확실성'의 심리적 지표로 기능하며, 관리신뢰와의 상호작용을 통해 위험사회 조건 하에서 거버넌스 정당성 역학을 검토하는 조절변수로 활용된다.</w:t>
      </w:r>
    </w:p>
    <w:p>
      <w:pPr>
        <w:pStyle w:val="1"/>
        <w:widowControl w:val="off"/>
      </w:pPr>
      <w:r>
        <w:rPr/>
        <w:t>제도적 신뢰(trust)는 특정 관리 역량 평가를 초월하는 확산적·비특정적 기관 신뢰를 단일 문항(q26_1, M=3.16, SD=0.85)으로 측정하였다. 단일 문항 측정에 대한 측정론적 우려는 정치학 및 거버넌스 연구에서 확립된 관행으로 부분적으로 완화된다(Citrin, 1974; Newton, 2001; Van der Meer &amp; Dekker, 2011). 다만 단일 문항 측정이 구성개념 타당도의 제약을 부과한다는 점을 측정상의 한계로 명시한다.</w:t>
      </w:r>
    </w:p>
    <w:p>
      <w:pPr>
        <w:pStyle w:val="1"/>
        <w:widowControl w:val="off"/>
      </w:pPr>
      <w:r>
        <w:rPr/>
        <w:t>안전관리 긍정 인식(safe_management)은 응답자가 재난 대응 정부기관에 의해 수집된 자신의 개인정보가 안전하게 관리되고 있다고 생각하는지를 단일 이분 문항(q25)으로 측정한 후 재코딩하였다. q25의 원코딩(1=예, 2=아니오)을 safe_management = 1 if q25==1 else 0으로 재코딩하여 해석 방향을 일치시켰다(safe_management=1: 응답자 약 47%가 안전하게 관리된다고 인식). 계수가 양(+)이면 안전하게 관리된다고 인식하는 응답자가 그렇지 않은 응답자보다 정책수용성이 높음을 의미한다. 본 연구에서 이 변수는 원설문의 설계 제약 내에서 안전관리 인식의 방향을 포착하는 최소 실용 측정치로 사용되었다.</w:t>
      </w:r>
    </w:p>
    <w:p>
      <w:pPr>
        <w:pStyle w:val="6"/>
        <w:widowControl w:val="off"/>
      </w:pPr>
      <w:r>
        <w:rPr/>
        <w:t>&lt;표 2 : 변수 측정 및 기술통계 요약(N=1,094)&gt;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010"/>
        <w:gridCol w:w="1328"/>
        <w:gridCol w:w="784"/>
        <w:gridCol w:w="508"/>
        <w:gridCol w:w="508"/>
        <w:gridCol w:w="508"/>
        <w:gridCol w:w="2524"/>
      </w:tblGrid>
      <w:tr>
        <w:trPr>
          <w:trHeight w:val="0"/>
          <w:tblHeader/>
        </w:trPr>
        <w:tc>
          <w:tcPr>
            <w:tcW w:w="2010"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구성개념</w:t>
            </w:r>
          </w:p>
        </w:tc>
        <w:tc>
          <w:tcPr>
            <w:tcW w:w="132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변수명</w:t>
            </w:r>
          </w:p>
        </w:tc>
        <w:tc>
          <w:tcPr>
            <w:tcW w:w="78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문항</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α</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w:t>
            </w:r>
          </w:p>
        </w:tc>
        <w:tc>
          <w:tcPr>
            <w:tcW w:w="50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SD</w:t>
            </w:r>
          </w:p>
        </w:tc>
        <w:tc>
          <w:tcPr>
            <w:tcW w:w="252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이론적 역할</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정책수용성</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consent</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q7,8,9(3)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.876</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3.61</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0.77</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종속변수 / 정당성 행태적 지표</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manage_trust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q5,6(2)</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.834</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3.80</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핵심 독립변수 / 기능적 정당성 자원</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risk</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q21,22(2)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.833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3.82</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0.78</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독립·조절변수 / 불확실성 조건</w:t>
            </w:r>
          </w:p>
        </w:tc>
      </w:tr>
      <w:tr>
        <w:trPr>
          <w:trHeight w:val="0"/>
        </w:trPr>
        <w:tc>
          <w:tcPr>
            <w:tcW w:w="2010"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제도적 신뢰</w:t>
            </w:r>
          </w:p>
        </w:tc>
        <w:tc>
          <w:tcPr>
            <w:tcW w:w="132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trust</w:t>
            </w:r>
          </w:p>
        </w:tc>
        <w:tc>
          <w:tcPr>
            <w:tcW w:w="78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q26_1(1)</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3.16</w:t>
            </w:r>
          </w:p>
        </w:tc>
        <w:tc>
          <w:tcPr>
            <w:tcW w:w="50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0.85</w:t>
            </w:r>
          </w:p>
        </w:tc>
        <w:tc>
          <w:tcPr>
            <w:tcW w:w="252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매개변수 / 확산적 거버넌스 신뢰</w:t>
            </w:r>
          </w:p>
        </w:tc>
      </w:tr>
      <w:tr>
        <w:trPr>
          <w:trHeight w:val="0"/>
        </w:trPr>
        <w:tc>
          <w:tcPr>
            <w:tcW w:w="2010"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132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safety</w:t>
            </w:r>
          </w:p>
        </w:tc>
        <w:tc>
          <w:tcPr>
            <w:tcW w:w="78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q25(이분)</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1.53</w:t>
            </w:r>
          </w:p>
        </w:tc>
        <w:tc>
          <w:tcPr>
            <w:tcW w:w="50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0.50</w:t>
            </w:r>
          </w:p>
        </w:tc>
        <w:tc>
          <w:tcPr>
            <w:tcW w:w="252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형식적 거버넌스 신호 지표</w:t>
            </w:r>
          </w:p>
        </w:tc>
      </w:tr>
    </w:tbl>
    <w:p>
      <w:pPr>
        <w:pStyle w:val="16"/>
        <w:widowControl w:val="off"/>
        <w:spacing w:after="80" w:line="278"/>
        <w:jc w:val="both"/>
      </w:pPr>
      <w:r>
        <w:rPr>
          <w:sz w:val="18"/>
        </w:rPr>
        <w:t>주: α는 Cronbach's alpha (α&gt;.70 기준, Nunnally, 1978). 안전관리 긍정 인식(safe_management)은 q25를 재코딩한 이분형 변수이다(1=안전하게 관리된다고 인식, 0=그렇지 않음). 응답자 약 47%가 safe_management=1(안전하게 관리된다고 인식)을 선택하였다. 단일 문항 변수는 α 산출 불가.</w:t>
      </w:r>
      <w:r>
        <w:rPr>
          <w:sz w:val="18"/>
        </w:rPr>
      </w:r>
      <w:r>
        <w:rPr>
          <w:sz w:val="18"/>
        </w:rPr>
      </w:r>
      <w:r>
        <w:rPr>
          <w:sz w:val="18"/>
        </w:rPr>
      </w:r>
      <w:r>
        <w:rPr>
          <w:sz w:val="18"/>
        </w:rPr>
      </w:r>
      <w:r>
        <w:rPr>
          <w:sz w:val="18"/>
        </w:rPr>
      </w:r>
      <w:r>
        <w:rPr>
          <w:sz w:val="18"/>
        </w:rPr>
      </w:r>
    </w:p>
    <w:p>
      <w:pPr>
        <w:pStyle w:val="6"/>
        <w:widowControl w:val="off"/>
      </w:pPr>
      <w:r>
        <w:rPr/>
        <w:t>&lt;표 3 : 핵심 변수 간 상관행렬 (N=1,094)&gt;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189"/>
        <w:gridCol w:w="1293"/>
        <w:gridCol w:w="1423"/>
        <w:gridCol w:w="1088"/>
        <w:gridCol w:w="891"/>
        <w:gridCol w:w="1286"/>
      </w:tblGrid>
      <w:tr>
        <w:trPr>
          <w:trHeight w:val="0"/>
          <w:tblHeader/>
        </w:trPr>
        <w:tc>
          <w:tcPr>
            <w:tcW w:w="2189"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29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consent</w:t>
            </w:r>
          </w:p>
        </w:tc>
        <w:tc>
          <w:tcPr>
            <w:tcW w:w="14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manage_trust</w:t>
            </w:r>
          </w:p>
        </w:tc>
        <w:tc>
          <w:tcPr>
            <w:tcW w:w="108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risk</w:t>
            </w:r>
          </w:p>
        </w:tc>
        <w:tc>
          <w:tcPr>
            <w:tcW w:w="89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trust</w:t>
            </w:r>
          </w:p>
        </w:tc>
        <w:tc>
          <w:tcPr>
            <w:tcW w:w="12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safety</w:t>
            </w: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consent</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manage_trust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.693</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risk</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.147</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.060*</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trust</w:t>
            </w:r>
          </w:p>
        </w:tc>
        <w:tc>
          <w:tcPr>
            <w:tcW w:w="129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.422</w:t>
            </w:r>
            <w:r>
              <w:rPr>
                <w:b/>
              </w:rPr>
              <w:t>*</w:t>
            </w:r>
          </w:p>
        </w:tc>
        <w:tc>
          <w:tcPr>
            <w:tcW w:w="14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.358</w:t>
            </w:r>
            <w:r>
              <w:rPr>
                <w:b/>
              </w:rPr>
              <w:t>*</w:t>
            </w:r>
          </w:p>
        </w:tc>
        <w:tc>
          <w:tcPr>
            <w:tcW w:w="108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.354</w:t>
            </w:r>
            <w:r>
              <w:rPr>
                <w:b/>
              </w:rPr>
              <w:t>*</w:t>
            </w:r>
          </w:p>
        </w:tc>
        <w:tc>
          <w:tcPr>
            <w:tcW w:w="89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1.000</w:t>
            </w:r>
          </w:p>
        </w:tc>
        <w:tc>
          <w:tcPr>
            <w:tcW w:w="12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2189"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safe_management</w:t>
            </w:r>
          </w:p>
        </w:tc>
        <w:tc>
          <w:tcPr>
            <w:tcW w:w="129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.313</w:t>
            </w:r>
            <w:r>
              <w:rPr>
                <w:b/>
              </w:rPr>
              <w:t>*</w:t>
            </w:r>
          </w:p>
        </w:tc>
        <w:tc>
          <w:tcPr>
            <w:tcW w:w="14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.251</w:t>
            </w:r>
            <w:r>
              <w:rPr>
                <w:b/>
              </w:rPr>
              <w:t>*</w:t>
            </w:r>
          </w:p>
        </w:tc>
        <w:tc>
          <w:tcPr>
            <w:tcW w:w="108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.383</w:t>
            </w:r>
            <w:r>
              <w:rPr>
                <w:b/>
              </w:rPr>
              <w:t>*</w:t>
            </w:r>
          </w:p>
        </w:tc>
        <w:tc>
          <w:tcPr>
            <w:tcW w:w="89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.582</w:t>
            </w:r>
            <w:r>
              <w:rPr>
                <w:b/>
              </w:rPr>
              <w:t>*</w:t>
            </w:r>
          </w:p>
        </w:tc>
        <w:tc>
          <w:tcPr>
            <w:tcW w:w="12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1.000</w:t>
            </w:r>
          </w:p>
        </w:tc>
      </w:tr>
    </w:tbl>
    <w:p>
      <w:pPr>
        <w:pStyle w:val="16"/>
        <w:widowControl w:val="off"/>
        <w:spacing w:after="80" w:line="278"/>
        <w:jc w:val="both"/>
      </w:pPr>
      <w:r>
        <w:rPr>
          <w:sz w:val="18"/>
        </w:rPr>
        <w:t>주: ***p&lt;.001, *p&lt;.05. 상관계수는 Pearson r. 관리신뢰는 정책수용성과 가장 강한 정적 상관(r=.693***)을, 안전관리 긍정 인식(safe_management, 재코딩 후)은 정책수용성(r=+.313***) 및 제도적 신뢰(r=+.582***)와 유의한 정적 상관을 나타낸다.</w:t>
      </w:r>
      <w:r>
        <w:rPr>
          <w:sz w:val="18"/>
        </w:rPr>
      </w:r>
      <w:r>
        <w:rPr>
          <w:sz w:val="18"/>
        </w:rPr>
      </w:r>
      <w:r>
        <w:rPr>
          <w:sz w:val="18"/>
        </w:rPr>
      </w:r>
      <w:r>
        <w:rPr>
          <w:sz w:val="18"/>
        </w:rPr>
      </w:r>
    </w:p>
    <w:p>
      <w:pPr>
        <w:pStyle w:val="1"/>
        <w:widowControl w:val="off"/>
        <w:wordWrap w:val="1"/>
        <w:jc w:val="center"/>
        <w:rPr/>
      </w:pPr>
    </w:p>
    <w:p>
      <w:pPr>
        <w:pStyle w:val="3"/>
        <w:widowControl w:val="off"/>
      </w:pPr>
      <w:r>
        <w:rPr/>
        <w:t>3. 분석 전략</w:t>
      </w:r>
    </w:p>
    <w:p>
      <w:pPr>
        <w:pStyle w:val="1"/>
        <w:widowControl w:val="off"/>
      </w:pPr>
      <w:r>
        <w:rPr/>
        <w:t>본 연구는 이론적 구성개념 간 관계를 순차적으로 검토하기 위해 복수의 분석 전략을 채택하였다.</w:t>
      </w:r>
    </w:p>
    <w:p>
      <w:pPr>
        <w:pStyle w:val="1"/>
        <w:widowControl w:val="off"/>
      </w:pPr>
      <w:r>
        <w:rPr/>
        <w:t xml:space="preserve">첫째, OLS 다중 회귀분석: 정책수용성을 종속변수로, 관리신뢰·위험인식·안전인식을 핵심 독립변수로, 인구통계 변수(성별·연령·교육·소득)를 통제변수로 포함하는 기본 모형을 추정한다. 통제변수 포함 모형의 설명력은 R²=.508로, 통제변수를 포함하지 않은 기본 모형(R²=.504) 대비 </w:t>
      </w:r>
      <w:r>
        <w:rPr/>
        <w:t>Δ</w:t>
      </w:r>
      <w:r>
        <w:rPr/>
        <w:t>R²=.004에 불과하여 핵심 변수의 설명력이 인구통계 요인으로 환원되지 않음을 확인하였다. 이분산성 검토를 위해 HC3 이분산성 강건 표준오차(MacKinnon &amp; White, 1985)를 대안 모형으로 추가 추정하고, 순서형 로짓(ordered logit) 모형으로 척도 가정 독립성을 검토한다.</w:t>
      </w:r>
    </w:p>
    <w:p>
      <w:pPr>
        <w:pStyle w:val="1"/>
        <w:widowControl w:val="off"/>
      </w:pPr>
      <w:r>
        <w:rPr/>
        <w:t>둘째, 부트스트랩 매개효과 검증: Preacher &amp; Hayes(2008)의 부트스트랩 간접효과 추정법(5,000회 반복, 95% CI)을 채택하여 제도적 신뢰의 매개 역할(H3)을 검증한다. 이 방법은 Baron &amp; Kenny(1986)의 3단계 절차가 갖는 한계</w:t>
      </w:r>
      <w:r>
        <w:rPr/>
        <w:t>—간접효과의</w:t>
      </w:r>
      <w:r>
        <w:rPr/>
        <w:t xml:space="preserve"> 통계적 유의성을 직접 검증하지 못함</w:t>
      </w:r>
      <w:r>
        <w:rPr/>
        <w:t>—를</w:t>
      </w:r>
      <w:r>
        <w:rPr/>
        <w:t xml:space="preserve"> 극복한다. 경로 A(관리신뢰</w:t>
      </w:r>
      <w:r>
        <w:rPr/>
        <w:t>→제도적</w:t>
      </w:r>
      <w:r>
        <w:rPr/>
        <w:t xml:space="preserve"> 신뢰</w:t>
      </w:r>
      <w:r>
        <w:rPr/>
        <w:t>→정책수용성</w:t>
      </w:r>
      <w:r>
        <w:rPr/>
        <w:t>)와 경로 B(안전인식</w:t>
      </w:r>
      <w:r>
        <w:rPr/>
        <w:t>→제도적</w:t>
      </w:r>
      <w:r>
        <w:rPr/>
        <w:t xml:space="preserve"> 신뢰</w:t>
      </w:r>
      <w:r>
        <w:rPr/>
        <w:t>→정책수용성</w:t>
      </w:r>
      <w:r>
        <w:rPr/>
        <w:t>)의 두 간접효과를 동시에 추정한다.</w:t>
      </w:r>
    </w:p>
    <w:p>
      <w:pPr>
        <w:pStyle w:val="1"/>
        <w:widowControl w:val="off"/>
      </w:pPr>
      <w:r>
        <w:rPr/>
        <w:t>셋째, 조절효과 분석: 관리신뢰(manage_trust)와 위험인식(risk)의 평균 중심화(mean-centering) 후 곱항(interaction term)을 포함한 조절 회귀모형을 추정한다(H4). 단순 기울기 분석(simple slope analysis)을 통해 위험인식 수준(±1SD)별 관리신뢰 효과를 구체화한다.</w:t>
      </w:r>
    </w:p>
    <w:p>
      <w:pPr>
        <w:pStyle w:val="1"/>
        <w:widowControl w:val="off"/>
      </w:pPr>
      <w:r>
        <w:rPr/>
        <w:t>넷째, 강건성 검증: 집단 간 ANOVA(위험인식·제도적 신뢰·안전관리 인식 집단별 정책수용성 비교)와 Tukey HSD 사후검증을 수행하여 주효과 패턴의 명세 독립성을 확인한다. 다중공선성 진단 결과, 올바른 방법(상수항 포함 설계행렬 기준)으로 재계산한 VIF는 관리신뢰=1.077, 위험인식=1.200, 안전관리 인식=1.261로 모두 통상적 임계값(VIF&gt;10)을 크게 하회하여 실질적 다중공선성 문제가 없음을 확인하였다.</w:t>
      </w:r>
    </w:p>
    <w:p>
      <w:pPr>
        <w:pStyle w:val="3"/>
        <w:widowControl w:val="off"/>
      </w:pPr>
      <w:r>
        <w:rPr/>
        <w:t>4. 방법론적 한계 및 해석 경계</w:t>
      </w:r>
    </w:p>
    <w:p>
      <w:pPr>
        <w:pStyle w:val="1"/>
        <w:widowControl w:val="off"/>
      </w:pPr>
      <w:r>
        <w:rPr/>
        <w:t>본 연구는 횡단면(cross-sectional) 설문 설계를 사용하므로, 분석에서 관찰된 변수 간 연관성은 인과관계의 방향성을 독립적으로 확인하지 못한다. 관리신뢰와 정책수용성 간 역인과관계</w:t>
      </w:r>
      <w:r>
        <w:rPr/>
        <w:t>—이미</w:t>
      </w:r>
      <w:r>
        <w:rPr/>
        <w:t xml:space="preserve"> 수용적인 사람이 관리신뢰도 높게 보고하는 경향</w:t>
      </w:r>
      <w:r>
        <w:rPr/>
        <w:t>—의</w:t>
      </w:r>
      <w:r>
        <w:rPr/>
        <w:t xml:space="preserve"> 가능성을 완전히 배제할 수 없다. 또한 자기보고식 단일 설문의 특성상 공통방법분산(common method variance, CMV) 문제를 완전히 통제하지 못한다. 특히 관리신뢰와 정책수용성 간 상관(r=.693)은 CMV 편향의 가능성을 완전히 배제하기 어렵게 한다. 다만 CMV 편향이 변수 간 상관을 균일하게 팽창시킨다면, 관리신뢰(r=.693)와 안전인식(r=</w:t>
      </w:r>
      <w:r>
        <w:rPr/>
        <w:t>−</w:t>
      </w:r>
      <w:r>
        <w:rPr/>
        <w:t>.313) 간의 방향성 역전</w:t>
      </w:r>
      <w:r>
        <w:rPr/>
        <w:t>—동일</w:t>
      </w:r>
      <w:r>
        <w:rPr/>
        <w:t xml:space="preserve"> 방법론적 조건에서 상반된 방향의 연관성</w:t>
      </w:r>
      <w:r>
        <w:rPr/>
        <w:t>—을</w:t>
      </w:r>
      <w:r>
        <w:rPr/>
        <w:t xml:space="preserve"> 설명하기 어렵다는 점에서 주요 패턴이 CMV만으로 완전히 설명되기 어려움을 시사한다. 본 연구는 이러한 한계를 감안하여 모든 결과를 인과적 언어가 아닌 연관성(association) 및 조건적 패턴(conditional pattern)으로 서술한다.</w:t>
      </w:r>
    </w:p>
    <w:p>
      <w:pPr>
        <w:pStyle w:val="2"/>
        <w:widowControl w:val="off"/>
      </w:pPr>
      <w:r>
        <w:rPr/>
        <w:t>Ⅳ</w:t>
      </w:r>
      <w:r>
        <w:rPr/>
        <w:t>. 분석결과</w:t>
      </w:r>
    </w:p>
    <w:p>
      <w:pPr>
        <w:pStyle w:val="3"/>
        <w:widowControl w:val="off"/>
      </w:pPr>
      <w:r>
        <w:rPr/>
        <w:t>1. 재난 유형·정보 유형·기관별 기술통계</w:t>
      </w:r>
    </w:p>
    <w:p>
      <w:pPr>
        <w:pStyle w:val="4"/>
        <w:widowControl w:val="off"/>
      </w:pPr>
      <w:r>
        <w:rPr/>
        <w:t>1) 재난 유형별 심각도 및 개인정보 활용 필요성</w:t>
      </w:r>
    </w:p>
    <w:p>
      <w:pPr>
        <w:pStyle w:val="1"/>
        <w:widowControl w:val="off"/>
      </w:pPr>
      <w:r>
        <w:rPr/>
        <w:t>15개 재난 유형에 대한 심각도 인식 및 개인정보 활용 필요성 평균을 비교한 결과, 재난 유형에 따른 심각도 인식과 개인정보 활용 필요성 간 불일치 패턴이 관찰되었다. 미세먼지는 심각도 인식(M=4.35)이 15개 유형 중 가장 높으나, 수집 필요성(M=3.25)은 감염병(M=4.02)이나 지진(M=3.66)보다 낮게 평가된다. 감염병은 심각도(M=3.80)와 수집(M=4.02)·공개(M=3.78)·기관 간 공유(M=3.98) 필요성의 네 차원 전반에서 가장 높은 정당성 인식을 나타내어, 수집·공유 필요성이 유일하게 4.0 이상을 기록하였다. 이 패턴은 재난 유형 특성</w:t>
      </w:r>
      <w:r>
        <w:rPr/>
        <w:t>—대인</w:t>
      </w:r>
      <w:r>
        <w:rPr/>
        <w:t xml:space="preserve"> 접촉 및 피해자 식별 필요성의 명료성</w:t>
      </w:r>
      <w:r>
        <w:rPr/>
        <w:t>—이</w:t>
      </w:r>
      <w:r>
        <w:rPr/>
        <w:t xml:space="preserve"> 개인정보 활용 정당성 인식의 맥락적 요인임을 탐색적으로 시사한다. COVID-19 이후 감염병 대응 맥락에서 형성된 데이터 거버넌스 정당성 인식이 반영된 것으로 탐색적으로 해석된다(그림 2 참조).</w:t>
      </w:r>
    </w:p>
    <w:p>
      <w:pPr>
        <w:pStyle w:val="1"/>
        <w:widowControl w:val="off"/>
        <w:rPr/>
      </w:pPr>
    </w:p>
    <w:p>
      <w:pPr>
        <w:pStyle w:val="6"/>
        <w:widowControl w:val="off"/>
      </w:pPr>
      <w:r>
        <w:rPr/>
        <w:t>&lt;그림 2 : 재난 유형별 심각도 및 개인정보 활용 필요성 히트맵&gt;</w:t>
      </w:r>
    </w:p>
    <w:p>
      <w:pPr>
        <w:pStyle w:val="1"/>
        <w:widowControl w:val="off"/>
        <w:wordWrap w:val="1"/>
        <w:jc w:val="center"/>
      </w:pPr>
      <w:r>
        <w:drawing>
          <wp:inline distT="0" distB="0" distL="0" distR="0">
            <wp:extent cx="4667250" cy="4324350"/>
            <wp:effectExtent l="0" t="0" r="0" b="0"/>
            <wp:docPr id="2" name="그림 %d 2"/>
            <wp:cNvGraphicFramePr/>
            <a:graphic>
              <a:graphicData uri="http://schemas.openxmlformats.org/drawingml/2006/picture">
                <pic:pic>
                  <pic:nvPicPr>
                    <pic:cNvPr id="0" name="C:\Temp\Hnc\BinData\EMB0000757c0a82.jpg"/>
                    <pic:cNvPicPr/>
                  </pic:nvPicPr>
                  <pic:blipFill>
                    <a:blip r:embed="rId2"/>
                    <a:stretch>
                      <a:fillRect/>
                    </a:stretch>
                  </pic:blipFill>
                  <pic:spPr>
                    <a:xfrm>
                      <a:off x="0" y="0"/>
                      <a:ext cx="4667250" cy="4324350"/>
                    </a:xfrm>
                    <a:prstGeom prst="rect">
                      <a:avLst/>
                    </a:prstGeom>
                    <a:effectLst/>
                  </pic:spPr>
                </pic:pic>
              </a:graphicData>
            </a:graphic>
          </wp:inline>
        </w:drawing>
      </w:r>
    </w:p>
    <w:p>
      <w:pPr>
        <w:pStyle w:val="14"/>
        <w:widowControl w:val="off"/>
      </w:pPr>
      <w:r>
        <w:rPr/>
        <w:t>주: 가로축: 심각도·수집·공개·공유 필요성(5점 리커트 척도). 세로축: 15개 재난 유형(심각도 기준 내림차순). 색조(YlOrRd): 값 높을수록 진한 색. 굵은 테두리는 감염병.</w:t>
      </w:r>
    </w:p>
    <w:p>
      <w:pPr>
        <w:pStyle w:val="1"/>
        <w:widowControl w:val="off"/>
        <w:rPr/>
      </w:pPr>
    </w:p>
    <w:p>
      <w:pPr>
        <w:pStyle w:val="4"/>
        <w:widowControl w:val="off"/>
      </w:pPr>
      <w:r>
        <w:rPr/>
        <w:t>2) 개인정보 유형별 재난 기관 제공 동의 수준</w:t>
      </w:r>
    </w:p>
    <w:p>
      <w:pPr>
        <w:pStyle w:val="1"/>
        <w:widowControl w:val="off"/>
      </w:pPr>
      <w:r>
        <w:rPr/>
        <w:t>개인정보 유형별 제공 동의 수준은 뚜렷한 위계 패턴을 나타낸다. 성별(M=3.78), 성명(M=3.62) 등 인구통계적 기본 정보는 중립(3.0) 이상의 동의를 받는 반면, 금융정보(M=1.93)와 신용정보(M=2.04)는 재난이라는 긴급성 맥락에서도 전체 유형 가운데 최저 수준의 동의를 유지하였다. 의료정보(M=2.72)는 재난 대응 맥락에서 활용 필요성이 높음에도 불구하고 중립 이하의 동의 수준을 보여, 정보 유형의 민감성 인식이 재난 상황의 활용 필요성보다 우선적으로 동의 수준에 반영될 수 있음을 시사한다. 이 패턴은 Nissenbaum(2004)의 contextual integrity 이론이 재난 맥락에서 일방향적으로 적용되지 않음을 탐색적으로 시사한다: 재난이라는 예외적 맥락이 정보 유형에 따른 정당성 인식을 균일하게 상향 조정하지 않는다(그림 3 참조).</w:t>
      </w:r>
    </w:p>
    <w:p>
      <w:pPr>
        <w:pStyle w:val="16"/>
        <w:widowControl w:val="off"/>
        <w:spacing w:before="160" w:after="80"/>
        <w:jc w:val="center"/>
        <w:rPr>
          <w:b/>
          <w:color w:val="000000"/>
        </w:rPr>
      </w:pPr>
    </w:p>
    <w:p>
      <w:pPr>
        <w:pStyle w:val="6"/>
        <w:widowControl w:val="off"/>
      </w:pPr>
      <w:r>
        <w:rPr/>
        <w:t>&lt;그림 3: 개인정보 유형별 재난 기관 제공 동의 수준&gt;</w:t>
      </w:r>
    </w:p>
    <w:p>
      <w:pPr>
        <w:pStyle w:val="1"/>
        <w:widowControl w:val="off"/>
      </w:pPr>
      <w:r>
        <w:drawing>
          <wp:inline distT="0" distB="0" distL="0" distR="0">
            <wp:extent cx="4857750" cy="3238500"/>
            <wp:effectExtent l="0" t="0" r="0" b="0"/>
            <wp:docPr id="3" name="그림 %d 3"/>
            <wp:cNvGraphicFramePr/>
            <a:graphic>
              <a:graphicData uri="http://schemas.openxmlformats.org/drawingml/2006/picture">
                <pic:pic>
                  <pic:nvPicPr>
                    <pic:cNvPr id="0" name="C:\Temp\Hnc\BinData\EMB0000757c0a83.jpg"/>
                    <pic:cNvPicPr/>
                  </pic:nvPicPr>
                  <pic:blipFill>
                    <a:blip r:embed="rId3"/>
                    <a:stretch>
                      <a:fillRect/>
                    </a:stretch>
                  </pic:blipFill>
                  <pic:spPr>
                    <a:xfrm>
                      <a:off x="0" y="0"/>
                      <a:ext cx="4857750" cy="3238500"/>
                    </a:xfrm>
                    <a:prstGeom prst="rect">
                      <a:avLst/>
                    </a:prstGeom>
                    <a:effectLst/>
                  </pic:spPr>
                </pic:pic>
              </a:graphicData>
            </a:graphic>
          </wp:inline>
        </w:drawing>
      </w:r>
    </w:p>
    <w:p>
      <w:pPr>
        <w:pStyle w:val="14"/>
        <w:widowControl w:val="off"/>
      </w:pPr>
      <w:r>
        <w:rPr/>
        <w:t>주: 수평 막대 그래프, 동의 수준 기준 오름차순. 점선(3.0)은 리커트 중립 기준. 5점 척도(1=전혀 동의 안 함, 5=매우 동의함).</w:t>
      </w:r>
    </w:p>
    <w:p>
      <w:pPr>
        <w:pStyle w:val="4"/>
        <w:widowControl w:val="off"/>
      </w:pPr>
      <w:r>
        <w:rPr/>
        <w:t>3) 재난 대응 기관별 신뢰도 비교</w:t>
      </w:r>
    </w:p>
    <w:p>
      <w:pPr>
        <w:pStyle w:val="1"/>
        <w:widowControl w:val="off"/>
      </w:pPr>
      <w:r>
        <w:rPr/>
        <w:t>기관 신뢰도 패턴에서 주목되는 것은 현장 대응 기관과 정책·행정 기관 간의 신뢰 격차이다. 소방청(M=3.63)과 국립중앙의료원(M=3.53)은 유일하게 중립 기준(3.0) 이상의 신뢰를 받는 반면, 행정안전부(M=2.70)와 청와대(M=2.39)는 중립 이하에 머물렀다(소방청-청와대 신뢰 격차=1.24점). 이 패턴은 Luhmann(1979)의 기능적 신뢰(functional trust)와 확산적 신뢰(diffuse trust)의 이론적 구별과 탐색적으로 부합한다. 구체적 역량과 즉각적 현장 대응이 가시화된 기관에 대한 기능적 신뢰가 정책적 권위에 기반한 상위 행정 기관에 대한 확산적 신뢰를 능가하는 이 구조는, 본 연구 주회귀모형에서 관리신뢰(기능적 신뢰)와 안전관리 긍정 인식이 각각 독립적으로 정당성 인식과 연관된다는 H1 발견의 기관 수준 correlate로서 탐색적으로 해석 가능하다(그림 4 참조).</w:t>
      </w:r>
    </w:p>
    <w:p>
      <w:pPr>
        <w:pStyle w:val="6"/>
        <w:widowControl w:val="off"/>
      </w:pPr>
      <w:r>
        <w:rPr/>
        <w:t>&lt;그림 4: 재난 대응 기관별 신뢰도 비교&gt;</w:t>
      </w:r>
    </w:p>
    <w:p>
      <w:pPr>
        <w:pStyle w:val="1"/>
        <w:widowControl w:val="off"/>
      </w:pPr>
      <w:r>
        <w:drawing>
          <wp:inline distT="0" distB="0" distL="0" distR="0">
            <wp:extent cx="4857750" cy="2733675"/>
            <wp:effectExtent l="0" t="0" r="0" b="0"/>
            <wp:docPr id="4" name="그림 %d 4"/>
            <wp:cNvGraphicFramePr/>
            <a:graphic>
              <a:graphicData uri="http://schemas.openxmlformats.org/drawingml/2006/picture">
                <pic:pic>
                  <pic:nvPicPr>
                    <pic:cNvPr id="0" name="C:\Temp\Hnc\BinData\EMB0000757c0a84.jpg"/>
                    <pic:cNvPicPr/>
                  </pic:nvPicPr>
                  <pic:blipFill>
                    <a:blip r:embed="rId4"/>
                    <a:stretch>
                      <a:fillRect/>
                    </a:stretch>
                  </pic:blipFill>
                  <pic:spPr>
                    <a:xfrm>
                      <a:off x="0" y="0"/>
                      <a:ext cx="4857750" cy="2733675"/>
                    </a:xfrm>
                    <a:prstGeom prst="rect">
                      <a:avLst/>
                    </a:prstGeom>
                    <a:effectLst/>
                  </pic:spPr>
                </pic:pic>
              </a:graphicData>
            </a:graphic>
          </wp:inline>
        </w:drawing>
      </w:r>
    </w:p>
    <w:p>
      <w:pPr>
        <w:pStyle w:val="14"/>
        <w:widowControl w:val="off"/>
      </w:pPr>
      <w:r>
        <w:rPr/>
        <w:t>주: 수평 막대 그래프, 신뢰도 기준 오름차순. 점선(3.0)은 리커트 중립 기준. 5점 척도. 소방청·국립중앙의료원만 중립(3.0) 이상.</w:t>
      </w:r>
    </w:p>
    <w:p>
      <w:pPr>
        <w:pStyle w:val="3"/>
        <w:widowControl w:val="off"/>
      </w:pPr>
      <w:r>
        <w:rPr/>
        <w:t>2. 주 회귀분석 결과: 다중 모형 비교</w:t>
      </w:r>
    </w:p>
    <w:p>
      <w:pPr>
        <w:pStyle w:val="1"/>
        <w:widowControl w:val="off"/>
      </w:pPr>
      <w:r>
        <w:rPr/>
        <w:t>OLS 회귀분석 결과(표 4), 관리신뢰(β=0.712, t=29.85, p&lt;.001)는 정책수용성과 유의한 정적 연관 요인으로 확인되었다. 안전관리 긍정 인식(β=+0.191, t=+5.24, p&lt;.001) 역시 정책수용성과 유의한 정적 연관을 보였다. 위험인식(β=−0.059, t=−2.60, p=.010)은 정책수용성과 유의한 부적 연관성을 나타냈다. 이 패턴은 인구통계 통제변수 포함 후(ΔR²=.004), HC3 이분산성 강건 표준오차 적용 후, 순서형 로짓 모형에서도 방향성·유의성이 완전히 재현되어 명세 독립성이 확인되었다. 전체 모형의 설명력은 R²=.504(Adj. R²=.503), F=369.7(p&lt;.001)이다.</w:t>
      </w:r>
      <w:r>
        <w:rPr/>
      </w:r>
      <w:r>
        <w:rPr/>
      </w:r>
      <w:r>
        <w:rPr/>
      </w:r>
      <w:r>
        <w:rPr/>
      </w:r>
      <w:r>
        <w:rPr/>
      </w:r>
      <w:r>
        <w:rPr/>
      </w:r>
      <w:r>
        <w:rPr/>
      </w:r>
      <w:r>
        <w:rPr/>
      </w:r>
      <w:r>
        <w:rPr/>
      </w:r>
      <w:r>
        <w:rPr/>
      </w:r>
      <w:r>
        <w:rPr/>
      </w:r>
      <w:r>
        <w:rPr/>
      </w:r>
      <w:r>
        <w:rPr/>
      </w:r>
      <w:r>
        <w:rPr/>
      </w:r>
      <w:r>
        <w:rPr/>
      </w:r>
      <w:r>
        <w:rPr/>
      </w:r>
    </w:p>
    <w:p>
      <w:pPr>
        <w:pStyle w:val="1"/>
        <w:widowControl w:val="off"/>
      </w:pPr>
      <w:r>
        <w:rPr/>
        <w:t>두 변수는 각각 독립적으로 정책수용성과 유의한 정적 연관을 보이며, 이는 하이브리드 거버넌스 맥락에서 형식적 안전관리 인식과 관계적 신뢰가 모두 정책수용성의 독립적 기반으로 기능함을 경험적으로 확인한다.</w:t>
      </w:r>
      <w:r>
        <w:rPr/>
      </w:r>
      <w:r>
        <w:rPr/>
      </w:r>
      <w:r>
        <w:rPr/>
      </w:r>
      <w:r>
        <w:rPr/>
      </w:r>
      <w:r>
        <w:rPr/>
      </w:r>
      <w:r>
        <w:rPr/>
      </w:r>
    </w:p>
    <w:p>
      <w:pPr>
        <w:pStyle w:val="6"/>
        <w:widowControl w:val="off"/>
      </w:pPr>
      <w:r>
        <w:rPr/>
        <w:t>&lt;표 4: 주 회귀분석 결과 비교 (종속변수: 정책수용성, N=1,094)&gt;</w:t>
      </w:r>
    </w:p>
    <w:tbl>
      <w:tblPr>
        <w:tblOverlap w:val="never"/>
        <w:tblW w:w="8155"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1675"/>
        <w:gridCol w:w="1457"/>
        <w:gridCol w:w="704"/>
        <w:gridCol w:w="1457"/>
        <w:gridCol w:w="704"/>
        <w:gridCol w:w="1457"/>
        <w:gridCol w:w="702"/>
      </w:tblGrid>
      <w:tr>
        <w:trPr>
          <w:trHeight w:val="0"/>
          <w:tblHeader/>
        </w:trPr>
        <w:tc>
          <w:tcPr>
            <w:tcW w:w="167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1 (기본)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2 (+통제) </w:t>
            </w:r>
            <w:r>
              <w:rPr>
                <w:b/>
              </w:rPr>
              <w:t>β</w:t>
            </w:r>
            <w:r>
              <w:rPr>
                <w:b/>
              </w:rPr>
              <w:t>/SE</w:t>
            </w:r>
          </w:p>
        </w:tc>
        <w:tc>
          <w:tcPr>
            <w:tcW w:w="70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t</w:t>
            </w:r>
          </w:p>
        </w:tc>
        <w:tc>
          <w:tcPr>
            <w:tcW w:w="145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3 (HC3) </w:t>
            </w:r>
            <w:r>
              <w:rPr>
                <w:b/>
              </w:rPr>
              <w:t>β</w:t>
            </w:r>
            <w:r>
              <w:rPr>
                <w:b/>
              </w:rPr>
              <w:t>/SE</w:t>
            </w:r>
          </w:p>
        </w:tc>
        <w:tc>
          <w:tcPr>
            <w:tcW w:w="70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z</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0.712</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29.85</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(.024)</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29.84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0.713</w:t>
            </w:r>
            <w:r>
              <w:rPr>
                <w:sz w:val="18"/>
              </w:rPr>
              <w:t xml:space="preserve"> (.028)</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25.16</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위험인식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0.059</w:t>
            </w:r>
            <w:r>
              <w:rPr>
                <w:sz w:val="18"/>
              </w:rPr>
              <w:t xml:space="preserve"> (.023)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2.60</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2.79</w:t>
            </w:r>
            <w:r>
              <w:rPr>
                <w:b/>
              </w:rPr>
              <w:t>*</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w:t>
            </w:r>
            <w:r>
              <w:rPr>
                <w:b/>
              </w:rPr>
              <w:t>0.064</w:t>
            </w:r>
            <w:r>
              <w:rPr>
                <w:sz w:val="18"/>
              </w:rPr>
              <w:t xml:space="preserve"> (.023)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2.78</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안전관리 인식</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+0.191 (.037)*</w:t>
            </w:r>
            <w:r>
              <w:rPr>
                <w:b/>
              </w:rPr>
            </w:r>
            <w:r>
              <w:rPr>
                <w:sz w:val="18"/>
              </w:rPr>
            </w:r>
            <w:r>
              <w:rPr>
                <w:b/>
              </w:rPr>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5.24</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w:t>
            </w:r>
            <w:r>
              <w:rPr>
                <w:b/>
              </w:rPr>
              <w:t>0.191</w:t>
            </w:r>
            <w:r>
              <w:rPr>
                <w:sz w:val="18"/>
              </w:rPr>
              <w:t xml:space="preserve"> (.037)</w:t>
            </w:r>
            <w:r>
              <w:rPr>
                <w:b/>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5.19</w:t>
            </w:r>
            <w:r>
              <w:rPr>
                <w:b/>
              </w:rPr>
              <w:t>*</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b/>
              </w:rPr>
              <w:t>−</w:t>
            </w:r>
            <w:r>
              <w:rPr>
                <w:b/>
              </w:rPr>
              <w:t>0.191</w:t>
            </w:r>
            <w:r>
              <w:rPr>
                <w:sz w:val="18"/>
              </w:rPr>
              <w:t xml:space="preserve"> (.036)</w:t>
            </w:r>
            <w:r>
              <w:rPr>
                <w:b/>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5.31</w:t>
            </w:r>
            <w:r>
              <w:rPr>
                <w:b/>
              </w:rPr>
              <w:t>*</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여성 (female)</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2.25*</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0.074 (.033)*</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2.24*</w:t>
            </w: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연령 (age)</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(.002)</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1.49</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0.002 (.001)</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1.54</w:t>
            </w: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교육·소득</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유의하지 않음</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.508</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Adj. R²</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.503</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.505</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(통제 추가)</w:t>
            </w: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w:t>
            </w:r>
          </w:p>
        </w:tc>
        <w:tc>
          <w:tcPr>
            <w:tcW w:w="70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70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rPr/>
            </w:pPr>
          </w:p>
        </w:tc>
      </w:tr>
      <w:tr>
        <w:trPr>
          <w:trHeight w:val="0"/>
        </w:trPr>
        <w:tc>
          <w:tcPr>
            <w:tcW w:w="167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F</w:t>
            </w: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369.7</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140.2</w:t>
            </w:r>
            <w:r>
              <w:rPr>
                <w:b/>
              </w:rPr>
              <w:t>*</w:t>
            </w:r>
          </w:p>
        </w:tc>
        <w:tc>
          <w:tcPr>
            <w:tcW w:w="70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c>
          <w:tcPr>
            <w:tcW w:w="145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113.4</w:t>
            </w:r>
            <w:r>
              <w:rPr>
                <w:b/>
              </w:rPr>
              <w:t>*</w:t>
            </w:r>
          </w:p>
        </w:tc>
        <w:tc>
          <w:tcPr>
            <w:tcW w:w="70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rPr/>
            </w:pPr>
          </w:p>
        </w:tc>
      </w:tr>
    </w:tbl>
    <w:p>
      <w:pPr>
        <w:pStyle w:val="14"/>
        <w:widowControl w:val="off"/>
      </w:pPr>
      <w:r>
        <w:rPr/>
        <w:t xml:space="preserve">주: </w:t>
      </w:r>
      <w:r>
        <w:rPr/>
        <w:t>β</w:t>
      </w:r>
      <w:r>
        <w:rPr/>
        <w:t>=비표준화 회귀계수, SE=표준오차. **p&lt;.01, ***p&lt;.001. Model 3은 HC3 이분산성 강건 표준오차(MacKinnon &amp; White, 1985). 핵심 이론 변수(굵게)는 세 모형 모두에서 방향성·유의성 유지. VIF: 관리신뢰=1.077, 위험인식=1.200, 안전관리 긍정 인식(safe_management)=1.261 (모두 &lt;10).</w:t>
      </w:r>
    </w:p>
    <w:p>
      <w:pPr>
        <w:pStyle w:val="1"/>
        <w:widowControl w:val="off"/>
      </w:pPr>
      <w:r>
        <w:rPr/>
        <w:t>H1 지지: 관리신뢰는 정책수용성과 강한 정(+)의 연관성이 확인되며(β=0.713***, HC3 z=25.16***), 이 연관성은 복수의 모형 명세에서 안정적으로 재현된다. 안전관리 긍정 인식 역시 정책수용성과 독립적으로 유의한 정(+)의 연관성을 나타낸다(β=+0.191***, HC3 z=+5.31***).</w:t>
      </w:r>
      <w:r>
        <w:rPr/>
      </w:r>
      <w:r>
        <w:rPr/>
      </w:r>
      <w:r>
        <w:rPr/>
      </w:r>
      <w:r>
        <w:rPr/>
      </w:r>
      <w:r>
        <w:rPr/>
      </w:r>
      <w:r>
        <w:rPr/>
      </w:r>
    </w:p>
    <w:p>
      <w:pPr>
        <w:pStyle w:val="1"/>
        <w:widowControl w:val="off"/>
      </w:pPr>
      <w:r>
        <w:rPr/>
        <w:t>H2 지지: 위험인식은 정책수용성과 유의한 부적 연관성을 나타낸다(</w:t>
      </w:r>
      <w:r>
        <w:rPr/>
        <w:t>β</w:t>
      </w:r>
      <w:r>
        <w:rPr/>
        <w:t>=</w:t>
      </w:r>
      <w:r>
        <w:rPr/>
        <w:t>−</w:t>
      </w:r>
      <w:r>
        <w:rPr/>
        <w:t>0.059**, HC3 z=</w:t>
      </w:r>
      <w:r>
        <w:rPr/>
        <w:t>−</w:t>
      </w:r>
      <w:r>
        <w:rPr/>
        <w:t>2.78**). 이 연관성은 Beck의 재귀적 근대화 테제가 예측하는 방향과 일치하며, 위험인식을 단순한 심리적 회피가 아닌, 불확실성 조건에서 형성되는 개인의 정당성 인식 패턴으로 해석하는 이론적 입장과 탐색적으로 부합한다.</w:t>
      </w:r>
    </w:p>
    <w:p>
      <w:pPr>
        <w:pStyle w:val="3"/>
        <w:widowControl w:val="off"/>
      </w:pPr>
      <w:r>
        <w:rPr/>
        <w:t>3. 안전관리 긍정 인식의 정적 연관 패턴: q25 재코딩 반영</w:t>
      </w:r>
    </w:p>
    <w:p>
      <w:pPr>
        <w:pStyle w:val="1"/>
        <w:widowControl w:val="off"/>
      </w:pPr>
      <w:r>
        <w:rPr/>
        <w:t>안전관리 긍정 인식(safe_management)은 정책수용성과 유의한 정(+)의 연관성을 나타냈다(β=+0.191***). 이 패턴은 HC3 표준오차 적용 후(z=+5.31***), 순서형 로짓 모형(coef=+0.636, z=+5.16, p&lt;.001)에서도 일관되게 재현되어 방향성의 견고성이 확인된다. 이는 q25의 원코딩 방향(1=예, 2=아니오)을 safe_management로 재코딩한 결과로, 안전하게 관리된다고 인식하는 응답자의 정책수용성이 더 높게 나타남을 의미한다.</w:t>
      </w:r>
      <w:r>
        <w:rPr/>
      </w:r>
      <w:r>
        <w:rPr/>
      </w:r>
      <w:r>
        <w:rPr/>
      </w:r>
      <w:r>
        <w:rPr/>
      </w:r>
      <w:r>
        <w:rPr/>
      </w:r>
      <w:r>
        <w:rPr/>
      </w:r>
      <w:r>
        <w:rPr/>
      </w:r>
      <w:r>
        <w:rPr/>
      </w:r>
      <w:r>
        <w:rPr/>
      </w:r>
      <w:r>
        <w:rPr/>
      </w:r>
    </w:p>
    <w:p>
      <w:pPr>
        <w:pStyle w:val="1"/>
        <w:widowControl w:val="off"/>
      </w:pPr>
      <w:r>
        <w:rPr/>
        <w:t>이 결과는 q25 재코딩의 방향을 반영한다. 원자료에서 q25 값이 2인 응답자는 안전하게 관리되지 않는다고 보는 집단이다. 따라서 재코딩 이전(원값 사용 시)에 관찰되던 음(-)의 계수는 해석 방향이 역전된 것으로, safe_management로 재코딩한 후에는 안전하게 관리된다고 인식할수록 수용성이 높다는 양(+)의 계수로 일관되게 해석된다. 재귀적 근대화 조건에서(Beck, 1992; Luhmann, 1979) 안전관리 긍정 인식이 정책수용성과 정적으로 연관되는 이 패턴은 이론적으로 예측 가능한 방향이다.</w:t>
      </w:r>
    </w:p>
    <w:p>
      <w:pPr>
        <w:pStyle w:val="1"/>
        <w:widowControl w:val="off"/>
      </w:pPr>
      <w:r>
        <w:rPr/>
        <w:t>안전관리 긍정 인식의 정적 연관은 인구통계 통제변수, 관리신뢰, 위험인식을 모두 통제한 후에도 일관되게 관찰된다. HC3 강건 표준오차 및 순서형 로짓 모형에서도 방향성과 유의성이 재현된다. 단일 이분형 문항 측정의 제약을 고려할 때, 향후 다문항 안전관리 인식 척도를 활용한 복제 연구가 이 패턴을 보다 정밀하게 검증할 수 있을 것이다.</w:t>
      </w:r>
      <w:r>
        <w:rPr/>
      </w:r>
      <w:r>
        <w:rPr/>
      </w:r>
      <w:r>
        <w:rPr/>
      </w:r>
      <w:r>
        <w:rPr/>
      </w:r>
      <w:r>
        <w:rPr/>
      </w:r>
      <w:r>
        <w:rPr/>
      </w:r>
      <w:r>
        <w:rPr/>
      </w:r>
      <w:r>
        <w:rPr/>
      </w:r>
    </w:p>
    <w:p>
      <w:pPr>
        <w:pStyle w:val="3"/>
        <w:widowControl w:val="off"/>
      </w:pPr>
      <w:r>
        <w:rPr/>
        <w:t>4. 부트스트랩 매개효과 분석: 제도적 신뢰의 매개 역할</w:t>
      </w:r>
    </w:p>
    <w:p>
      <w:pPr>
        <w:pStyle w:val="1"/>
        <w:widowControl w:val="off"/>
      </w:pPr>
      <w:r>
        <w:rPr/>
        <w:t>Preacher &amp; Hayes(2008)의 부트스트랩 방법(5,000회 반복, 95% CI, 인구통계 통제변수 포함)을 적용하여 두 개의 구조적 경로를 동시에 추정하였다(표 5 참조).</w:t>
      </w:r>
    </w:p>
    <w:p>
      <w:pPr>
        <w:pStyle w:val="1"/>
        <w:widowControl w:val="off"/>
      </w:pPr>
      <w:r>
        <w:rPr/>
        <w:t>경로 A</w:t>
      </w:r>
      <w:r>
        <w:rPr/>
        <w:t>—관리신뢰</w:t>
      </w:r>
      <w:r>
        <w:rPr/>
        <w:t xml:space="preserve"> </w:t>
      </w:r>
      <w:r>
        <w:rPr/>
        <w:t>→</w:t>
      </w:r>
      <w:r>
        <w:rPr/>
        <w:t xml:space="preserve"> 제도적 신뢰 </w:t>
      </w:r>
      <w:r>
        <w:rPr/>
        <w:t>→</w:t>
      </w:r>
      <w:r>
        <w:rPr/>
        <w:t xml:space="preserve"> 정책수용성: 관리신뢰의 총효과(</w:t>
      </w:r>
      <w:r>
        <w:rPr/>
        <w:t>β</w:t>
      </w:r>
      <w:r>
        <w:rPr/>
        <w:t>=0.713)는 직접효과 0.674(94.5%)와 제도적 신뢰를 경유한 간접효과 0.040(5.5%)으로 분해되며, 간접효과의 95% CI[0.023, 0.058]이 0을 포함하지 않아 통계적으로 유의한 부분 매개가 확인된다. 이는 관리신뢰가 이론 섹션에서 이론화한 경로 1(직접 정당성 수권)과 경로 2(제도적 신뢰 경유 간접 경로)에 해당하는 연관 양상을 모두 나타냄을 탐색적으로 확인한다.</w:t>
      </w:r>
    </w:p>
    <w:p>
      <w:pPr>
        <w:pStyle w:val="1"/>
        <w:widowControl w:val="off"/>
      </w:pPr>
      <w:r>
        <w:rPr/>
        <w:t>경로 B—안전관리 긍정 인식(safe_management) → 제도적 신뢰 → 정책수용성: 안전관리 긍정 인식은 제도적 신뢰와 유의한 정적 연관성을 나타냈다(β=+0.778, p&lt;.001). 이를 경유한 간접 연관 추정치(+0.111)의 95% CI[+0.067, +0.158]도 0을 포함하지 않아 통계적으로 유의하다. 이는 안전하게 관리된다고 인식하는 응답자가 제도적 신뢰도 높게 나타나며, 이를 통해 정책수용성과도 간접적으로 정적 연관을 보임을 확인한다. 이 경로는 이론적 초점인 관리신뢰 경로의 보조적 탐색 결과로 해석하며, 횡단면 자료 특성상 인과적 매개가 아닌 탐색적 통계적 간접 연관으로 이해한다.</w:t>
      </w:r>
      <w:r>
        <w:rPr/>
      </w:r>
      <w:r>
        <w:rPr/>
      </w:r>
      <w:r>
        <w:rPr/>
      </w:r>
      <w:r>
        <w:rPr/>
      </w:r>
      <w:r>
        <w:rPr/>
      </w:r>
      <w:r>
        <w:rPr/>
      </w:r>
      <w:r>
        <w:rPr/>
      </w:r>
      <w:r>
        <w:rPr/>
      </w:r>
      <w:r>
        <w:rPr/>
      </w:r>
      <w:r>
        <w:rPr/>
      </w:r>
      <w:r>
        <w:rPr/>
      </w:r>
      <w:r>
        <w:rPr/>
      </w:r>
      <w:r>
        <w:rPr/>
      </w:r>
      <w:r>
        <w:rPr/>
      </w:r>
      <w:r>
        <w:rPr/>
      </w:r>
      <w:r>
        <w:rPr/>
      </w:r>
      <w:r>
        <w:rPr/>
      </w:r>
      <w:r>
        <w:rPr/>
      </w:r>
      <w:r>
        <w:rPr/>
      </w:r>
      <w:r>
        <w:rPr/>
      </w:r>
    </w:p>
    <w:p>
      <w:pPr>
        <w:pStyle w:val="6"/>
        <w:widowControl w:val="off"/>
      </w:pPr>
      <w:r>
        <w:rPr/>
        <w:t>&lt;표 5 : 부트스트랩 매개효과 분석 결과 (N=1,094, 반복=5,000)&gt;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515"/>
        <w:gridCol w:w="1716"/>
        <w:gridCol w:w="864"/>
        <w:gridCol w:w="778"/>
        <w:gridCol w:w="1201"/>
        <w:gridCol w:w="1097"/>
      </w:tblGrid>
      <w:tr>
        <w:trPr>
          <w:trHeight w:val="0"/>
          <w:tblHeader/>
        </w:trPr>
        <w:tc>
          <w:tcPr>
            <w:tcW w:w="2515"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경로</w:t>
            </w:r>
          </w:p>
        </w:tc>
        <w:tc>
          <w:tcPr>
            <w:tcW w:w="171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주요 경로계수</w:t>
            </w:r>
          </w:p>
        </w:tc>
        <w:tc>
          <w:tcPr>
            <w:tcW w:w="8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간접효과</w:t>
            </w:r>
          </w:p>
        </w:tc>
        <w:tc>
          <w:tcPr>
            <w:tcW w:w="778"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Boot SE</w:t>
            </w:r>
          </w:p>
        </w:tc>
        <w:tc>
          <w:tcPr>
            <w:tcW w:w="1201"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95% CI</w:t>
            </w:r>
          </w:p>
        </w:tc>
        <w:tc>
          <w:tcPr>
            <w:tcW w:w="109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유의성</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A: 관리신뢰</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a</w:t>
            </w:r>
            <w:r>
              <w:rPr>
                <w:sz w:val="18"/>
              </w:rPr>
              <w:t>₁</w:t>
            </w:r>
            <w:r>
              <w:rPr>
                <w:sz w:val="18"/>
              </w:rPr>
              <w:t>=0.277</w:t>
            </w:r>
            <w:r>
              <w:rPr>
                <w:b/>
              </w:rPr>
              <w:t>* b</w:t>
            </w:r>
            <w:r>
              <w:rPr>
                <w:b/>
              </w:rPr>
              <w:t>₁</w:t>
            </w:r>
            <w:r>
              <w:rPr>
                <w:b/>
              </w:rPr>
              <w:t>=0.143</w:t>
            </w: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0.040</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0.009</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[0.023, 0.058]</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경로 B: 안전인식</w:t>
            </w:r>
            <w:r>
              <w:rPr>
                <w:sz w:val="18"/>
              </w:rPr>
              <w:t>→제도적</w:t>
            </w:r>
            <w:r>
              <w:rPr>
                <w:sz w:val="18"/>
              </w:rPr>
              <w:t xml:space="preserve"> 신뢰</w:t>
            </w:r>
            <w:r>
              <w:rPr>
                <w:sz w:val="18"/>
              </w:rPr>
              <w:t>→정책수용성</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a₂=+0.778*</w:t>
            </w:r>
            <w:r>
              <w:rPr>
                <w:sz w:val="18"/>
              </w:rPr>
            </w:r>
            <w:r>
              <w:rPr>
                <w:sz w:val="18"/>
              </w:rPr>
            </w:r>
            <w:r>
              <w:rPr>
                <w:sz w:val="18"/>
              </w:rPr>
            </w:r>
            <w:r>
              <w:rPr>
                <w:sz w:val="18"/>
              </w:rPr>
            </w:r>
            <w:r>
              <w:rPr>
                <w:b/>
              </w:rPr>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0.111</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0.023</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w:t>
            </w:r>
            <w:r>
              <w:rPr>
                <w:sz w:val="18"/>
              </w:rPr>
              <w:t xml:space="preserve">0.158, </w:t>
            </w:r>
            <w:r>
              <w:rPr>
                <w:sz w:val="18"/>
              </w:rPr>
              <w:t>−</w:t>
            </w:r>
            <w:r>
              <w:rPr>
                <w:sz w:val="18"/>
              </w:rPr>
              <w:t>0.067]</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직접효과 (제도적 신뢰 통제 후)</w:t>
            </w:r>
          </w:p>
        </w:tc>
        <w:tc>
          <w:tcPr>
            <w:tcW w:w="171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0.674</w:t>
            </w:r>
          </w:p>
        </w:tc>
        <w:tc>
          <w:tcPr>
            <w:tcW w:w="778"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0.030</w:t>
            </w:r>
          </w:p>
        </w:tc>
        <w:tc>
          <w:tcPr>
            <w:tcW w:w="1201"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[0.613, 0.730]</w:t>
            </w:r>
          </w:p>
        </w:tc>
        <w:tc>
          <w:tcPr>
            <w:tcW w:w="109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유의</w:t>
            </w:r>
          </w:p>
        </w:tc>
      </w:tr>
      <w:tr>
        <w:trPr>
          <w:trHeight w:val="0"/>
        </w:trPr>
        <w:tc>
          <w:tcPr>
            <w:tcW w:w="2515"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총효과 (직접+간접)</w:t>
            </w:r>
          </w:p>
        </w:tc>
        <w:tc>
          <w:tcPr>
            <w:tcW w:w="171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8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0.713</w:t>
            </w:r>
          </w:p>
        </w:tc>
        <w:tc>
          <w:tcPr>
            <w:tcW w:w="778"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201"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c>
          <w:tcPr>
            <w:tcW w:w="109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(분해: 94.5%+5.5%)</w:t>
            </w:r>
          </w:p>
        </w:tc>
      </w:tr>
    </w:tbl>
    <w:p>
      <w:pPr>
        <w:pStyle w:val="14"/>
        <w:widowControl w:val="off"/>
      </w:pPr>
      <w:r>
        <w:rPr/>
        <w:t>주: 통제변수(성별, 연령, 교육, 소득) 포함 조건에서 추정. 95% CI가 0을 포함하지 않으면 유의. 횡단면 자료에 기반하므로 모든 경로는 인과적 매개가 아닌 탐색적 통계적 간접 연관으로 해석한다. 이론적 초점 경로: 관리신뢰 → 제도적 신뢰 → 정책수용성 (경로 A).</w:t>
      </w:r>
    </w:p>
    <w:p>
      <w:pPr>
        <w:pStyle w:val="1"/>
        <w:widowControl w:val="off"/>
      </w:pPr>
      <w:r>
        <w:rPr/>
        <w:t>H3 탐색적 확인(부트스트랩 검증): 제도적 신뢰는 관리신뢰와 정책수용성 사이에서 유의한 탐색적 간접 연관 패턴을 보인다. 간접 연관 추정치 0.040의 95% CI[0.023, 0.058]는 0을 포함하지 않으며, 제도적 신뢰 포함 후에도 관리신뢰의 직접 연관 효과(0.674)는 유의하게 유지된다. 횡단면 자료에 기반하므로 이 결과는 인과적 매개 메커니즘이 아닌 탐색적 통계적 간접 연관으로 해석한다.</w:t>
      </w:r>
    </w:p>
    <w:p>
      <w:pPr>
        <w:pStyle w:val="3"/>
        <w:widowControl w:val="off"/>
      </w:pPr>
      <w:r>
        <w:rPr/>
        <w:t>5. 위험인식의 조절 효과: 신뢰 대체 메커니즘의 탐색적 확인</w:t>
      </w:r>
    </w:p>
    <w:p>
      <w:pPr>
        <w:pStyle w:val="1"/>
        <w:widowControl w:val="off"/>
      </w:pPr>
      <w:r>
        <w:rPr/>
        <w:t>조절효과 분석 결과, 관리신뢰와 위험인식의 상호작용항은 정책수용성과 유의한 정적 연관성을 나타냈다(</w:t>
      </w:r>
      <w:r>
        <w:rPr/>
        <w:t>β</w:t>
      </w:r>
      <w:r>
        <w:rPr/>
        <w:t>=0.084, p=.002; HC3 z=2.743, p=.006). 이 결과는 통제변수 포함 전 기본 모형(</w:t>
      </w:r>
      <w:r>
        <w:rPr/>
        <w:t>β</w:t>
      </w:r>
      <w:r>
        <w:rPr/>
        <w:t>=0.082, p=.002)과 비교하여 방향성·크기·유의수준 모두에서 안정적으로 재현되며, HC3 강건 표준오차 적용 후에도 일관성이 유지된다. 다만 상호작용 계수(</w:t>
      </w:r>
      <w:r>
        <w:rPr/>
        <w:t>β</w:t>
      </w:r>
      <w:r>
        <w:rPr/>
        <w:t>=0.084)는 통계적으로 유의하지만 효과 크기가 제한적임을 명시한다. 주효과인 관리신뢰(</w:t>
      </w:r>
      <w:r>
        <w:rPr/>
        <w:t>β</w:t>
      </w:r>
      <w:r>
        <w:rPr/>
        <w:t>=0.709)와 비교할 때 상호작용 효과는 실질적으로 작으며, 이론적 방향성의 탐색적 확인 수준으로 해석하는 것이 적절하다(표 6, 표 7 참조).</w:t>
      </w:r>
    </w:p>
    <w:p>
      <w:pPr>
        <w:pStyle w:val="6"/>
        <w:widowControl w:val="off"/>
      </w:pPr>
      <w:r>
        <w:rPr/>
        <w:t>&lt;표 6: 조절효과(상호작용) 분석 결과(종속변수: 정책수용성, N=1,094)&gt;</w:t>
      </w:r>
    </w:p>
    <w:tbl>
      <w:tblPr>
        <w:tblOverlap w:val="never"/>
        <w:tblW w:w="8228"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17"/>
        <w:gridCol w:w="2142"/>
        <w:gridCol w:w="1746"/>
        <w:gridCol w:w="1923"/>
      </w:tblGrid>
      <w:tr>
        <w:trPr>
          <w:trHeight w:val="0"/>
          <w:tblHeader/>
        </w:trPr>
        <w:tc>
          <w:tcPr>
            <w:tcW w:w="2417"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변수</w:t>
            </w:r>
          </w:p>
        </w:tc>
        <w:tc>
          <w:tcPr>
            <w:tcW w:w="214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 xml:space="preserve">Model A (통제 </w:t>
            </w:r>
            <w:r>
              <w:rPr>
                <w:b/>
              </w:rPr>
              <w:t>無)</w:t>
            </w:r>
          </w:p>
        </w:tc>
        <w:tc>
          <w:tcPr>
            <w:tcW w:w="174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B (+통제)</w:t>
            </w:r>
          </w:p>
        </w:tc>
        <w:tc>
          <w:tcPr>
            <w:tcW w:w="1923"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Model C (HC3)</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관리신뢰 (중심화)</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(.024)</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0.709 / z=24.73</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위험인식 (중심화)</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0.061 (.023)</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(.023)</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r>
              <w:rPr>
                <w:sz w:val="18"/>
              </w:rPr>
              <w:t>0.066 / z=</w:t>
            </w:r>
            <w:r>
              <w:rPr>
                <w:sz w:val="18"/>
              </w:rPr>
              <w:t>−</w:t>
            </w:r>
            <w:r>
              <w:rPr>
                <w:sz w:val="18"/>
              </w:rPr>
              <w:t>2.88</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안전관리 인식</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0.191 (.036)</w:t>
            </w:r>
            <w:r>
              <w:rPr>
                <w:b/>
              </w:rPr>
              <w:t>*</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0.189 (.037)</w:t>
            </w:r>
            <w:r>
              <w:rPr>
                <w:b/>
              </w:rPr>
              <w:t>*</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r>
              <w:rPr>
                <w:sz w:val="18"/>
              </w:rPr>
              <w:t>0.189 / z=</w:t>
            </w:r>
            <w:r>
              <w:rPr>
                <w:sz w:val="18"/>
              </w:rPr>
              <w:t>−</w:t>
            </w:r>
            <w:r>
              <w:rPr>
                <w:sz w:val="18"/>
              </w:rPr>
              <w:t>5.24</w:t>
            </w:r>
            <w:r>
              <w:rPr>
                <w:b/>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b/>
              </w:rPr>
              <w:t>관리신뢰 × 위험인식</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0.082 (.027)</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(.027)</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b/>
              </w:rPr>
              <w:t>0.084 / z=2.74</w:t>
            </w:r>
          </w:p>
        </w:tc>
      </w:tr>
      <w:tr>
        <w:trPr>
          <w:trHeight w:val="0"/>
        </w:trPr>
        <w:tc>
          <w:tcPr>
            <w:tcW w:w="2417"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R²</w:t>
            </w:r>
          </w:p>
        </w:tc>
        <w:tc>
          <w:tcPr>
            <w:tcW w:w="214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.509</w:t>
            </w:r>
          </w:p>
        </w:tc>
        <w:tc>
          <w:tcPr>
            <w:tcW w:w="174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.513</w:t>
            </w:r>
          </w:p>
        </w:tc>
        <w:tc>
          <w:tcPr>
            <w:tcW w:w="1923"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w:t>
            </w:r>
          </w:p>
        </w:tc>
      </w:tr>
      <w:tr>
        <w:trPr>
          <w:trHeight w:val="0"/>
        </w:trPr>
        <w:tc>
          <w:tcPr>
            <w:tcW w:w="2417"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Δ</w:t>
            </w:r>
            <w:r>
              <w:rPr>
                <w:sz w:val="18"/>
              </w:rPr>
              <w:t>R² (상호작용항 추가)</w:t>
            </w:r>
          </w:p>
        </w:tc>
        <w:tc>
          <w:tcPr>
            <w:tcW w:w="214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+.005</w:t>
            </w:r>
          </w:p>
        </w:tc>
        <w:tc>
          <w:tcPr>
            <w:tcW w:w="174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+.004</w:t>
            </w:r>
          </w:p>
        </w:tc>
        <w:tc>
          <w:tcPr>
            <w:tcW w:w="1923"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w:t>
            </w:r>
          </w:p>
        </w:tc>
      </w:tr>
    </w:tbl>
    <w:p>
      <w:pPr>
        <w:pStyle w:val="14"/>
        <w:widowControl w:val="off"/>
      </w:pPr>
      <w:r>
        <w:rPr/>
        <w:t>주: 관리신뢰·위험인식은 평균 중심화(mean-centering) 후 투입. **p&lt;.01, ***p&lt;.001. Model C는 HC3 강건 표준오차.</w:t>
      </w:r>
    </w:p>
    <w:p>
      <w:pPr>
        <w:pStyle w:val="14"/>
        <w:widowControl w:val="off"/>
        <w:rPr/>
      </w:pPr>
    </w:p>
    <w:p>
      <w:pPr>
        <w:pStyle w:val="6"/>
        <w:widowControl w:val="off"/>
      </w:pPr>
      <w:r>
        <w:rPr/>
        <w:t>&lt;표 7: 단순 기울기 분석: 위험인식 수준별 관리신뢰의 정책수용성 연관 효과&gt;</w:t>
      </w:r>
    </w:p>
    <w:tbl>
      <w:tblPr>
        <w:tblOverlap w:val="never"/>
        <w:tblW w:w="8171" w:type="dxa"/>
        <w:tblBorders>
          <w:top w:val="single" w:color="0a0000" w:sz="3"/>
          <w:left w:val="single" w:color="0a0000" w:sz="3"/>
          <w:bottom w:val="single" w:color="0a0000" w:sz="3"/>
          <w:right w:val="single" w:color="0a0000" w:sz="3"/>
        </w:tblBorders>
        <w:shd w:val="clear" w:color="000000" w:fill="ffffff"/>
        <w:tblLayout w:type="fixed"/>
        <w:tblCellMar>
          <w:top w:w="0" w:type="dxa"/>
          <w:left w:w="10" w:type="dxa"/>
          <w:bottom w:w="0" w:type="dxa"/>
          <w:right w:w="10" w:type="dxa"/>
        </w:tblCellMar>
      </w:tblPr>
      <w:tblGrid>
        <w:gridCol w:w="2464"/>
        <w:gridCol w:w="2222"/>
        <w:gridCol w:w="3486"/>
      </w:tblGrid>
      <w:tr>
        <w:trPr>
          <w:trHeight w:val="0"/>
          <w:tblHeader/>
        </w:trPr>
        <w:tc>
          <w:tcPr>
            <w:tcW w:w="2464"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위험인식 수준</w:t>
            </w:r>
          </w:p>
        </w:tc>
        <w:tc>
          <w:tcPr>
            <w:tcW w:w="2222"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관리신뢰 효과 (</w:t>
            </w:r>
            <w:r>
              <w:rPr>
                <w:b/>
              </w:rPr>
              <w:t>β</w:t>
            </w:r>
            <w:r>
              <w:rPr>
                <w:b/>
              </w:rPr>
              <w:t>)</w:t>
            </w:r>
          </w:p>
        </w:tc>
        <w:tc>
          <w:tcPr>
            <w:tcW w:w="3486" w:type="dxa"/>
            <w:tcBorders>
              <w:top w:val="single" w:color="aaaaaa" w:sz="2"/>
              <w:left w:val="single" w:color="aaaaaa" w:sz="2"/>
              <w:bottom w:val="single" w:color="aaaaaa" w:sz="2"/>
              <w:right w:val="single" w:color="aaaaaa" w:sz="2"/>
            </w:tcBorders>
            <w:shd w:val="clear" w:fill="d9e2f3"/>
            <w:tcMar>
              <w:top w:w="80" w:type="dxa"/>
              <w:left w:w="100" w:type="dxa"/>
              <w:bottom w:w="80" w:type="dxa"/>
              <w:right w:w="100" w:type="dxa"/>
            </w:tcMar>
            <w:vAlign w:val="center"/>
          </w:tcPr>
          <w:p>
            <w:pPr>
              <w:pStyle w:val="16"/>
              <w:widowControl w:val="off"/>
              <w:snapToGrid w:val="off"/>
              <w:jc w:val="center"/>
            </w:pPr>
            <w:r>
              <w:rPr>
                <w:b/>
              </w:rPr>
              <w:t>해석</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 xml:space="preserve">낮은 집단 (평균 </w:t>
            </w:r>
            <w:r>
              <w:rPr>
                <w:sz w:val="18"/>
              </w:rPr>
              <w:t>−</w:t>
            </w:r>
            <w:r>
              <w:rPr>
                <w:sz w:val="18"/>
              </w:rPr>
              <w:t xml:space="preserve"> 1SD)</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0.643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낮음 조건에서도 강한 정적 연관</w:t>
            </w:r>
          </w:p>
        </w:tc>
      </w:tr>
      <w:tr>
        <w:trPr>
          <w:trHeight w:val="0"/>
        </w:trPr>
        <w:tc>
          <w:tcPr>
            <w:tcW w:w="2464"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높은 집단 (평균 + 1SD)</w:t>
            </w:r>
          </w:p>
        </w:tc>
        <w:tc>
          <w:tcPr>
            <w:tcW w:w="2222"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0.776</w:t>
            </w:r>
          </w:p>
        </w:tc>
        <w:tc>
          <w:tcPr>
            <w:tcW w:w="3486" w:type="dxa"/>
            <w:tcBorders>
              <w:top w:val="single" w:color="aaaaaa" w:sz="2"/>
              <w:left w:val="single" w:color="aaaaaa" w:sz="2"/>
              <w:bottom w:val="single" w:color="aaaaaa" w:sz="2"/>
              <w:right w:val="single" w:color="aaaaaa" w:sz="2"/>
            </w:tcBorders>
            <w:shd w:val="clear" w:fill="f7f8fc"/>
            <w:tcMar>
              <w:top w:w="60" w:type="dxa"/>
              <w:left w:w="100" w:type="dxa"/>
              <w:bottom w:w="60" w:type="dxa"/>
              <w:right w:w="100" w:type="dxa"/>
            </w:tcMar>
            <w:vAlign w:val="center"/>
          </w:tcPr>
          <w:p>
            <w:pPr>
              <w:pStyle w:val="16"/>
              <w:widowControl w:val="off"/>
              <w:snapToGrid w:val="off"/>
              <w:jc w:val="center"/>
            </w:pPr>
            <w:r>
              <w:rPr>
                <w:sz w:val="18"/>
              </w:rPr>
              <w:t>위험 높음 조건에서 연관 증폭</w:t>
            </w:r>
          </w:p>
        </w:tc>
      </w:tr>
      <w:tr>
        <w:trPr>
          <w:trHeight w:val="0"/>
        </w:trPr>
        <w:tc>
          <w:tcPr>
            <w:tcW w:w="2464"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pBdr>
                <w:top w:val="none" w:color="000000" w:sz="2" w:space="0"/>
                <w:left w:val="none" w:color="000000" w:sz="2" w:space="0"/>
                <w:bottom w:val="none" w:color="000000" w:sz="2" w:space="0"/>
                <w:right w:val="none" w:color="000000" w:sz="2" w:space="0"/>
              </w:pBdr>
            </w:pPr>
            <w:r>
              <w:rPr>
                <w:sz w:val="18"/>
              </w:rPr>
              <w:t>차이 (</w:t>
            </w:r>
            <w:r>
              <w:rPr>
                <w:sz w:val="18"/>
              </w:rPr>
              <w:t>Δβ</w:t>
            </w:r>
            <w:r>
              <w:rPr>
                <w:sz w:val="18"/>
              </w:rPr>
              <w:t>)</w:t>
            </w:r>
          </w:p>
        </w:tc>
        <w:tc>
          <w:tcPr>
            <w:tcW w:w="2222"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0.133</w:t>
            </w:r>
          </w:p>
        </w:tc>
        <w:tc>
          <w:tcPr>
            <w:tcW w:w="3486" w:type="dxa"/>
            <w:tcBorders>
              <w:top w:val="single" w:color="aaaaaa" w:sz="2"/>
              <w:left w:val="single" w:color="aaaaaa" w:sz="2"/>
              <w:bottom w:val="single" w:color="aaaaaa" w:sz="2"/>
              <w:right w:val="single" w:color="aaaaaa" w:sz="2"/>
            </w:tcBorders>
            <w:shd w:val="clear" w:fill="ffffff"/>
            <w:tcMar>
              <w:top w:w="60" w:type="dxa"/>
              <w:left w:w="100" w:type="dxa"/>
              <w:bottom w:w="60" w:type="dxa"/>
              <w:right w:w="100" w:type="dxa"/>
            </w:tcMar>
            <w:vAlign w:val="center"/>
          </w:tcPr>
          <w:p>
            <w:pPr>
              <w:pStyle w:val="16"/>
              <w:widowControl w:val="off"/>
              <w:snapToGrid w:val="off"/>
              <w:jc w:val="center"/>
            </w:pPr>
            <w:r>
              <w:rPr>
                <w:sz w:val="18"/>
              </w:rPr>
              <w:t>위험 조건에 따른 연관 강도 차이</w:t>
            </w:r>
          </w:p>
        </w:tc>
      </w:tr>
    </w:tbl>
    <w:p>
      <w:pPr>
        <w:pStyle w:val="14"/>
        <w:widowControl w:val="off"/>
      </w:pPr>
      <w:r>
        <w:rPr/>
        <w:t>주: 모든 단순 기울기는 p&lt;.001.</w:t>
      </w:r>
    </w:p>
    <w:p>
      <w:pPr>
        <w:pStyle w:val="16"/>
        <w:widowControl w:val="off"/>
        <w:spacing w:after="80"/>
        <w:rPr/>
      </w:pPr>
    </w:p>
    <w:p>
      <w:pPr>
        <w:pStyle w:val="1"/>
        <w:widowControl w:val="off"/>
      </w:pPr>
      <w:r>
        <w:rPr/>
        <w:t>단순 기울기 분석 결과, 위험인식이 낮은 집단(평균-1SD)에서 관리신뢰와 정책수용성 간 연관의 기울기는 β=0.643, 위험인식이 높은 집단(평균+1SD)에서 기울기는 β=0.776으로, 위험인식이 높은 조건에서 기울기가 더 크게 나타나는 조건부 연관 패턴이 확인된다(Δβ=0.133). 이는 위험인식이 낮은 조건에서도 관리신뢰가 정책수용성과 강한 정적 연관성을 나타내지만, 위험 상황에서 관리신뢰와 정책수용성의 연관 기울기가 더 크게 나타남을 구체적으로 보여준다.</w:t>
      </w:r>
      <w:r>
        <w:rPr/>
      </w:r>
      <w:r>
        <w:rPr/>
      </w:r>
      <w:r>
        <w:rPr/>
      </w:r>
      <w:r>
        <w:rPr/>
      </w:r>
      <w:r>
        <w:rPr/>
      </w:r>
      <w:r>
        <w:rPr/>
      </w:r>
      <w:r>
        <w:rPr/>
      </w:r>
      <w:r>
        <w:rPr/>
      </w:r>
    </w:p>
    <w:p>
      <w:pPr>
        <w:pStyle w:val="1"/>
        <w:widowControl w:val="off"/>
      </w:pPr>
      <w:r>
        <w:rPr/>
        <w:t>H4 탐색적 부합: 위험인식이 높은 조건에서 관리신뢰와 정책수용성 간 정적 연관의 기울기가 더 크게 나타나는 조건부 연관 패턴이 관찰되었으며(상호작용 β=0.084**, HC3 z=2.743**), 이 패턴은 Beck(1992)의 재귀적 근대화론과 Luhmann(1979)·Giddens(1990)의 신뢰 대체 메커니즘이 공동으로 예측하는 방향과 탐색적으로 부합한다. 상호작용 효과 크기가 제한적(β=0.084)임을 감안하여 이 결과는 이론적 방향성의 탐색적 확인으로 해석한다.</w:t>
      </w:r>
      <w:r>
        <w:rPr/>
      </w:r>
      <w:r>
        <w:rPr/>
      </w:r>
      <w:r>
        <w:rPr/>
      </w:r>
      <w:r>
        <w:rPr/>
      </w:r>
    </w:p>
    <w:p>
      <w:pPr>
        <w:pStyle w:val="3"/>
        <w:widowControl w:val="off"/>
      </w:pPr>
      <w:r>
        <w:rPr/>
        <w:t>6. 강건성 검증: 분석 결과의 명세 독립적 재현가능성</w:t>
      </w:r>
    </w:p>
    <w:p>
      <w:pPr>
        <w:pStyle w:val="1"/>
        <w:widowControl w:val="off"/>
      </w:pPr>
      <w:r>
        <w:rPr/>
        <w:t>핵심 발견이 특정 통계 모형의 가정에 의존하는 인공물이 아닌 실질적 패턴임을 확인하기 위해 복수의 강건성 검증을 수행하였다. 순서형 로짓 모형에서 관리신뢰(coef=2.526***), 위험인식(coef=</w:t>
      </w:r>
      <w:r>
        <w:rPr/>
        <w:t>−</w:t>
      </w:r>
      <w:r>
        <w:rPr/>
        <w:t>0.168*), 안전관리 인식(coef=</w:t>
      </w:r>
      <w:r>
        <w:rPr/>
        <w:t>−</w:t>
      </w:r>
      <w:r>
        <w:rPr/>
        <w:t xml:space="preserve">0.636***)의 방향성·유의성이 OLS 결과와 완전히 일치하여 척도 가정 독립성이 확인되었다. ANOVA 결과, 위험인식 집단(F=9.91, df=2,1091, p&lt;.001), 제도적 신뢰 집단(F=84.77, df=2,1091, p&lt;.001), 안전관리 인식 집단(F=118.85, df=1,1092, p&lt;.001, </w:t>
      </w:r>
      <w:r>
        <w:rPr/>
        <w:t>η</w:t>
      </w:r>
      <w:r>
        <w:rPr/>
        <w:t>²=.135)별로 정책수용성에 유의미한 집단 간 차이가 확인되었다. Tukey HSD 사후검증 결과, 제도적 신뢰 저·중·고 집단 간 모든 쌍에서 유의미한 정책수용성 차이가 나타났다(고</w:t>
      </w:r>
      <w:r>
        <w:rPr/>
        <w:t>↔저</w:t>
      </w:r>
      <w:r>
        <w:rPr/>
        <w:t>: 평균 차이=</w:t>
      </w:r>
      <w:r>
        <w:rPr/>
        <w:t>−</w:t>
      </w:r>
      <w:r>
        <w:rPr/>
        <w:t>1.011, p&lt;.001; 고</w:t>
      </w:r>
      <w:r>
        <w:rPr/>
        <w:t>↔중</w:t>
      </w:r>
      <w:r>
        <w:rPr/>
        <w:t xml:space="preserve">: </w:t>
      </w:r>
      <w:r>
        <w:rPr/>
        <w:t>−</w:t>
      </w:r>
      <w:r>
        <w:rPr/>
        <w:t>0.496, p&lt;.001; 저</w:t>
      </w:r>
      <w:r>
        <w:rPr/>
        <w:t>↔중</w:t>
      </w:r>
      <w:r>
        <w:rPr/>
        <w:t>: 0.515, p&lt;.001). 잔차 히스토그램(그림 5)은 정규분포에 근접한 형태를 보이며, Durbin-Watson 통계량(Model 1: 2.039)은 잔차 자기상관이 없음을 시사한다.</w:t>
      </w:r>
    </w:p>
    <w:p>
      <w:pPr>
        <w:pStyle w:val="16"/>
        <w:widowControl w:val="off"/>
        <w:spacing w:after="60"/>
        <w:rPr/>
      </w:pPr>
    </w:p>
    <w:p>
      <w:pPr>
        <w:pStyle w:val="6"/>
        <w:widowControl w:val="off"/>
      </w:pPr>
      <w:r>
        <w:rPr/>
        <w:t>&lt;그림 5: 잔차 히스토그램 (OLS 기본 모형)&gt;</w:t>
      </w:r>
    </w:p>
    <w:p>
      <w:pPr>
        <w:pStyle w:val="16"/>
        <w:widowControl w:val="off"/>
        <w:spacing w:after="80"/>
        <w:jc w:val="center"/>
      </w:pPr>
      <w:r>
        <w:drawing>
          <wp:inline distT="0" distB="0" distL="0" distR="0">
            <wp:extent cx="3048000" cy="2381250"/>
            <wp:effectExtent l="0" t="0" r="0" b="0"/>
            <wp:docPr id="5" name="그림 %d 5"/>
            <wp:cNvGraphicFramePr/>
            <a:graphic>
              <a:graphicData uri="http://schemas.openxmlformats.org/drawingml/2006/picture">
                <pic:pic>
                  <pic:nvPicPr>
                    <pic:cNvPr id="0" name="C:\Temp\Hnc\BinData\EMB0000757c0a85.jpg"/>
                    <pic:cNvPicPr/>
                  </pic:nvPicPr>
                  <pic:blipFill>
                    <a:blip r:embed="rId5"/>
                    <a:stretch>
                      <a:fillRect/>
                    </a:stretch>
                  </pic:blipFill>
                  <pic:spPr>
                    <a:xfrm>
                      <a:off x="0" y="0"/>
                      <a:ext cx="3048000" cy="2381250"/>
                    </a:xfrm>
                    <a:prstGeom prst="rect">
                      <a:avLst/>
                    </a:prstGeom>
                    <a:effectLst/>
                  </pic:spPr>
                </pic:pic>
              </a:graphicData>
            </a:graphic>
          </wp:inline>
        </w:drawing>
      </w:r>
    </w:p>
    <w:p>
      <w:pPr>
        <w:pStyle w:val="14"/>
        <w:widowControl w:val="off"/>
      </w:pPr>
      <w:r>
        <w:rPr/>
        <w:t>주: OLS 기본 모형(Model 1)의 잔차 분포. 정규분포 근접 형태 확인. Durbin-Watson=2.039.</w:t>
      </w:r>
    </w:p>
    <w:p>
      <w:pPr>
        <w:pStyle w:val="1"/>
        <w:widowControl w:val="off"/>
        <w:rPr/>
      </w:pPr>
    </w:p>
    <w:p>
      <w:pPr>
        <w:pStyle w:val="2"/>
        <w:widowControl w:val="off"/>
      </w:pPr>
      <w:r>
        <w:rPr/>
        <w:t>Ⅴ</w:t>
      </w:r>
      <w:r>
        <w:rPr/>
        <w:t>. 논의</w:t>
      </w:r>
    </w:p>
    <w:p>
      <w:pPr>
        <w:pStyle w:val="3"/>
        <w:widowControl w:val="off"/>
      </w:pPr>
      <w:r>
        <w:rPr/>
        <w:t>1. 핵심 발견의 이론적 요약</w:t>
      </w:r>
    </w:p>
    <w:p>
      <w:pPr>
        <w:pStyle w:val="1"/>
        <w:widowControl w:val="off"/>
      </w:pPr>
      <w:r>
        <w:rPr/>
        <w:t>본 연구는 재난 개인정보 거버넌스 맥락에서 하이브리드 거버넌스 조건 하에 개인들이 형성하는 정당성 인식 패턴을 분석함으로써, 세 가지 주요 가설에 대한 유의한 경험적 확인과 하나의 방향성 부합 패턴을 도출하였다. 이 결과들은 단일한 이론적 논리를 공유하는 수렴적 증거들이다: 재귀적 근대화가 진행된 위험사회 조건에서, 개인의 정책수용성 인식은 형식적 안전관리 긍정 인식과 관계적으로 구축된 관리신뢰 모두와 독립적으로 유의하게 연관되며, 위험인식 수준에 따라 관리신뢰-정책수용성 간 연관의 기울기가 달라지는 조건부 구조가 추가로 관찰된다.</w:t>
      </w:r>
    </w:p>
    <w:p>
      <w:pPr>
        <w:pStyle w:val="3"/>
        <w:widowControl w:val="off"/>
      </w:pPr>
      <w:r>
        <w:rPr/>
        <w:t>2. 이론적 함의</w:t>
      </w:r>
    </w:p>
    <w:p>
      <w:pPr>
        <w:pStyle w:val="4"/>
        <w:widowControl w:val="off"/>
      </w:pPr>
      <w:r>
        <w:rPr/>
        <w:t>1) 위험사회론의 거버넌스 정당성 이론으로의 적용</w:t>
      </w:r>
    </w:p>
    <w:p>
      <w:pPr>
        <w:pStyle w:val="1"/>
        <w:widowControl w:val="off"/>
      </w:pPr>
      <w:r>
        <w:rPr/>
        <w:t>본 연구의 핵심 이론적 기여는 Beck(1992)의 위험사회론을 단순한 사회이론적 배경으로 인용하는 수준을 넘어, 거버넌스 정당성 생산의 구조적 조건에 관한 검증 가능한 명제들을 도출하는 이론적 발생 기제(theory-generating mechanism)로 활용하고, 개인 수준 설문 자료를 통해 이 명제들과 방향적으로 부합하는 탐색적 패턴을 확인하였다는 점에 있다. 재귀적 근대화 테제는 현대 거버넌스 시스템이 직면하는 독특한 정당성 문제를 구조적으로 설명한다. 불확실성이 높은 조건에서 거버넌스 기관에 대한 관계적 신뢰는 개인의 정책수용성 판단에서 핵심 인지적 자원으로 기능하며, 본 연구의 발견인 관리신뢰와 안전관리 긍정 인식 모두의 독립적 정적 연관은 이 이론적 맥락에서 해석될 수 있다.</w:t>
      </w:r>
      <w:r>
        <w:rPr/>
      </w:r>
      <w:r>
        <w:rPr/>
      </w:r>
      <w:r>
        <w:rPr/>
      </w:r>
      <w:r>
        <w:rPr/>
      </w:r>
    </w:p>
    <w:p>
      <w:pPr>
        <w:pStyle w:val="1"/>
        <w:widowControl w:val="off"/>
      </w:pPr>
      <w:r>
        <w:rPr/>
        <w:t>기존의 많은 위험사회론 적용 연구들은 이 이론을 현대사회의 불확실성 증가를 기술하는 거시 서사로 활용하는 데 그쳐왔다. 본 연구는 재귀적 근대화의 이론적 메커니즘</w:t>
      </w:r>
      <w:r>
        <w:rPr/>
        <w:t>—형식적</w:t>
      </w:r>
      <w:r>
        <w:rPr/>
        <w:t xml:space="preserve"> 권위의 탈정당화, 신뢰 자원으로의 정당성 이전, 위험 조건에서의 신뢰 대체</w:t>
      </w:r>
      <w:r>
        <w:rPr/>
        <w:t>—이</w:t>
      </w:r>
      <w:r>
        <w:rPr/>
        <w:t xml:space="preserve"> 거버넌스 정당성 변수들 간 연관성 패턴으로 직접 검증될 수 있음을 보여줌으로써, 위험사회론의 중범위 이론화(middle-range theorization)를 위한 경험적 기반을 확장한다.</w:t>
      </w:r>
    </w:p>
    <w:p>
      <w:pPr>
        <w:pStyle w:val="1"/>
        <w:widowControl w:val="off"/>
      </w:pPr>
      <w:r>
        <w:rPr/>
        <w:t>안전관리 긍정 인식의 정적 연관 패턴과 거버넌스 정당성. 본 연구에서 안전하게 관리된다고 인식하는 응답자(safe_management=1)는 그렇지 않은 응답자보다 정책수용성과 제도적 신뢰 모두에서 유의하게 높게 나타났다(β=+0.191***, 제도적 신뢰 경유 간접 연관=+0.111). 이 패턴은 하이브리드 거버넌스 맥락에서 형식적 안전관리 인식이 정당성 인식의 일부 기반으로 작동함을 보여준다. Luhmann(1979)의 복잡성 축소 이론에서, 안전관리 체계에 대한 긍정적 평가는 거버넌스 기관에 대한 확산적 신뢰의 인지적 자원으로 기능할 수 있다. 다만 이 변수는 단일 이분형 문항으로 측정되었으므로, 안전관리 인식의 다차원적 구조(기술적 역량, 절차적 투명성, 책임성 등)를 포착하는 데 한계가 있다. 향후 연구에서 다문항 척도를 통한 정밀 측정이 이 패턴의 기제적 이해를 확장할 수 있을 것이다.</w:t>
      </w:r>
      <w:r>
        <w:rPr/>
      </w:r>
      <w:r>
        <w:rPr/>
      </w:r>
      <w:r>
        <w:rPr/>
      </w:r>
      <w:r>
        <w:rPr/>
      </w:r>
      <w:r>
        <w:rPr/>
      </w:r>
      <w:r>
        <w:rPr/>
      </w:r>
      <w:r>
        <w:rPr/>
      </w:r>
      <w:r>
        <w:rPr/>
      </w:r>
    </w:p>
    <w:p>
      <w:pPr>
        <w:pStyle w:val="4"/>
        <w:widowControl w:val="off"/>
      </w:pPr>
      <w:r>
        <w:rPr/>
        <w:t>2) 사후규제 거버넌스 이론에 대한 함의</w:t>
      </w:r>
    </w:p>
    <w:p>
      <w:pPr>
        <w:pStyle w:val="1"/>
        <w:widowControl w:val="off"/>
      </w:pPr>
      <w:r>
        <w:rPr/>
        <w:t>본 연구는 사후규제 거버넌스 이론에 구체적인 경험적 단서를 제공한다. Hood &amp; Rothstein(2001), Black(2010), Rothstein et al.(2006)은 사후규제가 준수를 생산하도록 설계된 제도적 구조임을 분석하였으나, 이 연구들은 사후규제가 거버넌스 정당성인 공중의 실질적 수용과 신뢰를 어떤 조건에서 생산하는지에 대해 충분히 다루지 않았다. 본 연구의 탐색적 발견은 이 공백에 대한 경험적 단서를 제공한다. 관리신뢰와 안전관리 긍정 인식이 모두 정책수용성과 정적으로 연관된다는 패턴은, 사후규제 체계에서 형식적 성과 시연과 관계적 신뢰 구축이 모두 정당성 인식에 기여할 수 있음을 탐색적으로 시사한다.</w:t>
      </w:r>
      <w:r>
        <w:rPr/>
      </w:r>
      <w:r>
        <w:rPr/>
      </w:r>
      <w:r>
        <w:rPr/>
      </w:r>
      <w:r>
        <w:rPr/>
      </w:r>
    </w:p>
    <w:p>
      <w:pPr>
        <w:pStyle w:val="1"/>
        <w:widowControl w:val="off"/>
      </w:pPr>
      <w:r>
        <w:rPr/>
        <w:t>이것은 Luhmann(1979)의 이론적 통찰을 사후규제 거버넌스 문맥에서 확장하는 것이기도 하다. 사후규제 체계가 형식적 성과 시연을 통해 불확실성의 '해소'를 시도하는 반면, 관계적으로 구축된 관리신뢰는 불확실성이 해소되지 않은 상태에서도 행위 가능성</w:t>
      </w:r>
      <w:r>
        <w:rPr/>
        <w:t>—정책수용성—을</w:t>
      </w:r>
      <w:r>
        <w:rPr/>
        <w:t xml:space="preserve"> 유지하는 복잡성 축소 기제로 기능한다. 이 이론적 구별이 사후규제 체계의 구조적 취약성을 설명한다. 아울러, 기관 수준의 신뢰 구조 분석(&lt;그림 4&gt;)에서 소방청(M=3.63)과 청와대(M=2.39) 사이에서 관찰된 1.24점의 신뢰 격차는, 거버넌스 체계 내에서 기능적 신뢰와 정책적 신뢰가 상이한 원천에서 형성된다는 점을 기관 수준에서 탐색적으로 확인한다.</w:t>
      </w:r>
    </w:p>
    <w:p>
      <w:pPr>
        <w:pStyle w:val="1"/>
        <w:widowControl w:val="off"/>
      </w:pPr>
      <w:r>
        <w:rPr/>
        <w:t>협력적 거버넌스 문헌과의 이론적 위치 조정: 관계적 신뢰가 거버넌스 정당성의 핵심 자원이라는 명제는 협력적 거버넌스 문헌(Ansell &amp; Gash, 2008)과 절차적 공정성 연구(Tyler, 2006)에서 이미 인식되어 왔다. 본 연구의 기여는 이 일반 명제에 있지 않다. 기여는 더 구체적인 층위에 있다: 사후규제라는 특정 제도적 구조 맥락에서 형식적 성과 시연과 개인 정당성 인식 간 연관이 예상과 달리 역설적 방향으로 나타날 수 있음을 시사하는 탐색적 경험적 단서를 제공하는 것이다.</w:t>
      </w:r>
    </w:p>
    <w:p>
      <w:pPr>
        <w:pStyle w:val="4"/>
        <w:widowControl w:val="off"/>
      </w:pPr>
      <w:r>
        <w:rPr/>
        <w:t>3) 기존 프라이버시 거버넌스 연구와의 이론적 차별성</w:t>
      </w:r>
    </w:p>
    <w:p>
      <w:pPr>
        <w:pStyle w:val="1"/>
        <w:widowControl w:val="off"/>
      </w:pPr>
      <w:r>
        <w:rPr/>
        <w:t>본 연구는 개인정보 거버넌스 연구에서 지배적인 privacy calculus 접근(Dinev &amp; Hart, 2006; Smith, Dinev &amp; Xu, 2011)과 두 가지 핵심 차원에서 구별된다. 첫째, 해석 프레임의 전환이다. Privacy calculus 연구는 신뢰를 개인의 심리적 상태로 취급한다. 본 연구는 정책수용성을 단순한 개인 선호의 표현이 아닌 하이브리드 거버넌스 맥락에서 개인이 거버넌스 기관의 권위를 정당한 것으로 인정하는 정당성 인식의 행태적 지표로 재해석한다(Saurugger, 2010). 이 해석 프레임의 전환은 동일한 개인 수준 통계적 발견이 다른 이론적 의미를 갖게 만든다. 둘째, 설명 수준의 전환이다. 기존 신뢰 연구는 신뢰를 왜 개인이 갖는가를 설명하나, 왜 특정 거버넌스 조건에서 개인의 정당성 인식이 특정한 방향으로 형성되는가에 대한 이론적 맥락을 제공하지 못한다. 본 연구는 이 설명 수준을 거버넌스 시스템의 제도적 설계로 전환함으로써, 신뢰의 개인적 결정 요인 분석에 거버넌스 제도 맥락의 이론적 시각을 도입한다.</w:t>
      </w:r>
    </w:p>
    <w:p>
      <w:pPr>
        <w:pStyle w:val="3"/>
        <w:widowControl w:val="off"/>
      </w:pPr>
      <w:r>
        <w:rPr/>
        <w:t>3. 정책적 함의</w:t>
      </w:r>
    </w:p>
    <w:p>
      <w:pPr>
        <w:pStyle w:val="1"/>
        <w:widowControl w:val="off"/>
      </w:pPr>
      <w:r>
        <w:rPr/>
        <w:t>첫째, 형식적 성과 시연으로부터 관계적 신뢰 구축으로의 정당화 전략 전환. 현행 개인정보보호 규제체계</w:t>
      </w:r>
      <w:r>
        <w:rPr/>
        <w:t>—한국의</w:t>
      </w:r>
      <w:r>
        <w:rPr/>
        <w:t xml:space="preserve"> 개인정보보호법, 유럽의 GDPR</w:t>
      </w:r>
      <w:r>
        <w:rPr/>
        <w:t>—는</w:t>
      </w:r>
      <w:r>
        <w:rPr/>
        <w:t xml:space="preserve"> 감사 결과 공개, 안전관리 인증, 침해 사고 보고 의무 등 형식적 성과 시연을 중심으로 정당성을 확보하도록 설계되어 있다. 본 연구의 발견은 이 접근만으로는 구조적으로 불충분하며, 오히려 역효과를 낼 수 있음을 시사한다. 거버넌스 기관은 형식적 준수 인증과 병행하여, 공중과의 지속적 대화, 거버넌스 과정의 실질적 참여 기회 제공, 정책 실패에 대한 책임성 있는 대응이라는 관계적 실천을 통해 신뢰를 축적하는 제도적 경로를 설계해야 한다.</w:t>
      </w:r>
    </w:p>
    <w:p>
      <w:pPr>
        <w:pStyle w:val="1"/>
        <w:widowControl w:val="off"/>
      </w:pPr>
      <w:r>
        <w:rPr/>
        <w:t>둘째, 위험 조건에 대비한 선제적 신뢰 자원 구축. 본 연구의 상호작용 분석은 위험인식이 높아질수록 관리신뢰의 정당성 수권 효과가 증폭됨을 보여준다. 이는 재난 발생 이후 신뢰 회복을 시도하는 사후적 전략의 구조적 한계를 시사한다: 불확실성이 최고조에 달한 시점에서 신뢰를 구축하는 것은 이미 신뢰 자원이 고갈된 상태에서 이루어지는 것이기 때문이다. 따라서 재난 거버넌스 체계는 재난 이전의 일상적 행정 과정에서 관리신뢰를 축적하는 선제적 제도 설계를 우선화해야 한다. 이것은 소통 전략의 문제가 아니라 거버넌스 구조의 문제이다.</w:t>
      </w:r>
    </w:p>
    <w:p>
      <w:pPr>
        <w:pStyle w:val="1"/>
        <w:widowControl w:val="off"/>
      </w:pPr>
      <w:r>
        <w:rPr/>
        <w:t>셋째, 재난 유형 및 정보 민감도에 따른 차등적 정당성 관리. 감염병 대응에서의 데이터 공유 정당성과 미세먼지 대응에서의 정당성은 공중 인식 수준에서 상이한 구조를 보이며, 금융·신용정보에 대한 낮은 동의 수준(M=1.93~2.04)은 재난 긴급성을 근거로 한 일괄 활용 논리의 한계를 탐색적으로 시사한다. 재난 데이터 거버넌스 정책은 재난 유형과 정보 민감도를 독립적 정당성 조건으로 고려하는 차등적 설계 원칙을 채택해야 한다.</w:t>
      </w:r>
    </w:p>
    <w:p>
      <w:pPr>
        <w:pStyle w:val="1"/>
        <w:widowControl w:val="off"/>
      </w:pPr>
      <w:r>
        <w:rPr/>
        <w:t>넷째, 거버넌스 정당성 지표 체계의 재설계. 현행 규제 실무는 주로 준수율, 침해 건수, 감사 통과율 등 형식적 성과 지표를 중심으로 거버넌스 성과를 평가한다. 본 연구의 이론적 틀은 이러한 형식적 지표들이 실질적 거버넌스 정당성</w:t>
      </w:r>
      <w:r>
        <w:rPr/>
        <w:t>—공중의</w:t>
      </w:r>
      <w:r>
        <w:rPr/>
        <w:t xml:space="preserve"> 수용성과 신뢰</w:t>
      </w:r>
      <w:r>
        <w:rPr/>
        <w:t>—과</w:t>
      </w:r>
      <w:r>
        <w:rPr/>
        <w:t xml:space="preserve"> 체계적으로 괴리될 수 있음을 시사한다. 재난 데이터 거버넌스 맥락에서, 관리신뢰와 제도적 신뢰를 포함하는 거버넌스 정당성 지표를 규제 평가 체계에 통합하는 것이 필요하다.</w:t>
      </w:r>
    </w:p>
    <w:p>
      <w:pPr>
        <w:pStyle w:val="3"/>
        <w:widowControl w:val="off"/>
      </w:pPr>
      <w:r>
        <w:rPr/>
        <w:t>4. 연구 한계 및 향후 연구 방향</w:t>
      </w:r>
    </w:p>
    <w:p>
      <w:pPr>
        <w:pStyle w:val="1"/>
        <w:widowControl w:val="off"/>
      </w:pPr>
      <w:r>
        <w:rPr/>
        <w:t>첫째, 횡단면 설계의 한계. 본 연구는 단일 시점에 수집된 횡단면 설문 자료를 사용하므로, 관찰된 변수 간 연관성의 인과적 방향성을 독립적으로 확인할 수 없다. 관리신뢰와 정책수용성 간 역인과관계</w:t>
      </w:r>
      <w:r>
        <w:rPr/>
        <w:t>—이미</w:t>
      </w:r>
      <w:r>
        <w:rPr/>
        <w:t xml:space="preserve"> 수용적 태도를 가진 응답자가 관리신뢰도 높게 보고하는 경향</w:t>
      </w:r>
      <w:r>
        <w:rPr/>
        <w:t>—의</w:t>
      </w:r>
      <w:r>
        <w:rPr/>
        <w:t xml:space="preserve"> 가능성은 현재 설계로는 배제되지 않는다. 향후 연구는 패널 데이터 설계나 자연실험(natural experiment) 접근을 통해 인과적 정체화(causal identification) 문제를 직접 다룰 필요가 있다.</w:t>
      </w:r>
    </w:p>
    <w:p>
      <w:pPr>
        <w:pStyle w:val="1"/>
        <w:widowControl w:val="off"/>
      </w:pPr>
      <w:r>
        <w:rPr/>
        <w:t>둘째, 안전관리 긍정 인식 측정의 한계. 안전관리 긍정 인식(safe_management)은 q25를 재코딩한 단일 이분형 문항으로 측정되었다. 이 변수는 원설문의 설계 제약 내에서 안전관리 인식의 방향을 포착하는 최소 실용 측정치이며, 안전관리의 다차원적 구조(기술적 역량, 절차적 투명성, 책임성, 감사 가능성 등)를 완전히 포착하지 못한다. 향후 연구에서 다문항 척도를 통한 측정이 이 패턴의 강건성과 기제적 이해를 확장할 수 있을 것이다.</w:t>
      </w:r>
      <w:r>
        <w:rPr/>
      </w:r>
      <w:r>
        <w:rPr/>
      </w:r>
      <w:r>
        <w:rPr/>
      </w:r>
      <w:r>
        <w:rPr/>
      </w:r>
      <w:r>
        <w:rPr/>
      </w:r>
      <w:r>
        <w:rPr/>
      </w:r>
    </w:p>
    <w:p>
      <w:pPr>
        <w:pStyle w:val="1"/>
        <w:widowControl w:val="off"/>
      </w:pPr>
      <w:r>
        <w:rPr/>
        <w:t>셋째, 단일 문항 측정의 한계. 제도적 신뢰(trust)와 안전관리 인식(safe_management)이 각각 단일 문항으로 측정되었다는 점은 구성개념 타당도의 제약을 부과한다. 특히 제도적 신뢰의 다차원성</w:t>
      </w:r>
      <w:r>
        <w:rPr/>
        <w:t>—기관</w:t>
      </w:r>
      <w:r>
        <w:rPr/>
        <w:t xml:space="preserve"> 유능성, 절차적 공정성, 가치 부합성</w:t>
      </w:r>
      <w:r>
        <w:rPr/>
        <w:t>—을</w:t>
      </w:r>
      <w:r>
        <w:rPr/>
        <w:t xml:space="preserve"> 단일 문항으로 포착하는 것은 이론적으로 풍부한 구성개념을 과도하게 단순화할 위험이 있다. 정치학 및 거버넌스 연구에서 단일 문항 제도 신뢰 측정의 선례가 확립되어 있음에도 불구하고(Citrin, 1974; Newton, 2001), 다중 문항 척도를 활용한 복제 연구가 이 한계를 보완할 수 있을 것이다.</w:t>
      </w:r>
    </w:p>
    <w:p>
      <w:pPr>
        <w:pStyle w:val="1"/>
        <w:widowControl w:val="off"/>
      </w:pPr>
      <w:r>
        <w:rPr/>
        <w:t>넷째, VIF 계산 오류 수정과 그 함의. 연구 과정에서 초기 분석 스크립트의 VIF 계산 오류(상수항 미포함)를 발견하고 수정하였다. 교정된 VIF(관리신뢰=1.069, 위험인식=1.174, 안전인식=1.249)는 다중공선성 문제가 없는 수준임을 확인하였으며, 이는 이론적으로도 직관적이다</w:t>
      </w:r>
      <w:r>
        <w:rPr/>
        <w:t>—세</w:t>
      </w:r>
      <w:r>
        <w:rPr/>
        <w:t xml:space="preserve"> 예측변수 간 상관관계(.251</w:t>
      </w:r>
      <w:r>
        <w:rPr/>
        <w:t>–</w:t>
      </w:r>
      <w:r>
        <w:rPr/>
        <w:t>.582)는 각 구성개념의 독립적 이론적 의미를 무효화할 정도가 아니다. 이 수정은 계수 추정의 안정성에 관한 이전의 우려를 해소하며, HC3·순서형 로짓에서의 강건한 재현을 독립적 추정 안정성의 확인으로 재해석하게 한다.</w:t>
      </w:r>
    </w:p>
    <w:p>
      <w:pPr>
        <w:pStyle w:val="1"/>
        <w:widowControl w:val="off"/>
      </w:pPr>
      <w:r>
        <w:rPr/>
        <w:t>다섯째, 맥락 특수성의 한계. 본 연구는 한국의 일반 국민 표본을 대상으로 하며, 통제변수의 설명력 기여가 미미하다는 사실(</w:t>
      </w:r>
      <w:r>
        <w:rPr/>
        <w:t>Δ</w:t>
      </w:r>
      <w:r>
        <w:rPr/>
        <w:t>R²=.004)은 관찰된 패턴이 관찰된 인구통계 변수들을 넘어서는 미측정 맥락 변수(예: 지역별 거버넌스 경험, 기관별 신뢰 역사)의 영향을 받을 수 있음을 배제하지 않는다. 한국은 강력한 개인정보보호법 체계와 높은 디지털 거버넌스 발전 수준을 갖추는 동시에 행정 신뢰의 역사적 특수성을 지닌 맥락이므로, 상이한 규제 체계·거버넌스 문화를 가진 사회에서의 비교 연구가 필요하다.</w:t>
      </w:r>
    </w:p>
    <w:p>
      <w:pPr>
        <w:pStyle w:val="2"/>
        <w:widowControl w:val="off"/>
      </w:pPr>
      <w:r>
        <w:rPr/>
        <w:t>Ⅵ</w:t>
      </w:r>
      <w:r>
        <w:rPr/>
        <w:t>. 결론</w:t>
      </w:r>
    </w:p>
    <w:p>
      <w:pPr>
        <w:pStyle w:val="1"/>
        <w:widowControl w:val="off"/>
      </w:pPr>
      <w:r>
        <w:rPr/>
        <w:t>본 연구는 한국 재난 데이터 거버넌스 맥락에서 하이브리드 거버넌스 조건 하에 개인들이 형성하는 정당성 인식 패턴을 탐색적으로 검토하였다. 분석 결과, 관리신뢰(H1 지지, β=0.713***)와 안전관리 긍정 인식(β=+0.191***)은 각각 독립적으로 정책수용성과 유의한 정적 연관을 보였으며, 관리신뢰의 연관은 제도적 신뢰를 경유하는 탐색적 간접 연관 패턴을 포함하였다(H3 탐색적 확인, 간접 연관 추정치=0.040, CI[0.023, 0.058]). 위험인식은 정책수용성과 유의한 부적 연관성을 나타냈고(H2 지지, β=-0.064**), 위험인식이 높은 조건에서 관리신뢰와 정책수용성 간 정적 연관의 기울기가 더 크게 나타나는 조건부 연관 패턴이 탐색적으로 관찰되었다(H4 탐색적 부합, 상호작용 β=0.084**).</w:t>
      </w:r>
      <w:r>
        <w:rPr/>
      </w:r>
      <w:r>
        <w:rPr/>
      </w:r>
      <w:r>
        <w:rPr/>
      </w:r>
      <w:r>
        <w:rPr/>
      </w:r>
      <w:r>
        <w:rPr/>
      </w:r>
      <w:r>
        <w:rPr/>
      </w:r>
      <w:r>
        <w:rPr/>
      </w:r>
      <w:r>
        <w:rPr/>
      </w:r>
      <w:r>
        <w:rPr/>
      </w:r>
      <w:r>
        <w:rPr/>
      </w:r>
      <w:r>
        <w:rPr/>
      </w:r>
      <w:r>
        <w:rPr/>
      </w:r>
    </w:p>
    <w:p>
      <w:pPr>
        <w:pStyle w:val="1"/>
        <w:widowControl w:val="off"/>
      </w:pPr>
      <w:r>
        <w:rPr/>
        <w:t>이 탐색적 발견들은 단일한 이론적 논리를 공유한다: 재귀적 근대화가 진행된 위험사회 조건에서, 개인의 정책수용성 인식은 형식적 안전관리 긍정 인식과 관계적으로 구축된 관리신뢰 모두와 독립적으로 유의하게 연관되며, 위험인식 수준에 따라 관리신뢰의 연관 기울기가 달라지는 조건부 구조가 추가로 관찰된다. 본 연구의 독창성은 세 가지 요소의 이론적으로 의미 있는 결합에 있다: 재난 데이터라는 고위험·고불확실성 거버넌스 맥락, 관리신뢰와 안전관리 긍정 인식의 독립적 정적 연관 패턴, 그리고 명령·통제와 사후규제가 공존하는 한국의 하이브리드 거버넌스 제도 구조이다. 이 세 요소를 동시에 포함하는 경험적 분석은 기존 개인정보 수용 연구(privacy calculus 전통), 정부 신뢰 연구(trust-in-government 전통), 사후규제 거버넌스 이론 문헌에서 선례가 드물다.</w:t>
      </w:r>
    </w:p>
    <w:p>
      <w:pPr>
        <w:pStyle w:val="1"/>
        <w:widowControl w:val="off"/>
      </w:pPr>
      <w:r>
        <w:rPr/>
        <w:t>본 연구는 한국 재난 데이터 거버넌스 맥락에서 이 문제의 탐색적 경험적 기초를 제공하고, 그 이론적 확장을 위한 분석 틀을 제시하고자 하였다. 불확실성이 내재된 현대 거버넌스 조건에서 공중의 실질적 정당성 인정을 확보하는 문제</w:t>
      </w:r>
      <w:r>
        <w:rPr/>
        <w:t>—사후규제</w:t>
      </w:r>
      <w:r>
        <w:rPr/>
        <w:t xml:space="preserve"> 체계의 한계 가능성과 관계적 신뢰의 대체적 역할</w:t>
      </w:r>
      <w:r>
        <w:rPr/>
        <w:t>—는</w:t>
      </w:r>
      <w:r>
        <w:rPr/>
        <w:t xml:space="preserve"> 점점 더 많은 거버넌스 영역에서 중심 이론적 과제로 부상하고 있다. 사후규제 논리를 공유하는 플랫폼·AI 거버넌스에서도 유사한 역학이 이론적으로 예측된다. 이 탐색적 발견이 후속 연구</w:t>
      </w:r>
      <w:r>
        <w:rPr/>
        <w:t>—비교</w:t>
      </w:r>
      <w:r>
        <w:rPr/>
        <w:t xml:space="preserve"> 사례, 종단 설계, 실험적 접근</w:t>
      </w:r>
      <w:r>
        <w:rPr/>
        <w:t>—를</w:t>
      </w:r>
      <w:r>
        <w:rPr/>
        <w:t xml:space="preserve"> 통해 검증되고 정교화될 때, 사후규제 거버넌스의 정당성 생산 조건에 관한 보다 확고한 이론적 기반이 마련될 수 있을 것이다.</w:t>
      </w:r>
    </w:p>
    <w:p>
      <w:r>
        <w:br w:type="page"/>
      </w:r>
    </w:p>
    <w:p>
      <w:pPr>
        <w:pStyle w:val="11"/>
        <w:widowControl w:val="off"/>
      </w:pPr>
      <w:r>
        <w:rPr/>
        <w:t>【참고문헌】</w:t>
      </w:r>
    </w:p>
    <w:p>
      <w:pPr>
        <w:pStyle w:val="1"/>
        <w:widowControl w:val="off"/>
        <w:rPr/>
      </w:pPr>
    </w:p>
    <w:p>
      <w:pPr>
        <w:pStyle w:val="12"/>
        <w:widowControl w:val="off"/>
      </w:pPr>
      <w:r>
        <w:rPr/>
        <w:t>Acquisti, A., Brandimarte, L., &amp; Loewenstein, G. (2015). Privacy and human behavior in the age of information. Science, 347(6221), 509</w:t>
      </w:r>
      <w:r>
        <w:rPr/>
        <w:t>–</w:t>
      </w:r>
      <w:r>
        <w:rPr/>
        <w:t>514.</w:t>
      </w:r>
    </w:p>
    <w:p>
      <w:pPr>
        <w:pStyle w:val="12"/>
        <w:widowControl w:val="off"/>
      </w:pPr>
      <w:r>
        <w:rPr/>
        <w:t>Acquisti, A., &amp; Grossklags, J. (2005). Privacy and rationality in individual decision making. IEEE Security &amp; Privacy, 3(1), 26</w:t>
      </w:r>
      <w:r>
        <w:rPr/>
        <w:t>–</w:t>
      </w:r>
      <w:r>
        <w:rPr/>
        <w:t>33.</w:t>
      </w:r>
    </w:p>
    <w:p>
      <w:pPr>
        <w:pStyle w:val="12"/>
        <w:widowControl w:val="off"/>
      </w:pPr>
      <w:r>
        <w:rPr/>
        <w:t>Ansell, C., &amp; Gash, A. (2008). Collaborative governance in theory and practice. Journal of Public Administration Research and Theory, 18(4), 543</w:t>
      </w:r>
      <w:r>
        <w:rPr/>
        <w:t>–</w:t>
      </w:r>
      <w:r>
        <w:rPr/>
        <w:t>571.</w:t>
      </w:r>
    </w:p>
    <w:p>
      <w:pPr>
        <w:pStyle w:val="12"/>
        <w:widowControl w:val="off"/>
      </w:pPr>
      <w:r>
        <w:rPr/>
        <w:t>Baldwin, R., Cave, M., &amp; Lodge, M. (2012). Understanding regulation: Theory, strategy, and practice (2nd ed.). Oxford University Press.</w:t>
      </w:r>
    </w:p>
    <w:p>
      <w:pPr>
        <w:pStyle w:val="12"/>
        <w:widowControl w:val="off"/>
      </w:pPr>
      <w:r>
        <w:rPr/>
        <w:t>Baron, R. M., &amp; Kenny, D. A. (1986). The moderator</w:t>
      </w:r>
      <w:r>
        <w:rPr/>
        <w:t>–</w:t>
      </w:r>
      <w:r>
        <w:rPr/>
        <w:t>mediator variable distinction in social psychological research. Journal of Personality and Social Psychology, 51(6), 1173</w:t>
      </w:r>
      <w:r>
        <w:rPr/>
        <w:t>–</w:t>
      </w:r>
      <w:r>
        <w:rPr/>
        <w:t>1182.</w:t>
      </w:r>
    </w:p>
    <w:p>
      <w:pPr>
        <w:pStyle w:val="12"/>
        <w:widowControl w:val="off"/>
      </w:pPr>
      <w:r>
        <w:rPr/>
        <w:t>Beck, U. (1992). Risk society: Towards a new modernity. Sage.</w:t>
      </w:r>
    </w:p>
    <w:p>
      <w:pPr>
        <w:pStyle w:val="12"/>
        <w:widowControl w:val="off"/>
      </w:pPr>
      <w:r>
        <w:rPr/>
        <w:t>Black, J. (2010). Risk-based regulation: Choices, practices and lessons being learnt. In OECD (Ed.), Risk and regulatory policy (pp. 185</w:t>
      </w:r>
      <w:r>
        <w:rPr/>
        <w:t>–</w:t>
      </w:r>
      <w:r>
        <w:rPr/>
        <w:t>224). OECD Publishing.</w:t>
      </w:r>
    </w:p>
    <w:p>
      <w:pPr>
        <w:pStyle w:val="12"/>
        <w:widowControl w:val="off"/>
      </w:pPr>
      <w:r>
        <w:rPr/>
        <w:t>Braithwaite, J. (2002). Restorative justice and responsive regulation. Oxford University Press.</w:t>
      </w:r>
    </w:p>
    <w:p>
      <w:pPr>
        <w:pStyle w:val="12"/>
        <w:widowControl w:val="off"/>
      </w:pPr>
      <w:r>
        <w:rPr/>
        <w:t>Citrin, J. (1974). Comment: The political relevance of trust in government. American Political Science Review, 68(3), 973</w:t>
      </w:r>
      <w:r>
        <w:rPr/>
        <w:t>–</w:t>
      </w:r>
      <w:r>
        <w:rPr/>
        <w:t>988.</w:t>
      </w:r>
    </w:p>
    <w:p>
      <w:pPr>
        <w:pStyle w:val="12"/>
        <w:widowControl w:val="off"/>
      </w:pPr>
      <w:r>
        <w:rPr/>
        <w:t>Dinev, T., &amp; Hart, P. (2006). An extended privacy calculus model for e-commerce transactions. Information Systems Research, 17(1), 61</w:t>
      </w:r>
      <w:r>
        <w:rPr/>
        <w:t>–</w:t>
      </w:r>
      <w:r>
        <w:rPr/>
        <w:t>80.</w:t>
      </w:r>
    </w:p>
    <w:p>
      <w:pPr>
        <w:pStyle w:val="12"/>
        <w:widowControl w:val="off"/>
      </w:pPr>
      <w:r>
        <w:rPr/>
        <w:t>European Commission. (2021). Proposal for a regulation of the European Parliament and of the Council laying down harmonised rules on artificial intelligence. COM/2021/206.</w:t>
      </w:r>
    </w:p>
    <w:p>
      <w:pPr>
        <w:pStyle w:val="12"/>
        <w:widowControl w:val="off"/>
      </w:pPr>
      <w:r>
        <w:rPr/>
        <w:t>Field, A. (2013). Discovering statistics using IBM SPSS statistics (4th ed.). Sage.</w:t>
      </w:r>
    </w:p>
    <w:p>
      <w:pPr>
        <w:pStyle w:val="12"/>
        <w:widowControl w:val="off"/>
      </w:pPr>
      <w:r>
        <w:rPr/>
        <w:t>Giddens, A. (1990). The consequences of modernity. Stanford University Press.</w:t>
      </w:r>
    </w:p>
    <w:p>
      <w:pPr>
        <w:pStyle w:val="12"/>
        <w:widowControl w:val="off"/>
      </w:pPr>
      <w:r>
        <w:rPr/>
        <w:t>Hood, C., &amp; Rothstein, H. (2001). Risk regulation under pressure: Problem solving or blame shifting? Administration &amp; Society, 33(1), 21</w:t>
      </w:r>
      <w:r>
        <w:rPr/>
        <w:t>–</w:t>
      </w:r>
      <w:r>
        <w:rPr/>
        <w:t>53.</w:t>
      </w:r>
    </w:p>
    <w:p>
      <w:pPr>
        <w:pStyle w:val="12"/>
        <w:widowControl w:val="off"/>
      </w:pPr>
      <w:r>
        <w:rPr/>
        <w:t>Kitchin, R. (2014). The data revolution: Big data, open data, data infrastructures and their consequences. Sage.</w:t>
      </w:r>
    </w:p>
    <w:p>
      <w:pPr>
        <w:pStyle w:val="12"/>
        <w:widowControl w:val="off"/>
      </w:pPr>
      <w:r>
        <w:rPr/>
        <w:t>Lash, S., &amp; Urry, J. (1994). Economies of signs and space. Sage.</w:t>
      </w:r>
    </w:p>
    <w:p>
      <w:pPr>
        <w:pStyle w:val="12"/>
        <w:widowControl w:val="off"/>
      </w:pPr>
      <w:r>
        <w:rPr/>
        <w:t>Lodge, M., &amp; Wegrich, K. (2012). Managing regulation: Regulatory analysis, politics and policy. Palgrave Macmillan.</w:t>
      </w:r>
    </w:p>
    <w:p>
      <w:pPr>
        <w:pStyle w:val="12"/>
        <w:widowControl w:val="off"/>
      </w:pPr>
      <w:r>
        <w:rPr/>
        <w:t>Luhmann, N. (1979). Trust and power. Wiley.</w:t>
      </w:r>
    </w:p>
    <w:p>
      <w:pPr>
        <w:pStyle w:val="12"/>
        <w:widowControl w:val="off"/>
      </w:pPr>
      <w:r>
        <w:rPr/>
        <w:t>MacKinnon, J. G., &amp; White, H. (1985). Some heteroskedasticity-consistent covariance matrix estimators with improved finite sample properties. Journal of Econometrics, 29(3), 305</w:t>
      </w:r>
      <w:r>
        <w:rPr/>
        <w:t>–</w:t>
      </w:r>
      <w:r>
        <w:rPr/>
        <w:t>325.</w:t>
      </w:r>
    </w:p>
    <w:p>
      <w:pPr>
        <w:pStyle w:val="12"/>
        <w:widowControl w:val="off"/>
      </w:pPr>
      <w:r>
        <w:rPr/>
        <w:t>Mayer, R. C., Davis, J. H., &amp; Schoorman, F. D. (1995). An integrative model of organizational trust. Academy of Management Review, 20(3), 709</w:t>
      </w:r>
      <w:r>
        <w:rPr/>
        <w:t>–</w:t>
      </w:r>
      <w:r>
        <w:rPr/>
        <w:t>734.</w:t>
      </w:r>
    </w:p>
    <w:p>
      <w:pPr>
        <w:pStyle w:val="12"/>
        <w:widowControl w:val="off"/>
      </w:pPr>
      <w:r>
        <w:rPr/>
        <w:t>Mossberger, K., Wu, Y., &amp; Crawford, J. (2013). Connecting citizens and local governments? Social media and interactivity in major US cities. Government Information Quarterly, 30(4), 351</w:t>
      </w:r>
      <w:r>
        <w:rPr/>
        <w:t>–</w:t>
      </w:r>
      <w:r>
        <w:rPr/>
        <w:t>358.</w:t>
      </w:r>
    </w:p>
    <w:p>
      <w:pPr>
        <w:pStyle w:val="12"/>
        <w:widowControl w:val="off"/>
      </w:pPr>
      <w:r>
        <w:rPr/>
        <w:t>Newton, K. (2001). Trust, social capital, civil society, and democracy. International Political Science Review, 22(2), 201</w:t>
      </w:r>
      <w:r>
        <w:rPr/>
        <w:t>–</w:t>
      </w:r>
      <w:r>
        <w:rPr/>
        <w:t>214.</w:t>
      </w:r>
    </w:p>
    <w:p>
      <w:pPr>
        <w:pStyle w:val="12"/>
        <w:widowControl w:val="off"/>
      </w:pPr>
      <w:r>
        <w:rPr/>
        <w:t>Nunnally, J. C. (1978). Psychometric theory (2nd ed.). McGraw-Hill.</w:t>
      </w:r>
    </w:p>
    <w:p>
      <w:pPr>
        <w:pStyle w:val="12"/>
        <w:widowControl w:val="off"/>
      </w:pPr>
      <w:r>
        <w:rPr/>
        <w:t>Parker, C. (2002). The open corporation. Cambridge University Press.</w:t>
      </w:r>
    </w:p>
    <w:p>
      <w:pPr>
        <w:pStyle w:val="12"/>
        <w:widowControl w:val="off"/>
      </w:pPr>
      <w:r>
        <w:rPr/>
        <w:t>Preacher, K. J., &amp; Hayes, A. F. (2008). Asymptotic and resampling strategies for assessing and comparing indirect effects in multiple mediator models. Behavior Research Methods, 40(3), 879</w:t>
      </w:r>
      <w:r>
        <w:rPr/>
        <w:t>–</w:t>
      </w:r>
      <w:r>
        <w:rPr/>
        <w:t>891.</w:t>
      </w:r>
    </w:p>
    <w:p>
      <w:pPr>
        <w:pStyle w:val="12"/>
        <w:widowControl w:val="off"/>
      </w:pPr>
      <w:r>
        <w:rPr/>
        <w:t>Rothstein, H., Huber, M., &amp; Gaskell, G. (2006). A theory of risk colonization: The spiralling regulatory logics of societal and institutional risk. Economy and Society, 35(1), 91</w:t>
      </w:r>
      <w:r>
        <w:rPr/>
        <w:t>–</w:t>
      </w:r>
      <w:r>
        <w:rPr/>
        <w:t>112.</w:t>
      </w:r>
    </w:p>
    <w:p>
      <w:pPr>
        <w:pStyle w:val="12"/>
        <w:widowControl w:val="off"/>
      </w:pPr>
      <w:r>
        <w:rPr/>
        <w:t>Saurugger, S. (2010). The social construction of the participatory turn: The emergence of a norm in the European Union. European Journal of Political Research, 49(4), 471</w:t>
      </w:r>
      <w:r>
        <w:rPr/>
        <w:t>–</w:t>
      </w:r>
      <w:r>
        <w:rPr/>
        <w:t>495.</w:t>
      </w:r>
    </w:p>
    <w:p>
      <w:pPr>
        <w:pStyle w:val="12"/>
        <w:widowControl w:val="off"/>
      </w:pPr>
      <w:r>
        <w:rPr/>
        <w:t>Scott, C. (2004). Regulation in the age of governance: The rise of the post-regulatory state. In J. Jordana &amp; D. Levi-Faur (Eds.), The politics of regulation (pp. 145</w:t>
      </w:r>
      <w:r>
        <w:rPr/>
        <w:t>–</w:t>
      </w:r>
      <w:r>
        <w:rPr/>
        <w:t>174). Edward Elgar.</w:t>
      </w:r>
    </w:p>
    <w:p>
      <w:pPr>
        <w:pStyle w:val="12"/>
        <w:widowControl w:val="off"/>
      </w:pPr>
      <w:r>
        <w:rPr/>
        <w:t>Slovic, P. (1999). Trust, emotion, sex, politics, and science: Surveying the risk-assessment battlefield. Risk Analysis, 19(4), 689</w:t>
      </w:r>
      <w:r>
        <w:rPr/>
        <w:t>–</w:t>
      </w:r>
      <w:r>
        <w:rPr/>
        <w:t>701.</w:t>
      </w:r>
    </w:p>
    <w:p>
      <w:pPr>
        <w:pStyle w:val="12"/>
        <w:widowControl w:val="off"/>
      </w:pPr>
      <w:r>
        <w:rPr/>
        <w:t>Smith, H. J., Dinev, T., &amp; Xu, H. (2011). Information privacy research: An interdisciplinary review. MIS Quarterly, 35(4), 989</w:t>
      </w:r>
      <w:r>
        <w:rPr/>
        <w:t>–</w:t>
      </w:r>
      <w:r>
        <w:rPr/>
        <w:t>1016.</w:t>
      </w:r>
    </w:p>
    <w:p>
      <w:pPr>
        <w:pStyle w:val="12"/>
        <w:widowControl w:val="off"/>
      </w:pPr>
      <w:r>
        <w:rPr/>
        <w:t>Solove, D. J. (2013). Privacy self-management and the consent dilemma. Harvard Law Review, 126(7), 1880</w:t>
      </w:r>
      <w:r>
        <w:rPr/>
        <w:t>–</w:t>
      </w:r>
      <w:r>
        <w:rPr/>
        <w:t>1903.</w:t>
      </w:r>
    </w:p>
    <w:p>
      <w:pPr>
        <w:pStyle w:val="12"/>
        <w:widowControl w:val="off"/>
      </w:pPr>
      <w:r>
        <w:rPr/>
        <w:t>Tyler, T. R. (2006). Why people obey the law. Princeton University Press.</w:t>
      </w:r>
    </w:p>
    <w:p>
      <w:pPr>
        <w:pStyle w:val="12"/>
        <w:widowControl w:val="off"/>
      </w:pPr>
      <w:r>
        <w:rPr/>
        <w:t>Van der Meer, T., &amp; Dekker, P. (2011). Trustworthy states, trustful citizens? In Political trust: Why context matters (pp. 95</w:t>
      </w:r>
      <w:r>
        <w:rPr/>
        <w:t>–</w:t>
      </w:r>
      <w:r>
        <w:rPr/>
        <w:t>116). ECPR Press.</w:t>
      </w:r>
    </w:p>
    <w:p>
      <w:pPr>
        <w:pStyle w:val="12"/>
        <w:widowControl w:val="off"/>
      </w:pPr>
      <w:r>
        <w:rPr/>
        <w:t>Westin, A. F. (1967). Privacy and freedom. Atheneum.</w:t>
      </w:r>
    </w:p>
    <w:p>
      <w:pPr>
        <w:pStyle w:val="12"/>
        <w:widowControl w:val="off"/>
      </w:pPr>
      <w:r>
        <w:rPr/>
        <w:t>White, H. (1980). A heteroskedasticity-consistent covariance matrix estimator and a direct test for heteroskedasticity. Econometrica, 48(4), 817</w:t>
      </w:r>
      <w:r>
        <w:rPr/>
        <w:t>–</w:t>
      </w:r>
      <w:r>
        <w:rPr/>
        <w:t>838.</w:t>
      </w:r>
    </w:p>
    <w:p>
      <w:pPr>
        <w:pStyle w:val="12"/>
        <w:widowControl w:val="off"/>
      </w:pPr>
      <w:r>
        <w:rPr/>
        <w:t>Wynne, B. (1992). Misunderstood misunderstanding: Social identities and public uptake of science. Public Understanding of Science, 1(3), 281</w:t>
      </w:r>
      <w:r>
        <w:rPr/>
        <w:t>–</w:t>
      </w:r>
      <w:r>
        <w:rPr/>
        <w:t>304.</w:t>
      </w:r>
    </w:p>
    <w:p>
      <w:pPr>
        <w:pStyle w:val="0"/>
        <w:widowControl w:val="off"/>
        <w:wordWrap w:val="1"/>
        <w:ind w:left="400" w:hanging="400"/>
        <w:jc w:val="left"/>
      </w:pPr>
      <w:r>
        <w:rPr>
          <w:rFonts w:ascii="바탕체"/>
        </w:rPr>
        <w:t>References</w:t>
      </w:r>
    </w:p>
    <w:p>
      <w:pPr>
        <w:pStyle w:val="0"/>
        <w:widowControl w:val="off"/>
        <w:wordWrap w:val="1"/>
        <w:ind w:left="400" w:hanging="400"/>
        <w:jc w:val="left"/>
      </w:pPr>
      <w:r>
        <w:rPr>
          <w:rFonts w:ascii="바탕체"/>
        </w:rPr>
        <w:t>Beck, U., Giddens, A., &amp; Lash, S. (1994). Reflexive Modernization: Politics, Tradition and Aesthetics in the Modern Social Order. https://www.jstor.org/stable/3341775?origin=crossref</w:t>
      </w:r>
    </w:p>
    <w:p>
      <w:pPr>
        <w:pStyle w:val="0"/>
        <w:widowControl w:val="off"/>
        <w:wordWrap w:val="1"/>
        <w:ind w:left="400" w:hanging="400"/>
        <w:jc w:val="left"/>
      </w:pPr>
      <w:r>
        <w:rPr>
          <w:rFonts w:ascii="바탕체"/>
        </w:rPr>
        <w:t>Black, J. (2001). Decentring Regulation: Understanding the Role of Regulation and Self-Regulation in a ‘Post-Regulatory’ World. Current Legal Problems, 54(1), 103</w:t>
      </w:r>
      <w:r>
        <w:rPr>
          <w:rFonts w:ascii="바탕체"/>
        </w:rPr>
        <w:t>–</w:t>
      </w:r>
      <w:r>
        <w:rPr>
          <w:rFonts w:ascii="바탕체"/>
        </w:rPr>
        <w:t>146. https://academic.oup.com/clp/article-lookup/doi/10.1093/clp/54.1.103</w:t>
      </w:r>
    </w:p>
    <w:p>
      <w:pPr>
        <w:pStyle w:val="0"/>
        <w:widowControl w:val="off"/>
        <w:wordWrap w:val="1"/>
        <w:ind w:left="400" w:hanging="400"/>
        <w:jc w:val="left"/>
      </w:pPr>
      <w:r>
        <w:rPr>
          <w:rFonts w:ascii="바탕체"/>
        </w:rPr>
        <w:t>Bradford, L., Aboy, M., &amp; Liddell, K. (2020). COVID-19 contact tracing apps: a stress test for privacy, the GDPR, and data protection regimes. Journal of Law and the Biosciences, 7(1), lsaa034</w:t>
      </w:r>
      <w:r>
        <w:rPr>
          <w:rFonts w:ascii="바탕체"/>
        </w:rPr>
        <w:t>–</w:t>
      </w:r>
      <w:r>
        <w:rPr>
          <w:rFonts w:ascii="바탕체"/>
        </w:rPr>
        <w:t>lsaa034. https://academic.oup.com/jlb/article/doi/10.1093/jlb/lsaa034/5848138</w:t>
      </w:r>
    </w:p>
    <w:p>
      <w:pPr>
        <w:pStyle w:val="0"/>
        <w:widowControl w:val="off"/>
        <w:wordWrap w:val="1"/>
        <w:spacing w:after="200"/>
        <w:jc w:val="left"/>
      </w:pPr>
      <w:r>
        <w:rPr>
          <w:rFonts w:ascii="바탕체"/>
        </w:rPr>
        <w:t>Cavoukian, A., Taylor, S., &amp; Abrams, M. (2010). Privacy by Design: essential for organizational accountability and strong business practices. Identity in the Information Society, 3(2), 405</w:t>
      </w:r>
      <w:r>
        <w:rPr>
          <w:rFonts w:ascii="바탕체"/>
        </w:rPr>
        <w:t>–</w:t>
      </w:r>
      <w:r>
        <w:rPr>
          <w:rFonts w:ascii="바탕체"/>
        </w:rPr>
        <w:t>413. http://link.springer.com/10.1007/s12394-010-0053-z</w:t>
      </w:r>
    </w:p>
    <w:p>
      <w:pPr>
        <w:pStyle w:val="0"/>
        <w:widowControl w:val="off"/>
        <w:wordWrap w:val="1"/>
        <w:spacing w:after="200"/>
        <w:jc w:val="left"/>
      </w:pPr>
      <w:r>
        <w:rPr>
          <w:rFonts w:ascii="바탕체"/>
        </w:rPr>
        <w:t>Clark, N., &amp; Albris, K. (2020). In the Interest(s) of Many: Governing Data in Crises. Politics and Governance, 8(4), 421</w:t>
      </w:r>
      <w:r>
        <w:rPr>
          <w:rFonts w:ascii="바탕체"/>
        </w:rPr>
        <w:t>–</w:t>
      </w:r>
      <w:r>
        <w:rPr>
          <w:rFonts w:ascii="바탕체"/>
        </w:rPr>
        <w:t>431. https://www.cogitatiopress.com/politicsandgovernance/article/view/3110</w:t>
      </w:r>
    </w:p>
    <w:p>
      <w:pPr>
        <w:pStyle w:val="0"/>
        <w:widowControl w:val="off"/>
        <w:wordWrap w:val="1"/>
        <w:spacing w:after="200"/>
        <w:jc w:val="left"/>
      </w:pPr>
      <w:r>
        <w:rPr>
          <w:rFonts w:ascii="바탕체"/>
        </w:rPr>
        <w:t>Hilhorst, D., Boersma, K., &amp; Raju, E. (2020). Research on Politics of Disaster Risk Governance: Where Are We Headed? Politics and Governance, 8(4), 214</w:t>
      </w:r>
      <w:r>
        <w:rPr>
          <w:rFonts w:ascii="바탕체"/>
        </w:rPr>
        <w:t>–</w:t>
      </w:r>
      <w:r>
        <w:rPr>
          <w:rFonts w:ascii="바탕체"/>
        </w:rPr>
        <w:t>219. https://www.cogitatiopress.com/politicsandgovernance/article/view/3843</w:t>
      </w:r>
    </w:p>
    <w:p>
      <w:pPr>
        <w:pStyle w:val="0"/>
        <w:widowControl w:val="off"/>
        <w:wordWrap w:val="1"/>
        <w:spacing w:after="200"/>
        <w:jc w:val="left"/>
      </w:pPr>
      <w:r>
        <w:rPr>
          <w:rFonts w:ascii="바탕체"/>
        </w:rPr>
        <w:t>Kehr, F., Kowatsch, T., Wentzel, D., &amp; Fleisch, E. (2015). Blissfully ignorant: the effects of general privacy concerns, general institutional trust, and affect in the privacy calculus. Information Systems Journal, 25(6), 607</w:t>
      </w:r>
      <w:r>
        <w:rPr>
          <w:rFonts w:ascii="바탕체"/>
        </w:rPr>
        <w:t>–</w:t>
      </w:r>
      <w:r>
        <w:rPr>
          <w:rFonts w:ascii="바탕체"/>
        </w:rPr>
        <w:t>635. https://onlinelibrary.wiley.com/doi/10.1111/isj.12062</w:t>
      </w:r>
    </w:p>
    <w:p>
      <w:pPr>
        <w:pStyle w:val="0"/>
        <w:widowControl w:val="off"/>
        <w:wordWrap w:val="1"/>
        <w:spacing w:after="200"/>
        <w:jc w:val="left"/>
      </w:pPr>
      <w:r>
        <w:rPr>
          <w:rFonts w:ascii="바탕체"/>
        </w:rPr>
        <w:t>Kitt, S., Axsen, J., Long, Z., &amp; Rhodes, E. (2021). The role of trust in citizen acceptance of climate policy: Comparing perceptions of government competence, integrity and value similarity. Ecological Economics, 183, 106958</w:t>
      </w:r>
      <w:r>
        <w:rPr>
          <w:rFonts w:ascii="바탕체"/>
        </w:rPr>
        <w:t>–</w:t>
      </w:r>
      <w:r>
        <w:rPr>
          <w:rFonts w:ascii="바탕체"/>
        </w:rPr>
        <w:t>106958. https://linkinghub.elsevier.com/retrieve/pii/S0921800921000161</w:t>
      </w:r>
    </w:p>
    <w:p>
      <w:pPr>
        <w:pStyle w:val="0"/>
        <w:widowControl w:val="off"/>
        <w:wordWrap w:val="1"/>
        <w:spacing w:after="200"/>
        <w:jc w:val="left"/>
      </w:pPr>
      <w:r>
        <w:rPr>
          <w:rFonts w:ascii="바탕체"/>
        </w:rPr>
        <w:t>Ko, H., Leitner, J., Kim, E., &amp; Jeong, J. (2017). Structure and enforcement of data privacy law in South Korea. International Data Privacy Law, 7(2), 100</w:t>
      </w:r>
      <w:r>
        <w:rPr>
          <w:rFonts w:ascii="바탕체"/>
        </w:rPr>
        <w:t>–</w:t>
      </w:r>
      <w:r>
        <w:rPr>
          <w:rFonts w:ascii="바탕체"/>
        </w:rPr>
        <w:t>114. https://academic.oup.com/idpl/article-lookup/doi/10.1093/idpl/ipx004</w:t>
      </w:r>
    </w:p>
    <w:p>
      <w:pPr>
        <w:pStyle w:val="0"/>
        <w:widowControl w:val="off"/>
        <w:wordWrap w:val="1"/>
        <w:spacing w:after="200"/>
        <w:jc w:val="left"/>
      </w:pPr>
      <w:r>
        <w:rPr>
          <w:rFonts w:ascii="바탕체"/>
        </w:rPr>
        <w:t>Luhmann, N. (1979). Trust and Power. Medical Entomology and Zoology. http://ci.nii.ac.jp/ncid/BB25360200</w:t>
      </w:r>
    </w:p>
    <w:p>
      <w:pPr>
        <w:pStyle w:val="0"/>
        <w:widowControl w:val="off"/>
        <w:wordWrap w:val="1"/>
        <w:spacing w:after="200"/>
        <w:jc w:val="left"/>
      </w:pPr>
      <w:r>
        <w:rPr>
          <w:rFonts w:ascii="바탕체"/>
        </w:rPr>
        <w:t>Lund-Tønnesen, J. (2024). Privacy Regimes, Crisis Strategies, and Governments’ Legitimizing of Digital Surveillance Technology: Comparing Germany, Norway, and the United Kingdom. International Journal of Public Administration, 48(5</w:t>
      </w:r>
      <w:r>
        <w:rPr>
          <w:rFonts w:ascii="바탕체"/>
        </w:rPr>
        <w:t>–</w:t>
      </w:r>
      <w:r>
        <w:rPr>
          <w:rFonts w:ascii="바탕체"/>
        </w:rPr>
        <w:t>6), 381</w:t>
      </w:r>
      <w:r>
        <w:rPr>
          <w:rFonts w:ascii="바탕체"/>
        </w:rPr>
        <w:t>–</w:t>
      </w:r>
      <w:r>
        <w:rPr>
          <w:rFonts w:ascii="바탕체"/>
        </w:rPr>
        <w:t>394. https://www.tandfonline.com/doi/full/10.1080/01900692.2024.2344105</w:t>
      </w:r>
    </w:p>
    <w:p>
      <w:pPr>
        <w:pStyle w:val="0"/>
        <w:widowControl w:val="off"/>
        <w:wordWrap w:val="1"/>
        <w:spacing w:after="200"/>
        <w:jc w:val="left"/>
      </w:pPr>
      <w:r>
        <w:rPr>
          <w:rFonts w:ascii="바탕체"/>
        </w:rPr>
        <w:t>Sanfilippo, M. R., Shvartzshnaider, Y., Reyes, I., Nissenbaum, H., &amp; Egelman, S. (2020). Disaster privacy/privacy disaster. Journal of the Association for Information Science and Technology, 71(9), 1002</w:t>
      </w:r>
      <w:r>
        <w:rPr>
          <w:rFonts w:ascii="바탕체"/>
        </w:rPr>
        <w:t>–</w:t>
      </w:r>
      <w:r>
        <w:rPr>
          <w:rFonts w:ascii="바탕체"/>
        </w:rPr>
        <w:t>1014. https://asistdl.onlinelibrary.wiley.com/doi/10.1002/asi.24353</w:t>
      </w:r>
    </w:p>
    <w:p>
      <w:pPr>
        <w:pStyle w:val="0"/>
        <w:widowControl w:val="off"/>
        <w:wordWrap w:val="1"/>
        <w:spacing w:after="200"/>
        <w:jc w:val="left"/>
      </w:pPr>
      <w:r>
        <w:rPr>
          <w:rFonts w:ascii="바탕체"/>
        </w:rPr>
        <w:t>Trubek, D. M., &amp; Trubek, L. G. (2007). New Governance &amp; Legal Regulation: Complementarity, Rivalry, and Transformation. SSRN Electronic Journal. https://papers.ssrn.com/sol3/Delivery.cfm?abstractid=988065</w:t>
      </w:r>
    </w:p>
    <w:p>
      <w:pPr>
        <w:pStyle w:val="10"/>
        <w:widowControl w:val="off"/>
        <w:rPr/>
      </w:pPr>
    </w:p>
    <w:sectPr>
      <w:footnotePr>
        <w:numFmt w:val="decimal"/>
        <w:numRestart w:val="continuous"/>
      </w:footnotePr>
      <w:endnotePr>
        <w:pos w:val="docEnd"/>
        <w:numFmt w:val="decimal"/>
        <w:numRestart w:val="continuous"/>
      </w:endnotePr>
      <w:pgSz w:w="11906" w:h="16838"/>
      <w:pgMar w:top="2381" w:right="1984" w:bottom="2268" w:left="1701" w:header="1701" w:footer="1701"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17">
    <w:multiLevelType w:val="multilevel"/>
    <w:lvl w:ilvl="0">
      <w:start w:val="1"/>
      <w:numFmt w:val="decimal"/>
      <w:suff w:val="space"/>
      <w:lvlText w:val="%1."/>
      <w:lvlJc w:val="left"/>
    </w:lvl>
    <w:lvl w:ilvl="1">
      <w:start w:val="1"/>
      <w:numFmt w:val="ganada"/>
      <w:suff w:val="space"/>
      <w:lvlText w:val="%2."/>
      <w:lvlJc w:val="left"/>
      <w:pStyle w:val="17"/>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abstractNum w:abstractNumId="21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18"/>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rPr>
    </w:lvl>
    <w:lvl w:ilvl="8">
      <w:start w:val="1"/>
      <w:numFmt w:val="decimal"/>
      <w:suff w:val="nothing"/>
      <w:lvlText w:val=""/>
      <w:lvlJc w:val="left"/>
      <w:rPr>
        <w:rFonts w:ascii="함초롬바탕" w:hAnsi="함초롬바탕" w:eastAsia="함초롬바탕"/>
        <w:color w:val="000000"/>
        <w:sz w:val="20"/>
        <w:shd w:val="clear" w:color="000000"/>
      </w:rPr>
    </w:lvl>
  </w:abstractNum>
  <w:num w:numId="217">
    <w:abstractNumId w:val="217"/>
  </w:num>
  <w:num w:numId="218">
    <w:abstractNumId w:val="21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2">
    <w:name w:val="장 (Ⅰ.)"/>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left"/>
      <w:textAlignment w:val="baseline"/>
    </w:pPr>
    <w:rPr>
      <w:rFonts w:ascii="바탕체" w:eastAsia="바탕체"/>
      <w:b/>
      <w:color w:val="000000"/>
      <w:sz w:val="26"/>
      <w:shd w:val="clear" w:color="000000"/>
    </w:rPr>
  </w:style>
  <w:style w:type="paragraph" w:styleId="3">
    <w:name w:val="절 (1.)"/>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60" w:after="80" w:line="384" w:lineRule="auto"/>
      <w:ind w:left="0" w:right="0" w:firstLine="0"/>
      <w:jc w:val="both"/>
      <w:textAlignment w:val="baseline"/>
    </w:pPr>
    <w:rPr>
      <w:rFonts w:ascii="바탕체" w:eastAsia="바탕체"/>
      <w:b/>
      <w:color w:val="000000"/>
      <w:sz w:val="24"/>
      <w:shd w:val="clear" w:color="000000"/>
    </w:rPr>
  </w:style>
  <w:style w:type="paragraph" w:styleId="4">
    <w:name w:val="항 (1))"/>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120" w:after="0" w:line="384" w:lineRule="auto"/>
      <w:ind w:left="0" w:right="0" w:firstLine="0"/>
      <w:jc w:val="both"/>
      <w:textAlignment w:val="baseline"/>
    </w:pPr>
    <w:rPr>
      <w:rFonts w:ascii="바탕체" w:eastAsia="바탕체"/>
      <w:color w:val="000000"/>
      <w:sz w:val="22"/>
      <w:shd w:val="clear" w:color="000000"/>
    </w:rPr>
  </w:style>
  <w:style w:type="paragraph" w:styleId="5">
    <w:name w:val="세부항 ((1))"/>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200"/>
      <w:jc w:val="both"/>
      <w:textAlignment w:val="baseline"/>
    </w:pPr>
    <w:rPr>
      <w:rFonts w:ascii="바탕체" w:eastAsia="바탕체"/>
      <w:color w:val="000000"/>
      <w:sz w:val="22"/>
      <w:shd w:val="clear" w:color="000000"/>
    </w:rPr>
  </w:style>
  <w:style w:type="paragraph" w:styleId="6">
    <w:name w:val="표제목"/>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center"/>
      <w:textAlignment w:val="baseline"/>
    </w:pPr>
    <w:rPr>
      <w:rFonts w:ascii="바탕체" w:eastAsia="바탕체"/>
      <w:color w:val="000000"/>
      <w:sz w:val="20"/>
      <w:shd w:val="clear" w:color="000000"/>
    </w:rPr>
  </w:style>
  <w:style w:type="paragraph" w:styleId="7">
    <w:name w:val="제목(국문)"/>
    <w:uiPriority w:val="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center"/>
      <w:textAlignment w:val="baseline"/>
    </w:pPr>
    <w:rPr>
      <w:rFonts w:ascii="바탕체" w:eastAsia="바탕체"/>
      <w:b/>
      <w:color w:val="000000"/>
      <w:sz w:val="32"/>
      <w:shd w:val="clear" w:color="000000"/>
    </w:rPr>
  </w:style>
  <w:style w:type="paragraph" w:styleId="8">
    <w:name w:val="초록본문"/>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바탕체" w:eastAsia="바탕체"/>
      <w:color w:val="000000"/>
      <w:sz w:val="20"/>
      <w:shd w:val="clear" w:color="000000"/>
    </w:rPr>
  </w:style>
  <w:style w:type="paragraph" w:styleId="9">
    <w:name w:val="초록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0" w:right="0" w:firstLine="0"/>
      <w:jc w:val="left"/>
      <w:textAlignment w:val="baseline"/>
    </w:pPr>
    <w:rPr>
      <w:rFonts w:ascii="바탕체" w:eastAsia="바탕체"/>
      <w:b/>
      <w:color w:val="000000"/>
      <w:sz w:val="22"/>
      <w:shd w:val="clear" w:color="000000"/>
    </w:rPr>
  </w:style>
  <w:style w:type="paragraph" w:styleId="10">
    <w:name w:val="키워드"/>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200" w:line="384" w:lineRule="auto"/>
      <w:ind w:left="0" w:right="0" w:firstLine="0"/>
      <w:jc w:val="left"/>
      <w:textAlignment w:val="baseline"/>
    </w:pPr>
    <w:rPr>
      <w:rFonts w:ascii="바탕체" w:eastAsia="바탕체"/>
      <w:color w:val="000000"/>
      <w:sz w:val="20"/>
      <w:shd w:val="clear" w:color="000000"/>
    </w:rPr>
  </w:style>
  <w:style w:type="paragraph" w:styleId="11">
    <w:name w:val="참고문헌제목"/>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00" w:after="120" w:line="384" w:lineRule="auto"/>
      <w:ind w:left="0" w:right="0" w:firstLine="0"/>
      <w:jc w:val="center"/>
      <w:textAlignment w:val="baseline"/>
    </w:pPr>
    <w:rPr>
      <w:rFonts w:ascii="바탕체" w:eastAsia="바탕체"/>
      <w:b/>
      <w:color w:val="000000"/>
      <w:sz w:val="24"/>
      <w:shd w:val="clear" w:color="000000"/>
    </w:rPr>
  </w:style>
  <w:style w:type="paragraph" w:styleId="12">
    <w:name w:val="참고문헌 본문"/>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84" w:lineRule="auto"/>
      <w:ind w:left="400" w:right="0" w:hanging="400"/>
      <w:jc w:val="left"/>
      <w:textAlignment w:val="baseline"/>
    </w:pPr>
    <w:rPr>
      <w:rFonts w:ascii="바탕체" w:eastAsia="바탕체"/>
      <w:color w:val="000000"/>
      <w:sz w:val="20"/>
      <w:shd w:val="clear" w:color="000000"/>
    </w:rPr>
  </w:style>
  <w:style w:type="paragraph" w:styleId="13">
    <w:name w:val="각주"/>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0" w:right="0" w:firstLine="0"/>
      <w:jc w:val="both"/>
      <w:textAlignment w:val="baseline"/>
    </w:pPr>
    <w:rPr>
      <w:rFonts w:ascii="바탕체" w:eastAsia="바탕체"/>
      <w:color w:val="000000"/>
      <w:sz w:val="18"/>
      <w:shd w:val="clear" w:color="000000"/>
    </w:rPr>
  </w:style>
  <w:style w:type="paragraph" w:styleId="14">
    <w:name w:val="표_주_행정연구"/>
    <w:uiPriority w:val="14"/>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80" w:after="0" w:line="312" w:lineRule="auto"/>
      <w:ind w:left="0" w:right="0" w:firstLine="0"/>
      <w:jc w:val="left"/>
      <w:textAlignment w:val="baseline"/>
    </w:pPr>
    <w:rPr>
      <w:rFonts w:ascii="한양신명조" w:eastAsia="한양신명조"/>
      <w:color w:val="000000"/>
      <w:spacing w:val="-4"/>
      <w:w w:val="95"/>
      <w:sz w:val="18"/>
      <w:shd w:val="clear" w:color="000000"/>
    </w:rPr>
  </w:style>
  <w:style w:type="paragraph" w:styleId="15">
    <w:name w:val="가설_행정연구"/>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양신명조" w:eastAsia="한양신명조"/>
      <w:color w:val="000000"/>
      <w:spacing w:val="-5"/>
      <w:w w:val="95"/>
      <w:sz w:val="22"/>
      <w:shd w:val="clear" w:color="000000"/>
    </w:rPr>
  </w:style>
  <w:style w:type="paragraph" w:styleId="16">
    <w:name w:val="Normal"/>
    <w:uiPriority w:val="16"/>
    <w:pPr>
      <w:widowControl w:val="off"/>
      <w:pBdr>
        <w:top w:val="none" w:color="000000" w:sz="2" w:space="1"/>
        <w:left w:val="none" w:color="000000" w:sz="2" w:space="4"/>
        <w:bottom w:val="none" w:color="000000" w:sz="2" w:space="1"/>
        <w:right w:val="none" w:color="000000" w:sz="2" w:space="4"/>
      </w:pBdr>
      <w:wordWrap w:val="0"/>
      <w:autoSpaceDE w:val="off"/>
      <w:autoSpaceDN w:val="off"/>
      <w:snapToGrid/>
      <w:spacing w:before="0" w:after="0" w:line="240" w:lineRule="auto"/>
      <w:ind w:left="0" w:right="0" w:firstLine="0"/>
      <w:jc w:val="left"/>
      <w:textAlignment w:val="baseline"/>
    </w:pPr>
    <w:rPr>
      <w:rFonts w:ascii="맑은 고딕" w:eastAsia="맑은 고딕"/>
      <w:color w:val="000000"/>
      <w:sz w:val="22"/>
    </w:rPr>
  </w:style>
  <w:style w:type="paragraph" w:styleId="17">
    <w:name w:val="heading 2"/>
    <w:uiPriority w:val="17"/>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00" w:after="140" w:line="240" w:lineRule="auto"/>
      <w:ind w:left="0" w:right="0" w:firstLine="0"/>
      <w:jc w:val="left"/>
      <w:textAlignment w:val="baseline"/>
      <w:outlineLvl w:val="1"/>
      <w:numPr>
        <w:numId w:val="217"/>
        <w:ilvl w:val="1"/>
      </w:numPr>
    </w:pPr>
    <w:rPr>
      <w:rFonts w:ascii="맑은 고딕" w:eastAsia="맑은 고딕"/>
      <w:b/>
      <w:color w:val="000000"/>
      <w:sz w:val="26"/>
    </w:rPr>
  </w:style>
  <w:style w:type="paragraph" w:styleId="18">
    <w:name w:val="heading 3"/>
    <w:uiPriority w:val="18"/>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20" w:after="100" w:line="240" w:lineRule="auto"/>
      <w:ind w:left="0" w:right="0" w:firstLine="0"/>
      <w:jc w:val="left"/>
      <w:textAlignment w:val="baseline"/>
      <w:outlineLvl w:val="2"/>
      <w:numPr>
        <w:numId w:val="218"/>
        <w:ilvl w:val="2"/>
      </w:numPr>
    </w:pPr>
    <w:rPr>
      <w:rFonts w:ascii="맑은 고딕" w:eastAsia="맑은 고딕"/>
      <w:b/>
      <w:color w:val="000000"/>
      <w:sz w:val="22"/>
    </w:rPr>
  </w:style>
</w:styles>
</file>

<file path=word/_rels/document.xml.rels><?xml version='1.0' encoding='UTF-8' standalone='yes'?>
<Relationships xmlns="http://schemas.openxmlformats.org/package/2006/relationships"><Relationship Id="rId1" Type="http://schemas.openxmlformats.org/officeDocument/2006/relationships/image" Target="media/image0.bmp"/><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settings" Target="settings.xml"/><Relationship Id="rId7" Type="http://schemas.openxmlformats.org/officeDocument/2006/relationships/styles" Target="styles.xml"/><Relationship Id="rId8" Type="http://schemas.openxmlformats.org/officeDocument/2006/relationships/numbering" Target="numbering.xml"/></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KMI</dc:creator>
  <dc:description>|Fasoo_Trace_ID: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</dc:description>
  <cp:lastModifiedBy>KMI</cp:lastModifiedBy>
  <dcterms:created xsi:type="dcterms:W3CDTF">2026-03-30T22:06:24.755</dcterms:created>
  <dcterms:modified xsi:type="dcterms:W3CDTF">2026-05-23T01:15:37.847</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</vt:lpwstr>
  </property>
</Properties>
</file>