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Arial" w:cs="Arial" w:eastAsia="Arial" w:hAnsi="Arial"/>
          <w:b/>
          <w:bCs/>
          <w:color w:val="1E3A5F"/>
          <w:sz w:val="64"/>
          <w:szCs w:val="64"/>
        </w:rPr>
        <w:t xml:space="preserve">NetConfigAI</w:t>
      </w:r>
    </w:p>
    <w:p>
      <w:pPr>
        <w:spacing w:after="80" w:before="80"/>
        <w:jc w:val="center"/>
      </w:pPr>
      <w:r>
        <w:rPr>
          <w:rFonts w:ascii="Arial" w:cs="Arial" w:eastAsia="Arial" w:hAnsi="Arial"/>
          <w:color w:val="475569"/>
          <w:sz w:val="26"/>
          <w:szCs w:val="26"/>
        </w:rPr>
        <w:t xml:space="preserve">Enterprise Network Configuration Review Platform</w:t>
      </w:r>
    </w:p>
    <w:p>
      <w:pPr>
        <w:spacing w:after="0" w:before="200"/>
      </w:pPr>
    </w:p>
    <w:p>
      <w:pPr>
        <w:pBdr>
          <w:bottom w:val="single" w:color="2563EB" w:sz="8" w:space="6"/>
        </w:pBdr>
        <w:jc w:val="center"/>
      </w:pPr>
    </w:p>
    <w:p>
      <w:pPr>
        <w:spacing w:after="0" w:before="120"/>
      </w:pPr>
    </w:p>
    <w:p>
      <w:pPr>
        <w:jc w:val="center"/>
      </w:pPr>
      <w:r>
        <w:rPr>
          <w:rFonts w:ascii="Arial" w:cs="Arial" w:eastAsia="Arial" w:hAnsi="Arial"/>
          <w:b/>
          <w:bCs/>
          <w:color w:val="1E3A5F"/>
          <w:sz w:val="40"/>
          <w:szCs w:val="40"/>
        </w:rPr>
        <w:t xml:space="preserve">Technical Documentation</w:t>
      </w:r>
    </w:p>
    <w:p>
      <w:pPr>
        <w:spacing w:after="240" w:before="80"/>
        <w:jc w:val="center"/>
      </w:pPr>
      <w:r>
        <w:rPr>
          <w:rFonts w:ascii="Arial" w:cs="Arial" w:eastAsia="Arial" w:hAnsi="Arial"/>
          <w:i/>
          <w:iCs/>
          <w:color w:val="475569"/>
          <w:sz w:val="24"/>
          <w:szCs w:val="24"/>
        </w:rPr>
        <w:t xml:space="preserve">Architecture, Setup &amp; Feature Reference</w:t>
      </w:r>
    </w:p>
    <w:p>
      <w:pPr>
        <w:spacing w:after="40" w:before="40"/>
        <w:jc w:val="center"/>
      </w:pPr>
      <w:r>
        <w:rPr>
          <w:rFonts w:ascii="Arial" w:cs="Arial" w:eastAsia="Arial" w:hAnsi="Arial"/>
          <w:color w:val="475569"/>
          <w:sz w:val="20"/>
          <w:szCs w:val="20"/>
        </w:rPr>
        <w:t xml:space="preserve">Infinite AI Prototype Challenge 2026</w:t>
      </w:r>
    </w:p>
    <w:p>
      <w:pPr>
        <w:spacing w:after="40" w:before="40"/>
        <w:jc w:val="center"/>
      </w:pPr>
      <w:r>
        <w:rPr>
          <w:rFonts w:ascii="Arial" w:cs="Arial" w:eastAsia="Arial" w:hAnsi="Arial"/>
          <w:color w:val="475569"/>
          <w:sz w:val="20"/>
          <w:szCs w:val="20"/>
        </w:rPr>
        <w:t xml:space="preserve">Team: NetConfigAI</w:t>
      </w:r>
    </w:p>
    <w:p>
      <w:r>
        <w:br w:type="page"/>
      </w:r>
    </w:p>
    <w:p>
      <w:pPr>
        <w:pStyle w:val="Heading1"/>
        <w:pBdr>
          <w:bottom w:val="single" w:color="2563EB" w:sz="6" w:space="4"/>
        </w:pBdr>
        <w:spacing w:after="120" w:before="360"/>
      </w:pPr>
      <w:r>
        <w:rPr>
          <w:rFonts w:ascii="Arial" w:cs="Arial" w:eastAsia="Arial" w:hAnsi="Arial"/>
          <w:b/>
          <w:bCs/>
          <w:color w:val="1E3A5F"/>
          <w:sz w:val="28"/>
          <w:szCs w:val="28"/>
        </w:rPr>
        <w:t xml:space="preserve">1. Problem Statement</w:t>
      </w:r>
    </w:p>
    <w:p>
      <w:pPr>
        <w:spacing w:after="100" w:before="60"/>
      </w:pPr>
      <w:r>
        <w:rPr>
          <w:rFonts w:ascii="Arial" w:cs="Arial" w:eastAsia="Arial" w:hAnsi="Arial"/>
          <w:b w:val="false"/>
          <w:bCs w:val="false"/>
          <w:i w:val="false"/>
          <w:iCs w:val="false"/>
          <w:color w:val="1E293B"/>
          <w:sz w:val="22"/>
          <w:szCs w:val="22"/>
        </w:rPr>
        <w:t xml:space="preserve">Network engineers modify firewall rules, security groups, and router configurations on a daily basis. A single misconfiguration can expose critical infrastructure to attack. Manual peer review is inherently slow, inconsistent, and fails to scale with modern DevOps velocity. NetConfigAI automates this process using AI to detect risks, verify compliance, and manage the approval workflow end to end.</w:t>
      </w:r>
    </w:p>
    <w:p>
      <w:pPr>
        <w:pStyle w:val="Heading1"/>
        <w:pBdr>
          <w:bottom w:val="single" w:color="2563EB" w:sz="6" w:space="4"/>
        </w:pBdr>
        <w:spacing w:after="120" w:before="360"/>
      </w:pPr>
      <w:r>
        <w:rPr>
          <w:rFonts w:ascii="Arial" w:cs="Arial" w:eastAsia="Arial" w:hAnsi="Arial"/>
          <w:b/>
          <w:bCs/>
          <w:color w:val="1E3A5F"/>
          <w:sz w:val="28"/>
          <w:szCs w:val="28"/>
        </w:rPr>
        <w:t xml:space="preserve">2.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Feature</w:t>
            </w:r>
          </w:p>
        </w:tc>
        <w:tc>
          <w:tcPr>
            <w:tcW w:type="dxa" w:w="656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AI Diff Analysis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Gemini 1.5 Flash analyses every configuration change and assigns a risk score from 0 to 100</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Compliance Checks</w:t>
            </w:r>
          </w:p>
        </w:tc>
        <w:tc>
          <w:tcPr>
            <w:tcW w:type="dxa" w:w="656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Automated Pass/Fail evaluation against CIS Benchmarks, NIST 800-53, PCI-DSS, and SOC2</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Approval Workflow</w:t>
            </w:r>
          </w:p>
        </w:tc>
        <w:tc>
          <w:tcPr>
            <w:tcW w:type="dxa" w:w="65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Approve, Reject, or Escalate reviews with mandatory comments and a full audit trail</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Live Dashboard</w:t>
            </w:r>
          </w:p>
        </w:tc>
        <w:tc>
          <w:tcPr>
            <w:tcW w:type="dxa" w:w="656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Real-time stat cards, risk distribution charts, and compliance health bars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Audit Log</w:t>
            </w:r>
          </w:p>
        </w:tc>
        <w:tc>
          <w:tcPr>
            <w:tcW w:type="dxa" w:w="65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Immutable enterprise event trail for every action — login, approve, reject, download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Google OAuth</w:t>
            </w:r>
          </w:p>
        </w:tc>
        <w:tc>
          <w:tcPr>
            <w:tcW w:type="dxa" w:w="656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Sign in with Google; new users are automatically registered as network engineers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PDF Reports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Downloadable enterprise reports with risk charts, compliance findings, and AI recommendations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Onboarding Tour</w:t>
            </w:r>
          </w:p>
        </w:tc>
        <w:tc>
          <w:tcPr>
            <w:tcW w:type="dxa" w:w="656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7-step guided tour for new users powered by react-joyride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Agent Loop</w:t>
            </w:r>
          </w:p>
        </w:tc>
        <w:tc>
          <w:tcPr>
            <w:tcW w:type="dxa" w:w="65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Background Celery worker that polls and triggers Gemini analysis asynchronously</w:t>
            </w:r>
          </w:p>
        </w:tc>
      </w:tr>
    </w:tbl>
    <w:p>
      <w:pPr>
        <w:pStyle w:val="Heading1"/>
        <w:pBdr>
          <w:bottom w:val="single" w:color="2563EB" w:sz="6" w:space="4"/>
        </w:pBdr>
        <w:spacing w:after="120" w:before="360"/>
      </w:pPr>
      <w:r>
        <w:rPr>
          <w:rFonts w:ascii="Arial" w:cs="Arial" w:eastAsia="Arial" w:hAnsi="Arial"/>
          <w:b/>
          <w:bCs/>
          <w:color w:val="1E3A5F"/>
          <w:sz w:val="28"/>
          <w:szCs w:val="28"/>
        </w:rPr>
        <w:t xml:space="preserve">3. Architecture Overview</w:t>
      </w:r>
    </w:p>
    <w:p>
      <w:pPr>
        <w:pStyle w:val="Heading2"/>
        <w:spacing w:after="120" w:before="240"/>
      </w:pPr>
      <w:r>
        <w:rPr>
          <w:rFonts w:ascii="Arial" w:cs="Arial" w:eastAsia="Arial" w:hAnsi="Arial"/>
          <w:b/>
          <w:bCs/>
          <w:color w:val="2563EB"/>
          <w:sz w:val="24"/>
          <w:szCs w:val="24"/>
        </w:rPr>
        <w:t xml:space="preserve">3.1 System Architecture</w:t>
      </w:r>
    </w:p>
    <w:p>
      <w:pPr>
        <w:spacing w:after="100" w:before="60"/>
      </w:pPr>
      <w:r>
        <w:rPr>
          <w:rFonts w:ascii="Arial" w:cs="Arial" w:eastAsia="Arial" w:hAnsi="Arial"/>
          <w:b w:val="false"/>
          <w:bCs w:val="false"/>
          <w:i w:val="false"/>
          <w:iCs w:val="false"/>
          <w:color w:val="1E293B"/>
          <w:sz w:val="22"/>
          <w:szCs w:val="22"/>
        </w:rPr>
        <w:t xml:space="preserve">The system follows a clean three-tier architecture: a React/TypeScript frontend communicates with a FastAPI backend over a REST API secured with JWT authentication. Long-running AI analysis tasks are offloaded to a Celery worker queue backed by Redis, ensuring the API remains non-blocking. All persistent data is stored in PostgreSQL 15.</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Layer</w:t>
            </w:r>
          </w:p>
        </w:tc>
        <w:tc>
          <w:tcPr>
            <w:tcW w:type="dxa" w:w="234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Technology</w:t>
            </w:r>
          </w:p>
        </w:tc>
        <w:tc>
          <w:tcPr>
            <w:tcW w:type="dxa" w:w="234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Purpose</w:t>
            </w:r>
          </w:p>
        </w:tc>
        <w:tc>
          <w:tcPr>
            <w:tcW w:type="dxa" w:w="234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Port</w:t>
            </w:r>
          </w:p>
        </w:tc>
      </w:tr>
      <w:tr>
        <w:tc>
          <w:tcPr>
            <w:tcW w:type="dxa" w:w="23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Frontend</w:t>
            </w:r>
          </w:p>
        </w:tc>
        <w:tc>
          <w:tcPr>
            <w:tcW w:type="dxa" w:w="23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React 18 + TypeScript + Vite</w:t>
            </w:r>
          </w:p>
        </w:tc>
        <w:tc>
          <w:tcPr>
            <w:tcW w:type="dxa" w:w="23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User interface and workflow management</w:t>
            </w:r>
          </w:p>
        </w:tc>
        <w:tc>
          <w:tcPr>
            <w:tcW w:type="dxa" w:w="23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3000</w:t>
            </w:r>
          </w:p>
        </w:tc>
      </w:tr>
      <w:tr>
        <w:tc>
          <w:tcPr>
            <w:tcW w:type="dxa" w:w="234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Backend</w:t>
            </w:r>
          </w:p>
        </w:tc>
        <w:tc>
          <w:tcPr>
            <w:tcW w:type="dxa" w:w="234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FastAPI 0.111 + Python</w:t>
            </w:r>
          </w:p>
        </w:tc>
        <w:tc>
          <w:tcPr>
            <w:tcW w:type="dxa" w:w="234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REST API, auth, orchestration</w:t>
            </w:r>
          </w:p>
        </w:tc>
        <w:tc>
          <w:tcPr>
            <w:tcW w:type="dxa" w:w="234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8000</w:t>
            </w:r>
          </w:p>
        </w:tc>
      </w:tr>
      <w:tr>
        <w:tc>
          <w:tcPr>
            <w:tcW w:type="dxa" w:w="23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AI Worker</w:t>
            </w:r>
          </w:p>
        </w:tc>
        <w:tc>
          <w:tcPr>
            <w:tcW w:type="dxa" w:w="23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Celery 5.x + Redis 7</w:t>
            </w:r>
          </w:p>
        </w:tc>
        <w:tc>
          <w:tcPr>
            <w:tcW w:type="dxa" w:w="23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Asynchronous AI analysis pipeline</w:t>
            </w:r>
          </w:p>
        </w:tc>
        <w:tc>
          <w:tcPr>
            <w:tcW w:type="dxa" w:w="23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w:t>
            </w:r>
          </w:p>
        </w:tc>
      </w:tr>
      <w:tr>
        <w:tc>
          <w:tcPr>
            <w:tcW w:type="dxa" w:w="234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Database</w:t>
            </w:r>
          </w:p>
        </w:tc>
        <w:tc>
          <w:tcPr>
            <w:tcW w:type="dxa" w:w="234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PostgreSQL 15</w:t>
            </w:r>
          </w:p>
        </w:tc>
        <w:tc>
          <w:tcPr>
            <w:tcW w:type="dxa" w:w="234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Persistent storage for all entities</w:t>
            </w:r>
          </w:p>
        </w:tc>
        <w:tc>
          <w:tcPr>
            <w:tcW w:type="dxa" w:w="234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5432</w:t>
            </w:r>
          </w:p>
        </w:tc>
      </w:tr>
      <w:tr>
        <w:tc>
          <w:tcPr>
            <w:tcW w:type="dxa" w:w="23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AI Engine</w:t>
            </w:r>
          </w:p>
        </w:tc>
        <w:tc>
          <w:tcPr>
            <w:tcW w:type="dxa" w:w="23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Google Gemini 1.5 Flash</w:t>
            </w:r>
          </w:p>
        </w:tc>
        <w:tc>
          <w:tcPr>
            <w:tcW w:type="dxa" w:w="23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Risk analysis and compliance evaluation</w:t>
            </w:r>
          </w:p>
        </w:tc>
        <w:tc>
          <w:tcPr>
            <w:tcW w:type="dxa" w:w="23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External</w:t>
            </w:r>
          </w:p>
        </w:tc>
      </w:tr>
    </w:tbl>
    <w:p>
      <w:pPr>
        <w:pStyle w:val="Heading2"/>
        <w:spacing w:after="120" w:before="240"/>
      </w:pPr>
      <w:r>
        <w:rPr>
          <w:rFonts w:ascii="Arial" w:cs="Arial" w:eastAsia="Arial" w:hAnsi="Arial"/>
          <w:b/>
          <w:bCs/>
          <w:color w:val="2563EB"/>
          <w:sz w:val="24"/>
          <w:szCs w:val="24"/>
        </w:rPr>
        <w:t xml:space="preserve">3.2 AI Agent Loop</w:t>
      </w:r>
    </w:p>
    <w:p>
      <w:pPr>
        <w:spacing w:after="100" w:before="60"/>
      </w:pPr>
      <w:r>
        <w:rPr>
          <w:rFonts w:ascii="Arial" w:cs="Arial" w:eastAsia="Arial" w:hAnsi="Arial"/>
          <w:b w:val="false"/>
          <w:bCs w:val="false"/>
          <w:i w:val="false"/>
          <w:iCs w:val="false"/>
          <w:color w:val="1E293B"/>
          <w:sz w:val="22"/>
          <w:szCs w:val="22"/>
        </w:rPr>
        <w:t xml:space="preserve">The core AI capability is an Agent Loop — a background Celery worker that executes the following pipeline for every submitted review:</w:t>
      </w:r>
    </w:p>
    <w:p>
      <w:pPr>
        <w:spacing w:after="0" w:before="80"/>
      </w:pPr>
    </w:p>
    <w:p>
      <w:pPr>
        <w:pStyle w:val="ListParagraph"/>
        <w:numPr>
          <w:ilvl w:val="0"/>
          <w:numId w:val="2"/>
        </w:numPr>
        <w:spacing w:after="60" w:before="60"/>
      </w:pPr>
      <w:r>
        <w:rPr>
          <w:rFonts w:ascii="Arial" w:cs="Arial" w:eastAsia="Arial" w:hAnsi="Arial"/>
          <w:color w:val="1E293B"/>
          <w:sz w:val="22"/>
          <w:szCs w:val="22"/>
        </w:rPr>
        <w:t xml:space="preserve">Receive submitted config review task</w:t>
      </w:r>
    </w:p>
    <w:p>
      <w:pPr>
        <w:pStyle w:val="ListParagraph"/>
        <w:numPr>
          <w:ilvl w:val="0"/>
          <w:numId w:val="2"/>
        </w:numPr>
        <w:spacing w:after="60" w:before="60"/>
      </w:pPr>
      <w:r>
        <w:rPr>
          <w:rFonts w:ascii="Arial" w:cs="Arial" w:eastAsia="Arial" w:hAnsi="Arial"/>
          <w:color w:val="1E293B"/>
          <w:sz w:val="22"/>
          <w:szCs w:val="22"/>
        </w:rPr>
        <w:t xml:space="preserve">Parse the config format (auto-detects JSON, YAML, Cisco IOS, Palo Alto)</w:t>
      </w:r>
    </w:p>
    <w:p>
      <w:pPr>
        <w:pStyle w:val="ListParagraph"/>
        <w:numPr>
          <w:ilvl w:val="0"/>
          <w:numId w:val="2"/>
        </w:numPr>
        <w:spacing w:after="60" w:before="60"/>
      </w:pPr>
      <w:r>
        <w:rPr>
          <w:rFonts w:ascii="Arial" w:cs="Arial" w:eastAsia="Arial" w:hAnsi="Arial"/>
          <w:color w:val="1E293B"/>
          <w:sz w:val="22"/>
          <w:szCs w:val="22"/>
        </w:rPr>
        <w:t xml:space="preserve">Execute a 2-pass diff: semantic DeepDiff followed by unified text-diff fallback</w:t>
      </w:r>
    </w:p>
    <w:p>
      <w:pPr>
        <w:pStyle w:val="ListParagraph"/>
        <w:numPr>
          <w:ilvl w:val="0"/>
          <w:numId w:val="2"/>
        </w:numPr>
        <w:spacing w:after="60" w:before="60"/>
      </w:pPr>
      <w:r>
        <w:rPr>
          <w:rFonts w:ascii="Arial" w:cs="Arial" w:eastAsia="Arial" w:hAnsi="Arial"/>
          <w:color w:val="1E293B"/>
          <w:sz w:val="22"/>
          <w:szCs w:val="22"/>
        </w:rPr>
        <w:t xml:space="preserve">Score each change for risk: CIDR expansion, port exposure, credential changes</w:t>
      </w:r>
    </w:p>
    <w:p>
      <w:pPr>
        <w:pStyle w:val="ListParagraph"/>
        <w:numPr>
          <w:ilvl w:val="0"/>
          <w:numId w:val="2"/>
        </w:numPr>
        <w:spacing w:after="60" w:before="60"/>
      </w:pPr>
      <w:r>
        <w:rPr>
          <w:rFonts w:ascii="Arial" w:cs="Arial" w:eastAsia="Arial" w:hAnsi="Arial"/>
          <w:color w:val="1E293B"/>
          <w:sz w:val="22"/>
          <w:szCs w:val="22"/>
        </w:rPr>
        <w:t xml:space="preserve">Call Gemini 1.5 Flash with a structured prompt for AI risk analysis and compliance evaluation</w:t>
      </w:r>
    </w:p>
    <w:p>
      <w:pPr>
        <w:pStyle w:val="ListParagraph"/>
        <w:numPr>
          <w:ilvl w:val="0"/>
          <w:numId w:val="2"/>
        </w:numPr>
        <w:spacing w:after="60" w:before="60"/>
      </w:pPr>
      <w:r>
        <w:rPr>
          <w:rFonts w:ascii="Arial" w:cs="Arial" w:eastAsia="Arial" w:hAnsi="Arial"/>
          <w:color w:val="1E293B"/>
          <w:sz w:val="22"/>
          <w:szCs w:val="22"/>
        </w:rPr>
        <w:t xml:space="preserve">Persist all findings to PostgreSQL</w:t>
      </w:r>
    </w:p>
    <w:p>
      <w:pPr>
        <w:pStyle w:val="ListParagraph"/>
        <w:numPr>
          <w:ilvl w:val="0"/>
          <w:numId w:val="2"/>
        </w:numPr>
        <w:spacing w:after="60" w:before="60"/>
      </w:pPr>
      <w:r>
        <w:rPr>
          <w:rFonts w:ascii="Arial" w:cs="Arial" w:eastAsia="Arial" w:hAnsi="Arial"/>
          <w:color w:val="1E293B"/>
          <w:sz w:val="22"/>
          <w:szCs w:val="22"/>
        </w:rPr>
        <w:t xml:space="preserve">Frontend polls /api/v1/reviews/{id}/status until analysis is complete</w:t>
      </w:r>
    </w:p>
    <w:p>
      <w:pPr>
        <w:pStyle w:val="Heading1"/>
        <w:pBdr>
          <w:bottom w:val="single" w:color="2563EB" w:sz="6" w:space="4"/>
        </w:pBdr>
        <w:spacing w:after="120" w:before="360"/>
      </w:pPr>
      <w:r>
        <w:rPr>
          <w:rFonts w:ascii="Arial" w:cs="Arial" w:eastAsia="Arial" w:hAnsi="Arial"/>
          <w:b/>
          <w:bCs/>
          <w:color w:val="1E3A5F"/>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Layer</w:t>
            </w:r>
          </w:p>
        </w:tc>
        <w:tc>
          <w:tcPr>
            <w:tcW w:type="dxa" w:w="328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Technology</w:t>
            </w:r>
          </w:p>
        </w:tc>
        <w:tc>
          <w:tcPr>
            <w:tcW w:type="dxa" w:w="388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Version / Notes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Frontend</w:t>
            </w:r>
          </w:p>
        </w:tc>
        <w:tc>
          <w:tcPr>
            <w:tcW w:type="dxa" w:w="32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React + TypeScript + Vite</w:t>
            </w:r>
          </w:p>
        </w:tc>
        <w:tc>
          <w:tcPr>
            <w:tcW w:type="dxa" w:w="38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18 + 5.4</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UI Library</w:t>
            </w:r>
          </w:p>
        </w:tc>
        <w:tc>
          <w:tcPr>
            <w:tcW w:type="dxa" w:w="32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Material UI</w:t>
            </w:r>
          </w:p>
        </w:tc>
        <w:tc>
          <w:tcPr>
            <w:tcW w:type="dxa" w:w="38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5.x</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Charts</w:t>
            </w:r>
          </w:p>
        </w:tc>
        <w:tc>
          <w:tcPr>
            <w:tcW w:type="dxa" w:w="32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Recharts</w:t>
            </w:r>
          </w:p>
        </w:tc>
        <w:tc>
          <w:tcPr>
            <w:tcW w:type="dxa" w:w="38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2.x</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Backend</w:t>
            </w:r>
          </w:p>
        </w:tc>
        <w:tc>
          <w:tcPr>
            <w:tcW w:type="dxa" w:w="32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FastAPI</w:t>
            </w:r>
          </w:p>
        </w:tc>
        <w:tc>
          <w:tcPr>
            <w:tcW w:type="dxa" w:w="38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0.111</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AI / LLM</w:t>
            </w:r>
          </w:p>
        </w:tc>
        <w:tc>
          <w:tcPr>
            <w:tcW w:type="dxa" w:w="32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Google Gemini 1.5 Flash</w:t>
            </w:r>
          </w:p>
        </w:tc>
        <w:tc>
          <w:tcPr>
            <w:tcW w:type="dxa" w:w="38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via Google AI Studio API</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Task Queue</w:t>
            </w:r>
          </w:p>
        </w:tc>
        <w:tc>
          <w:tcPr>
            <w:tcW w:type="dxa" w:w="32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Celery + Redis</w:t>
            </w:r>
          </w:p>
        </w:tc>
        <w:tc>
          <w:tcPr>
            <w:tcW w:type="dxa" w:w="38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5.x + 7.x</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Database</w:t>
            </w:r>
          </w:p>
        </w:tc>
        <w:tc>
          <w:tcPr>
            <w:tcW w:type="dxa" w:w="32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PostgreSQL + SQLAlchemy</w:t>
            </w:r>
          </w:p>
        </w:tc>
        <w:tc>
          <w:tcPr>
            <w:tcW w:type="dxa" w:w="38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15 + 2.x async</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Auth</w:t>
            </w:r>
          </w:p>
        </w:tc>
        <w:tc>
          <w:tcPr>
            <w:tcW w:type="dxa" w:w="32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JWT + bcrypt + Google OAuth</w:t>
            </w:r>
          </w:p>
        </w:tc>
        <w:tc>
          <w:tcPr>
            <w:tcW w:type="dxa" w:w="38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python-jose, bcrypt cost=12</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Container</w:t>
            </w:r>
          </w:p>
        </w:tc>
        <w:tc>
          <w:tcPr>
            <w:tcW w:type="dxa" w:w="32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Docker + Docker Compose</w:t>
            </w:r>
          </w:p>
        </w:tc>
        <w:tc>
          <w:tcPr>
            <w:tcW w:type="dxa" w:w="38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v2</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Diff Engine</w:t>
            </w:r>
          </w:p>
        </w:tc>
        <w:tc>
          <w:tcPr>
            <w:tcW w:type="dxa" w:w="32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DeepDiff + difflib</w:t>
            </w:r>
          </w:p>
        </w:tc>
        <w:tc>
          <w:tcPr>
            <w:tcW w:type="dxa" w:w="38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PDF</w:t>
            </w:r>
          </w:p>
        </w:tc>
        <w:tc>
          <w:tcPr>
            <w:tcW w:type="dxa" w:w="32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ReportLab</w:t>
            </w:r>
          </w:p>
        </w:tc>
        <w:tc>
          <w:tcPr>
            <w:tcW w:type="dxa" w:w="38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w:t>
            </w:r>
          </w:p>
        </w:tc>
      </w:tr>
    </w:tbl>
    <w:p>
      <w:pPr>
        <w:pStyle w:val="Heading1"/>
        <w:pBdr>
          <w:bottom w:val="single" w:color="2563EB" w:sz="6" w:space="4"/>
        </w:pBdr>
        <w:spacing w:after="120" w:before="360"/>
      </w:pPr>
      <w:r>
        <w:rPr>
          <w:rFonts w:ascii="Arial" w:cs="Arial" w:eastAsia="Arial" w:hAnsi="Arial"/>
          <w:b/>
          <w:bCs/>
          <w:color w:val="1E3A5F"/>
          <w:sz w:val="28"/>
          <w:szCs w:val="28"/>
        </w:rPr>
        <w:t xml:space="preserve">5. Setup &amp; Run Instructions</w:t>
      </w:r>
    </w:p>
    <w:p>
      <w:pPr>
        <w:pStyle w:val="Heading2"/>
        <w:spacing w:after="120" w:before="240"/>
      </w:pPr>
      <w:r>
        <w:rPr>
          <w:rFonts w:ascii="Arial" w:cs="Arial" w:eastAsia="Arial" w:hAnsi="Arial"/>
          <w:b/>
          <w:bCs/>
          <w:color w:val="2563EB"/>
          <w:sz w:val="24"/>
          <w:szCs w:val="24"/>
        </w:rPr>
        <w:t xml:space="preserve">5.1 Prerequisites</w:t>
      </w:r>
    </w:p>
    <w:p>
      <w:pPr>
        <w:pStyle w:val="ListParagraph"/>
        <w:numPr>
          <w:ilvl w:val="0"/>
          <w:numId w:val="3"/>
        </w:numPr>
        <w:spacing w:after="60" w:before="60"/>
      </w:pPr>
      <w:r>
        <w:rPr>
          <w:rFonts w:ascii="Arial" w:cs="Arial" w:eastAsia="Arial" w:hAnsi="Arial"/>
          <w:color w:val="1E293B"/>
          <w:sz w:val="22"/>
          <w:szCs w:val="22"/>
        </w:rPr>
        <w:t xml:space="preserve">Docker Desktop with Docker Compose v2</w:t>
      </w:r>
    </w:p>
    <w:p>
      <w:pPr>
        <w:pStyle w:val="ListParagraph"/>
        <w:numPr>
          <w:ilvl w:val="0"/>
          <w:numId w:val="3"/>
        </w:numPr>
        <w:spacing w:after="60" w:before="60"/>
      </w:pPr>
      <w:r>
        <w:rPr>
          <w:rFonts w:ascii="Arial" w:cs="Arial" w:eastAsia="Arial" w:hAnsi="Arial"/>
          <w:color w:val="1E293B"/>
          <w:sz w:val="22"/>
          <w:szCs w:val="22"/>
        </w:rPr>
        <w:t xml:space="preserve">Git</w:t>
      </w:r>
    </w:p>
    <w:p>
      <w:pPr>
        <w:pStyle w:val="ListParagraph"/>
        <w:numPr>
          <w:ilvl w:val="0"/>
          <w:numId w:val="3"/>
        </w:numPr>
        <w:spacing w:after="60" w:before="60"/>
      </w:pPr>
      <w:r>
        <w:rPr>
          <w:rFonts w:ascii="Arial" w:cs="Arial" w:eastAsia="Arial" w:hAnsi="Arial"/>
          <w:color w:val="1E293B"/>
          <w:sz w:val="22"/>
          <w:szCs w:val="22"/>
        </w:rPr>
        <w:t xml:space="preserve">A Gemini API key — available free at aistudio.google.com</w:t>
      </w:r>
    </w:p>
    <w:p>
      <w:pPr>
        <w:spacing w:after="0" w:before="120"/>
      </w:pPr>
    </w:p>
    <w:p>
      <w:pPr>
        <w:pStyle w:val="Heading2"/>
        <w:spacing w:after="120" w:before="240"/>
      </w:pPr>
      <w:r>
        <w:rPr>
          <w:rFonts w:ascii="Arial" w:cs="Arial" w:eastAsia="Arial" w:hAnsi="Arial"/>
          <w:b/>
          <w:bCs/>
          <w:color w:val="2563EB"/>
          <w:sz w:val="24"/>
          <w:szCs w:val="24"/>
        </w:rPr>
        <w:t xml:space="preserve">5.2 Installation</w:t>
      </w:r>
    </w:p>
    <w:p>
      <w:pPr>
        <w:spacing w:after="100" w:before="60"/>
      </w:pPr>
      <w:r>
        <w:rPr>
          <w:rFonts w:ascii="Arial" w:cs="Arial" w:eastAsia="Arial" w:hAnsi="Arial"/>
          <w:b w:val="false"/>
          <w:bCs w:val="false"/>
          <w:i w:val="false"/>
          <w:iCs w:val="false"/>
          <w:color w:val="1E293B"/>
          <w:sz w:val="22"/>
          <w:szCs w:val="22"/>
        </w:rPr>
        <w:t xml:space="preserve">Step 1 — Clone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EFF6FF" w:val="clear"/>
            <w:tcMar>
              <w:top w:type="dxa" w:w="120"/>
              <w:left w:type="dxa" w:w="200"/>
              <w:bottom w:type="dxa" w:w="120"/>
              <w:right w:type="dxa" w:w="200"/>
            </w:tcMar>
          </w:tcPr>
          <w:p>
            <w:pPr>
              <w:spacing w:after="40" w:before="40"/>
            </w:pPr>
            <w:r>
              <w:rPr>
                <w:rFonts w:ascii="Arial" w:cs="Arial" w:eastAsia="Arial" w:hAnsi="Arial"/>
                <w:b w:val="false"/>
                <w:bCs w:val="false"/>
                <w:color w:val="1E3A5F"/>
                <w:sz w:val="20"/>
                <w:szCs w:val="20"/>
              </w:rPr>
              <w:t xml:space="preserve">git clone https://github.com/gayusankar06/netconfig.git</w:t>
            </w:r>
          </w:p>
          <w:p>
            <w:pPr>
              <w:spacing w:after="40" w:before="40"/>
            </w:pPr>
            <w:r>
              <w:rPr>
                <w:rFonts w:ascii="Arial" w:cs="Arial" w:eastAsia="Arial" w:hAnsi="Arial"/>
                <w:b w:val="false"/>
                <w:bCs w:val="false"/>
                <w:color w:val="1E3A5F"/>
                <w:sz w:val="20"/>
                <w:szCs w:val="20"/>
              </w:rPr>
              <w:t xml:space="preserve">cd netconfig</w:t>
            </w:r>
          </w:p>
        </w:tc>
      </w:tr>
    </w:tbl>
    <w:p>
      <w:pPr>
        <w:spacing w:after="0" w:before="100"/>
      </w:pPr>
    </w:p>
    <w:p>
      <w:pPr>
        <w:spacing w:after="100" w:before="60"/>
      </w:pPr>
      <w:r>
        <w:rPr>
          <w:rFonts w:ascii="Arial" w:cs="Arial" w:eastAsia="Arial" w:hAnsi="Arial"/>
          <w:b w:val="false"/>
          <w:bCs w:val="false"/>
          <w:i w:val="false"/>
          <w:iCs w:val="false"/>
          <w:color w:val="1E293B"/>
          <w:sz w:val="22"/>
          <w:szCs w:val="22"/>
        </w:rPr>
        <w:t xml:space="preserve">Step 2 — Configure the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EFF6FF" w:val="clear"/>
            <w:tcMar>
              <w:top w:type="dxa" w:w="120"/>
              <w:left w:type="dxa" w:w="200"/>
              <w:bottom w:type="dxa" w:w="120"/>
              <w:right w:type="dxa" w:w="200"/>
            </w:tcMar>
          </w:tcPr>
          <w:p>
            <w:pPr>
              <w:spacing w:after="40" w:before="40"/>
            </w:pPr>
            <w:r>
              <w:rPr>
                <w:rFonts w:ascii="Arial" w:cs="Arial" w:eastAsia="Arial" w:hAnsi="Arial"/>
                <w:b w:val="false"/>
                <w:bCs w:val="false"/>
                <w:color w:val="1E3A5F"/>
                <w:sz w:val="20"/>
                <w:szCs w:val="20"/>
              </w:rPr>
              <w:t xml:space="preserve">cp .env.example .env</w:t>
            </w:r>
          </w:p>
          <w:p>
            <w:pPr>
              <w:spacing w:after="40" w:before="40"/>
            </w:pPr>
            <w:r>
              <w:rPr>
                <w:rFonts w:ascii="Arial" w:cs="Arial" w:eastAsia="Arial" w:hAnsi="Arial"/>
                <w:b/>
                <w:bCs/>
                <w:color w:val="1E3A5F"/>
                <w:sz w:val="20"/>
                <w:szCs w:val="20"/>
              </w:rPr>
              <w:t xml:space="preserve">// Edit .env and add your Gemini API key:</w:t>
            </w:r>
          </w:p>
          <w:p>
            <w:pPr>
              <w:spacing w:after="40" w:before="40"/>
            </w:pPr>
            <w:r>
              <w:rPr>
                <w:rFonts w:ascii="Arial" w:cs="Arial" w:eastAsia="Arial" w:hAnsi="Arial"/>
                <w:b w:val="false"/>
                <w:bCs w:val="false"/>
                <w:color w:val="1E3A5F"/>
                <w:sz w:val="20"/>
                <w:szCs w:val="20"/>
              </w:rPr>
              <w:t xml:space="preserve">GEMINI_API_KEY=your_gemini_api_key_here</w:t>
            </w:r>
          </w:p>
          <w:p>
            <w:pPr>
              <w:spacing w:after="40" w:before="40"/>
            </w:pPr>
            <w:r>
              <w:rPr>
                <w:rFonts w:ascii="Arial" w:cs="Arial" w:eastAsia="Arial" w:hAnsi="Arial"/>
                <w:b w:val="false"/>
                <w:bCs w:val="false"/>
                <w:color w:val="1E3A5F"/>
                <w:sz w:val="20"/>
                <w:szCs w:val="20"/>
              </w:rPr>
              <w:t xml:space="preserve">VITE_GOOGLE_CLIENT_ID=your_google_client_id_here   // Optional</w:t>
            </w:r>
          </w:p>
        </w:tc>
      </w:tr>
    </w:tbl>
    <w:p>
      <w:pPr>
        <w:spacing w:after="0" w:before="100"/>
      </w:pPr>
    </w:p>
    <w:p>
      <w:pPr>
        <w:spacing w:after="100" w:before="60"/>
      </w:pPr>
      <w:r>
        <w:rPr>
          <w:rFonts w:ascii="Arial" w:cs="Arial" w:eastAsia="Arial" w:hAnsi="Arial"/>
          <w:b w:val="false"/>
          <w:bCs w:val="false"/>
          <w:i w:val="false"/>
          <w:iCs w:val="false"/>
          <w:color w:val="1E293B"/>
          <w:sz w:val="22"/>
          <w:szCs w:val="22"/>
        </w:rPr>
        <w:t xml:space="preserve">Step 3 — Start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EFF6FF" w:val="clear"/>
            <w:tcMar>
              <w:top w:type="dxa" w:w="120"/>
              <w:left w:type="dxa" w:w="200"/>
              <w:bottom w:type="dxa" w:w="120"/>
              <w:right w:type="dxa" w:w="200"/>
            </w:tcMar>
          </w:tcPr>
          <w:p>
            <w:pPr>
              <w:spacing w:after="40" w:before="40"/>
            </w:pPr>
            <w:r>
              <w:rPr>
                <w:rFonts w:ascii="Arial" w:cs="Arial" w:eastAsia="Arial" w:hAnsi="Arial"/>
                <w:b w:val="false"/>
                <w:bCs w:val="false"/>
                <w:color w:val="1E3A5F"/>
                <w:sz w:val="20"/>
                <w:szCs w:val="20"/>
              </w:rPr>
              <w:t xml:space="preserve">docker compose up -d</w:t>
            </w:r>
          </w:p>
        </w:tc>
      </w:tr>
    </w:tbl>
    <w:p>
      <w:pPr>
        <w:spacing w:after="0" w:before="100"/>
      </w:pPr>
    </w:p>
    <w:p>
      <w:pPr>
        <w:spacing w:after="100" w:before="60"/>
      </w:pPr>
      <w:r>
        <w:rPr>
          <w:rFonts w:ascii="Arial" w:cs="Arial" w:eastAsia="Arial" w:hAnsi="Arial"/>
          <w:b w:val="false"/>
          <w:bCs w:val="false"/>
          <w:i w:val="false"/>
          <w:iCs w:val="false"/>
          <w:color w:val="1E293B"/>
          <w:sz w:val="22"/>
          <w:szCs w:val="22"/>
        </w:rPr>
        <w:t xml:space="preserve">This command starts PostgreSQL, Redis, FastAPI backend, Celery worker, and the React frontend in a single step.</w:t>
      </w:r>
    </w:p>
    <w:p>
      <w:pPr>
        <w:pStyle w:val="Heading2"/>
        <w:spacing w:after="120" w:before="240"/>
      </w:pPr>
      <w:r>
        <w:rPr>
          <w:rFonts w:ascii="Arial" w:cs="Arial" w:eastAsia="Arial" w:hAnsi="Arial"/>
          <w:b/>
          <w:bCs/>
          <w:color w:val="2563EB"/>
          <w:sz w:val="24"/>
          <w:szCs w:val="24"/>
        </w:rPr>
        <w:t xml:space="preserve">5.3 Access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Service</w:t>
            </w:r>
          </w:p>
        </w:tc>
        <w:tc>
          <w:tcPr>
            <w:tcW w:type="dxa" w:w="624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URL</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Frontend Application</w:t>
            </w:r>
          </w:p>
        </w:tc>
        <w:tc>
          <w:tcPr>
            <w:tcW w:type="dxa" w:w="62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http://localhost:3000</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Backend API</w:t>
            </w:r>
          </w:p>
        </w:tc>
        <w:tc>
          <w:tcPr>
            <w:tcW w:type="dxa" w:w="624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http://localhost:8000</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API Documentation (Swagger)</w:t>
            </w:r>
          </w:p>
        </w:tc>
        <w:tc>
          <w:tcPr>
            <w:tcW w:type="dxa" w:w="62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http://localhost:8000/docs</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Health Check</w:t>
            </w:r>
          </w:p>
        </w:tc>
        <w:tc>
          <w:tcPr>
            <w:tcW w:type="dxa" w:w="624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http://localhost:8000/health/ready</w:t>
            </w:r>
          </w:p>
        </w:tc>
      </w:tr>
    </w:tbl>
    <w:p>
      <w:pPr>
        <w:spacing w:after="0" w:before="120"/>
      </w:pPr>
    </w:p>
    <w:p>
      <w:pPr>
        <w:pStyle w:val="Heading2"/>
        <w:spacing w:after="120" w:before="240"/>
      </w:pPr>
      <w:r>
        <w:rPr>
          <w:rFonts w:ascii="Arial" w:cs="Arial" w:eastAsia="Arial" w:hAnsi="Arial"/>
          <w:b/>
          <w:bCs/>
          <w:color w:val="2563EB"/>
          <w:sz w:val="24"/>
          <w:szCs w:val="24"/>
        </w:rPr>
        <w:t xml:space="preserve">5.4 Demo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Email</w:t>
            </w:r>
          </w:p>
        </w:tc>
        <w:tc>
          <w:tcPr>
            <w:tcW w:type="dxa" w:w="312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Password</w:t>
            </w:r>
          </w:p>
        </w:tc>
        <w:tc>
          <w:tcPr>
            <w:tcW w:type="dxa" w:w="312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Role</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admin@netconfigdiff.com</w:t>
            </w:r>
          </w:p>
        </w:tc>
        <w:tc>
          <w:tcPr>
            <w:tcW w:type="dxa" w:w="312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Admin123!</w:t>
            </w:r>
          </w:p>
        </w:tc>
        <w:tc>
          <w:tcPr>
            <w:tcW w:type="dxa" w:w="312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Admin</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admin@netconfig.ai</w:t>
            </w:r>
          </w:p>
        </w:tc>
        <w:tc>
          <w:tcPr>
            <w:tcW w:type="dxa" w:w="312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Admin123!</w:t>
            </w:r>
          </w:p>
        </w:tc>
        <w:tc>
          <w:tcPr>
            <w:tcW w:type="dxa" w:w="312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Super Admin</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Demo@gmail.com</w:t>
            </w:r>
          </w:p>
        </w:tc>
        <w:tc>
          <w:tcPr>
            <w:tcW w:type="dxa" w:w="312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Admin123!</w:t>
            </w:r>
          </w:p>
        </w:tc>
        <w:tc>
          <w:tcPr>
            <w:tcW w:type="dxa" w:w="312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Network Engineer</w:t>
            </w:r>
          </w:p>
        </w:tc>
      </w:tr>
    </w:tbl>
    <w:p>
      <w:pPr>
        <w:pStyle w:val="Heading1"/>
        <w:pBdr>
          <w:bottom w:val="single" w:color="2563EB" w:sz="6" w:space="4"/>
        </w:pBdr>
        <w:spacing w:after="120" w:before="360"/>
      </w:pPr>
      <w:r>
        <w:rPr>
          <w:rFonts w:ascii="Arial" w:cs="Arial" w:eastAsia="Arial" w:hAnsi="Arial"/>
          <w:b/>
          <w:bCs/>
          <w:color w:val="1E3A5F"/>
          <w:sz w:val="28"/>
          <w:szCs w:val="28"/>
        </w:rPr>
        <w:t xml:space="preserve">6. Running Tests</w:t>
      </w:r>
    </w:p>
    <w:p>
      <w:pPr>
        <w:pStyle w:val="Heading2"/>
        <w:spacing w:after="120" w:before="240"/>
      </w:pPr>
      <w:r>
        <w:rPr>
          <w:rFonts w:ascii="Arial" w:cs="Arial" w:eastAsia="Arial" w:hAnsi="Arial"/>
          <w:b/>
          <w:bCs/>
          <w:color w:val="2563EB"/>
          <w:sz w:val="24"/>
          <w:szCs w:val="24"/>
        </w:rPr>
        <w:t xml:space="preserve">6.1 Backend Tests (pytest)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EFF6FF" w:val="clear"/>
            <w:tcMar>
              <w:top w:type="dxa" w:w="120"/>
              <w:left w:type="dxa" w:w="200"/>
              <w:bottom w:type="dxa" w:w="120"/>
              <w:right w:type="dxa" w:w="200"/>
            </w:tcMar>
          </w:tcPr>
          <w:p>
            <w:pPr>
              <w:spacing w:after="40" w:before="40"/>
            </w:pPr>
            <w:r>
              <w:rPr>
                <w:rFonts w:ascii="Arial" w:cs="Arial" w:eastAsia="Arial" w:hAnsi="Arial"/>
                <w:b w:val="false"/>
                <w:bCs w:val="false"/>
                <w:color w:val="1E3A5F"/>
                <w:sz w:val="20"/>
                <w:szCs w:val="20"/>
              </w:rPr>
              <w:t xml:space="preserve">cd backend</w:t>
            </w:r>
          </w:p>
          <w:p>
            <w:pPr>
              <w:spacing w:after="40" w:before="40"/>
            </w:pPr>
            <w:r>
              <w:rPr>
                <w:rFonts w:ascii="Arial" w:cs="Arial" w:eastAsia="Arial" w:hAnsi="Arial"/>
                <w:b w:val="false"/>
                <w:bCs w:val="false"/>
                <w:color w:val="1E3A5F"/>
                <w:sz w:val="20"/>
                <w:szCs w:val="20"/>
              </w:rPr>
              <w:t xml:space="preserve">pip install -r requirements.txt</w:t>
            </w:r>
          </w:p>
          <w:p>
            <w:pPr>
              <w:spacing w:after="40" w:before="40"/>
            </w:pPr>
            <w:r>
              <w:rPr>
                <w:rFonts w:ascii="Arial" w:cs="Arial" w:eastAsia="Arial" w:hAnsi="Arial"/>
                <w:b w:val="false"/>
                <w:bCs w:val="false"/>
                <w:color w:val="1E3A5F"/>
                <w:sz w:val="20"/>
                <w:szCs w:val="20"/>
              </w:rPr>
              <w:t xml:space="preserve">pytest tests/ -v --tb=short</w:t>
            </w:r>
          </w:p>
        </w:tc>
      </w:tr>
    </w:tbl>
    <w:p>
      <w:pPr>
        <w:spacing w:after="0" w:before="100"/>
      </w:pPr>
    </w:p>
    <w:p>
      <w:pPr>
        <w:pStyle w:val="Heading2"/>
        <w:spacing w:after="120" w:before="240"/>
      </w:pPr>
      <w:r>
        <w:rPr>
          <w:rFonts w:ascii="Arial" w:cs="Arial" w:eastAsia="Arial" w:hAnsi="Arial"/>
          <w:b/>
          <w:bCs/>
          <w:color w:val="2563EB"/>
          <w:sz w:val="24"/>
          <w:szCs w:val="24"/>
        </w:rPr>
        <w:t xml:space="preserve">6.2 Frontend Tests (Vitest)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EFF6FF" w:val="clear"/>
            <w:tcMar>
              <w:top w:type="dxa" w:w="120"/>
              <w:left w:type="dxa" w:w="200"/>
              <w:bottom w:type="dxa" w:w="120"/>
              <w:right w:type="dxa" w:w="200"/>
            </w:tcMar>
          </w:tcPr>
          <w:p>
            <w:pPr>
              <w:spacing w:after="40" w:before="40"/>
            </w:pPr>
            <w:r>
              <w:rPr>
                <w:rFonts w:ascii="Arial" w:cs="Arial" w:eastAsia="Arial" w:hAnsi="Arial"/>
                <w:b w:val="false"/>
                <w:bCs w:val="false"/>
                <w:color w:val="1E3A5F"/>
                <w:sz w:val="20"/>
                <w:szCs w:val="20"/>
              </w:rPr>
              <w:t xml:space="preserve">cd frontend</w:t>
            </w:r>
          </w:p>
          <w:p>
            <w:pPr>
              <w:spacing w:after="40" w:before="40"/>
            </w:pPr>
            <w:r>
              <w:rPr>
                <w:rFonts w:ascii="Arial" w:cs="Arial" w:eastAsia="Arial" w:hAnsi="Arial"/>
                <w:b w:val="false"/>
                <w:bCs w:val="false"/>
                <w:color w:val="1E3A5F"/>
                <w:sz w:val="20"/>
                <w:szCs w:val="20"/>
              </w:rPr>
              <w:t xml:space="preserve">npm install</w:t>
            </w:r>
          </w:p>
          <w:p>
            <w:pPr>
              <w:spacing w:after="40" w:before="40"/>
            </w:pPr>
            <w:r>
              <w:rPr>
                <w:rFonts w:ascii="Arial" w:cs="Arial" w:eastAsia="Arial" w:hAnsi="Arial"/>
                <w:b w:val="false"/>
                <w:bCs w:val="false"/>
                <w:color w:val="1E3A5F"/>
                <w:sz w:val="20"/>
                <w:szCs w:val="20"/>
              </w:rPr>
              <w:t xml:space="preserve">npm run test</w:t>
            </w:r>
          </w:p>
        </w:tc>
      </w:tr>
    </w:tbl>
    <w:p>
      <w:pPr>
        <w:spacing w:after="0" w:before="100"/>
      </w:pPr>
    </w:p>
    <w:p>
      <w:pPr>
        <w:pStyle w:val="Heading2"/>
        <w:spacing w:after="120" w:before="240"/>
      </w:pPr>
      <w:r>
        <w:rPr>
          <w:rFonts w:ascii="Arial" w:cs="Arial" w:eastAsia="Arial" w:hAnsi="Arial"/>
          <w:b/>
          <w:bCs/>
          <w:color w:val="2563EB"/>
          <w:sz w:val="24"/>
          <w:szCs w:val="24"/>
        </w:rPr>
        <w:t xml:space="preserve">6.3 Tests via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EFF6FF" w:val="clear"/>
            <w:tcMar>
              <w:top w:type="dxa" w:w="120"/>
              <w:left w:type="dxa" w:w="200"/>
              <w:bottom w:type="dxa" w:w="120"/>
              <w:right w:type="dxa" w:w="200"/>
            </w:tcMar>
          </w:tcPr>
          <w:p>
            <w:pPr>
              <w:spacing w:after="40" w:before="40"/>
            </w:pPr>
            <w:r>
              <w:rPr>
                <w:rFonts w:ascii="Arial" w:cs="Arial" w:eastAsia="Arial" w:hAnsi="Arial"/>
                <w:b w:val="false"/>
                <w:bCs w:val="false"/>
                <w:color w:val="1E3A5F"/>
                <w:sz w:val="20"/>
                <w:szCs w:val="20"/>
              </w:rPr>
              <w:t xml:space="preserve">docker exec netconfig_backend pytest tests/ -v</w:t>
            </w:r>
          </w:p>
          <w:p>
            <w:pPr>
              <w:spacing w:after="40" w:before="40"/>
            </w:pPr>
            <w:r>
              <w:rPr>
                <w:rFonts w:ascii="Arial" w:cs="Arial" w:eastAsia="Arial" w:hAnsi="Arial"/>
                <w:b w:val="false"/>
                <w:bCs w:val="false"/>
                <w:color w:val="1E3A5F"/>
                <w:sz w:val="20"/>
                <w:szCs w:val="20"/>
              </w:rPr>
              <w:t xml:space="preserve">docker exec netconfig_frontend npm run test -- --run</w:t>
            </w:r>
          </w:p>
        </w:tc>
      </w:tr>
    </w:tbl>
    <w:p>
      <w:pPr>
        <w:pStyle w:val="Heading1"/>
        <w:pBdr>
          <w:bottom w:val="single" w:color="2563EB" w:sz="6" w:space="4"/>
        </w:pBdr>
        <w:spacing w:after="120" w:before="360"/>
      </w:pPr>
      <w:r>
        <w:rPr>
          <w:rFonts w:ascii="Arial" w:cs="Arial" w:eastAsia="Arial" w:hAnsi="Arial"/>
          <w:b/>
          <w:bCs/>
          <w:color w:val="1E3A5F"/>
          <w:sz w:val="28"/>
          <w:szCs w:val="28"/>
        </w:rPr>
        <w:t xml:space="preserve">7. Assumptions &amp;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Item</w:t>
            </w:r>
          </w:p>
        </w:tc>
        <w:tc>
          <w:tcPr>
            <w:tcW w:type="dxa" w:w="656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Detail</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Gemini API</w:t>
            </w:r>
          </w:p>
        </w:tc>
        <w:tc>
          <w:tcPr>
            <w:tcW w:type="dxa" w:w="65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Requires a valid Gemini API key; free tier is available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Docker</w:t>
            </w:r>
          </w:p>
        </w:tc>
        <w:tc>
          <w:tcPr>
            <w:tcW w:type="dxa" w:w="656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Requires Docker Desktop v2 or later with Compose v2</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Google OAuth</w:t>
            </w:r>
          </w:p>
        </w:tc>
        <w:tc>
          <w:tcPr>
            <w:tcW w:type="dxa" w:w="65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Requires a Google Cloud OAuth client ID for social login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SSL</w:t>
            </w:r>
          </w:p>
        </w:tc>
        <w:tc>
          <w:tcPr>
            <w:tcW w:type="dxa" w:w="656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Not configured for local development; use Nginx or Caddy for production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Config Size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Large configs exceeding 1 MB may be truncated to fit Gemini prompt limits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Analysis Time</w:t>
            </w:r>
          </w:p>
        </w:tc>
        <w:tc>
          <w:tcPr>
            <w:tcW w:type="dxa" w:w="656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Gemini analysis typically takes 10 to 30 seconds per review</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PDF Reports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Require a completed AI analysis (status: pending_review or approved)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Port Exposure</w:t>
            </w:r>
          </w:p>
        </w:tc>
        <w:tc>
          <w:tcPr>
            <w:tcW w:type="dxa" w:w="656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Application uses ports 3000, 8000, 5432, and 6379 — ensure they are free</w:t>
            </w:r>
          </w:p>
        </w:tc>
      </w:tr>
    </w:tbl>
    <w:p>
      <w:pPr>
        <w:pStyle w:val="Heading1"/>
        <w:pBdr>
          <w:bottom w:val="single" w:color="2563EB" w:sz="6" w:space="4"/>
        </w:pBdr>
        <w:spacing w:after="120" w:before="360"/>
      </w:pPr>
      <w:r>
        <w:rPr>
          <w:rFonts w:ascii="Arial" w:cs="Arial" w:eastAsia="Arial" w:hAnsi="Arial"/>
          <w:b/>
          <w:bCs/>
          <w:color w:val="1E3A5F"/>
          <w:sz w:val="28"/>
          <w:szCs w:val="28"/>
        </w:rPr>
        <w:t xml:space="preserve">8. Challenge Criteria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680"/>
        <w:gridCol w:w="3900"/>
      </w:tblGrid>
      <w:tr>
        <w:trPr>
          <w:tblHeader/>
        </w:trPr>
        <w:tc>
          <w:tcPr>
            <w:tcW w:type="dxa" w:w="78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w:t>
            </w:r>
          </w:p>
        </w:tc>
        <w:tc>
          <w:tcPr>
            <w:tcW w:type="dxa" w:w="468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Criterion</w:t>
            </w:r>
          </w:p>
        </w:tc>
        <w:tc>
          <w:tcPr>
            <w:tcW w:type="dxa" w:w="390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Implementation</w:t>
            </w:r>
          </w:p>
        </w:tc>
      </w:tr>
      <w:tr>
        <w:tc>
          <w:tcPr>
            <w:tcW w:type="dxa" w:w="7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1</w:t>
            </w:r>
          </w:p>
        </w:tc>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AI-Assisted Development</w:t>
            </w:r>
          </w:p>
        </w:tc>
        <w:tc>
          <w:tcPr>
            <w:tcW w:type="dxa" w:w="39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Gemini AI and Claude used throughout all phases</w:t>
            </w:r>
          </w:p>
        </w:tc>
      </w:tr>
      <w:tr>
        <w:tc>
          <w:tcPr>
            <w:tcW w:type="dxa" w:w="7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2</w:t>
            </w:r>
          </w:p>
        </w:tc>
        <w:tc>
          <w:tcPr>
            <w:tcW w:type="dxa" w:w="46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Agent Loop</w:t>
            </w:r>
          </w:p>
        </w:tc>
        <w:tc>
          <w:tcPr>
            <w:tcW w:type="dxa" w:w="39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Celery async AI worker: Submit &gt; Parse &gt; Diff &gt; Score &gt; Gemini &gt; Store</w:t>
            </w:r>
          </w:p>
        </w:tc>
      </w:tr>
      <w:tr>
        <w:tc>
          <w:tcPr>
            <w:tcW w:type="dxa" w:w="7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3</w:t>
            </w:r>
          </w:p>
        </w:tc>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MCP / External API</w:t>
            </w:r>
          </w:p>
        </w:tc>
        <w:tc>
          <w:tcPr>
            <w:tcW w:type="dxa" w:w="39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Gemini API + Google OAuth2 UserInfo API integration</w:t>
            </w:r>
          </w:p>
        </w:tc>
      </w:tr>
      <w:tr>
        <w:tc>
          <w:tcPr>
            <w:tcW w:type="dxa" w:w="7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4</w:t>
            </w:r>
          </w:p>
        </w:tc>
        <w:tc>
          <w:tcPr>
            <w:tcW w:type="dxa" w:w="46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Working End-to-End</w:t>
            </w:r>
          </w:p>
        </w:tc>
        <w:tc>
          <w:tcPr>
            <w:tcW w:type="dxa" w:w="39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Full CRUD + approval workflow + PDF reports + audit log</w:t>
            </w:r>
          </w:p>
        </w:tc>
      </w:tr>
      <w:tr>
        <w:tc>
          <w:tcPr>
            <w:tcW w:type="dxa" w:w="7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5</w:t>
            </w:r>
          </w:p>
        </w:tc>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Code Quality</w:t>
            </w:r>
          </w:p>
        </w:tc>
        <w:tc>
          <w:tcPr>
            <w:tcW w:type="dxa" w:w="39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TypeScript on frontend, typed Python with Pydantic on backend</w:t>
            </w:r>
          </w:p>
        </w:tc>
      </w:tr>
      <w:tr>
        <w:tc>
          <w:tcPr>
            <w:tcW w:type="dxa" w:w="7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6</w:t>
            </w:r>
          </w:p>
        </w:tc>
        <w:tc>
          <w:tcPr>
            <w:tcW w:type="dxa" w:w="46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Documentation</w:t>
            </w:r>
          </w:p>
        </w:tc>
        <w:tc>
          <w:tcPr>
            <w:tcW w:type="dxa" w:w="39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README, Prompt Documentation, AI Usage Note, Sample Data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8"/>
      </w:pBdr>
      <w:tabs>
        <w:tab w:val="center" w:pos="4680"/>
        <w:tab w:val="right" w:pos="9360"/>
      </w:tabs>
    </w:pPr>
    <w:r>
      <w:rPr>
        <w:rFonts w:ascii="Arial" w:cs="Arial" w:eastAsia="Arial" w:hAnsi="Arial"/>
        <w:color w:val="475569"/>
        <w:sz w:val="16"/>
        <w:szCs w:val="16"/>
      </w:rPr>
      <w:t xml:space="preserve">NetConfigAI — README</w:t>
    </w:r>
    <w:r>
      <w:rPr>
        <w:sz w:val="16"/>
        <w:szCs w:val="16"/>
      </w:rPr>
      <w:t xml:space="preserve">	</w:t>
    </w:r>
    <w:r>
      <w:rPr>
        <w:rFonts w:ascii="Arial" w:cs="Arial" w:eastAsia="Arial" w:hAnsi="Arial"/>
        <w:color w:val="475569"/>
        <w:sz w:val="16"/>
        <w:szCs w:val="16"/>
      </w:rPr>
      <w:t xml:space="preserve">Infinite AI Prototype Challenge 2026</w:t>
    </w:r>
    <w:r>
      <w:rPr>
        <w:sz w:val="16"/>
        <w:szCs w:val="16"/>
      </w:rPr>
      <w:t xml:space="preserve">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Arial" w:cs="Arial" w:eastAsia="Arial" w:hAnsi="Arial"/>
        <w:color w:val="475569"/>
        <w:sz w:val="18"/>
        <w:szCs w:val="18"/>
      </w:rPr>
      <w:t xml:space="preserve">NetConfigAI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563EB"/>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2026-06-10T02:19:21.212Z</dcterms:created>
  <dcterms:modified xsi:type="dcterms:W3CDTF">2026-06-10T02:19:21.213Z</dcterms:modified>
</cp:coreProperties>
</file>

<file path=docProps/custom.xml><?xml version="1.0" encoding="utf-8"?>
<Properties xmlns="http://schemas.openxmlformats.org/officeDocument/2006/custom-properties" xmlns:vt="http://schemas.openxmlformats.org/officeDocument/2006/docPropsVTypes"/>
</file>