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Arial" w:cs="Arial" w:eastAsia="Arial" w:hAnsi="Arial"/>
          <w:b/>
          <w:bCs/>
          <w:color w:val="1E3A5F"/>
          <w:sz w:val="64"/>
          <w:szCs w:val="64"/>
        </w:rPr>
        <w:t xml:space="preserve">NetConfigAI</w:t>
      </w:r>
    </w:p>
    <w:p>
      <w:pPr>
        <w:spacing w:after="80" w:before="80"/>
        <w:jc w:val="center"/>
      </w:pPr>
      <w:r>
        <w:rPr>
          <w:rFonts w:ascii="Arial" w:cs="Arial" w:eastAsia="Arial" w:hAnsi="Arial"/>
          <w:color w:val="475569"/>
          <w:sz w:val="26"/>
          <w:szCs w:val="26"/>
        </w:rPr>
        <w:t xml:space="preserve">Enterprise Network Configuration Review Platform</w:t>
      </w:r>
    </w:p>
    <w:p>
      <w:pPr>
        <w:spacing w:after="0" w:before="200"/>
      </w:pPr>
    </w:p>
    <w:p>
      <w:pPr>
        <w:pBdr>
          <w:bottom w:val="single" w:color="2563EB" w:sz="8" w:space="6"/>
        </w:pBdr>
        <w:jc w:val="center"/>
      </w:pPr>
    </w:p>
    <w:p>
      <w:pPr>
        <w:spacing w:after="0" w:before="120"/>
      </w:pPr>
    </w:p>
    <w:p>
      <w:pPr>
        <w:jc w:val="center"/>
      </w:pPr>
      <w:r>
        <w:rPr>
          <w:rFonts w:ascii="Arial" w:cs="Arial" w:eastAsia="Arial" w:hAnsi="Arial"/>
          <w:b/>
          <w:bCs/>
          <w:color w:val="1E3A5F"/>
          <w:sz w:val="40"/>
          <w:szCs w:val="40"/>
        </w:rPr>
        <w:t xml:space="preserve">Sample Data Guide</w:t>
      </w:r>
    </w:p>
    <w:p>
      <w:pPr>
        <w:spacing w:after="240" w:before="80"/>
        <w:jc w:val="center"/>
      </w:pPr>
      <w:r>
        <w:rPr>
          <w:rFonts w:ascii="Arial" w:cs="Arial" w:eastAsia="Arial" w:hAnsi="Arial"/>
          <w:i/>
          <w:iCs/>
          <w:color w:val="475569"/>
          <w:sz w:val="24"/>
          <w:szCs w:val="24"/>
        </w:rPr>
        <w:t xml:space="preserve">Demo Configuration Files &amp; Expected Outputs</w:t>
      </w:r>
    </w:p>
    <w:p>
      <w:pPr>
        <w:spacing w:after="40" w:before="40"/>
        <w:jc w:val="center"/>
      </w:pPr>
      <w:r>
        <w:rPr>
          <w:rFonts w:ascii="Arial" w:cs="Arial" w:eastAsia="Arial" w:hAnsi="Arial"/>
          <w:color w:val="475569"/>
          <w:sz w:val="20"/>
          <w:szCs w:val="20"/>
        </w:rPr>
        <w:t xml:space="preserve">Infinite AI Prototype Challenge 2026</w:t>
      </w:r>
    </w:p>
    <w:p>
      <w:pPr>
        <w:spacing w:after="40" w:before="40"/>
        <w:jc w:val="center"/>
      </w:pPr>
      <w:r>
        <w:rPr>
          <w:rFonts w:ascii="Arial" w:cs="Arial" w:eastAsia="Arial" w:hAnsi="Arial"/>
          <w:color w:val="475569"/>
          <w:sz w:val="20"/>
          <w:szCs w:val="20"/>
        </w:rPr>
        <w:t xml:space="preserve">Team: NetConfigAI</w:t>
      </w:r>
    </w:p>
    <w:p>
      <w:r>
        <w:br w:type="page"/>
      </w:r>
    </w:p>
    <w:p>
      <w:pPr>
        <w:pStyle w:val="Heading1"/>
        <w:pBdr>
          <w:bottom w:val="single" w:color="2563EB" w:sz="6" w:space="4"/>
        </w:pBdr>
        <w:spacing w:after="120" w:before="360"/>
      </w:pPr>
      <w:r>
        <w:rPr>
          <w:rFonts w:ascii="Arial" w:cs="Arial" w:eastAsia="Arial" w:hAnsi="Arial"/>
          <w:b/>
          <w:bCs/>
          <w:color w:val="1E3A5F"/>
          <w:sz w:val="28"/>
          <w:szCs w:val="28"/>
        </w:rPr>
        <w:t xml:space="preserve">1. Overview</w:t>
      </w:r>
    </w:p>
    <w:p>
      <w:pPr>
        <w:spacing w:after="100" w:before="60"/>
      </w:pPr>
      <w:r>
        <w:rPr>
          <w:rFonts w:ascii="Arial" w:cs="Arial" w:eastAsia="Arial" w:hAnsi="Arial"/>
          <w:b w:val="false"/>
          <w:bCs w:val="false"/>
          <w:i w:val="false"/>
          <w:iCs w:val="false"/>
          <w:color w:val="1E293B"/>
          <w:sz w:val="22"/>
          <w:szCs w:val="22"/>
        </w:rPr>
        <w:t xml:space="preserve">This folder contains sample configuration files used to demonstrate NetConfigAI's AI analysis capabilities. The files include both a safe baseline configuration and an intentionally risky modified configuration, enabling reviewers to see the full detection pipeline in action.</w:t>
      </w:r>
    </w:p>
    <w:p>
      <w:pPr>
        <w:pStyle w:val="Heading1"/>
        <w:pBdr>
          <w:bottom w:val="single" w:color="2563EB" w:sz="6" w:space="4"/>
        </w:pBdr>
        <w:spacing w:after="120" w:before="360"/>
      </w:pPr>
      <w:r>
        <w:rPr>
          <w:rFonts w:ascii="Arial" w:cs="Arial" w:eastAsia="Arial" w:hAnsi="Arial"/>
          <w:b/>
          <w:bCs/>
          <w:color w:val="1E3A5F"/>
          <w:sz w:val="28"/>
          <w:szCs w:val="28"/>
        </w:rPr>
        <w:t xml:space="preserve">2.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160"/>
        <w:gridCol w:w="2080"/>
      </w:tblGrid>
      <w:tr>
        <w:trPr>
          <w:tblHeader/>
        </w:trPr>
        <w:tc>
          <w:tcPr>
            <w:tcW w:type="dxa" w:w="312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File</w:t>
            </w:r>
          </w:p>
        </w:tc>
        <w:tc>
          <w:tcPr>
            <w:tcW w:type="dxa" w:w="416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Description</w:t>
            </w:r>
          </w:p>
        </w:tc>
        <w:tc>
          <w:tcPr>
            <w:tcW w:type="dxa" w:w="208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Risk Level</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aws_sg_old_config.json</w:t>
            </w:r>
          </w:p>
        </w:tc>
        <w:tc>
          <w:tcPr>
            <w:tcW w:type="dxa" w:w="41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AWS Security Group baseline — safe configuration</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LOW</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aws_sg_new_config.json</w:t>
            </w:r>
          </w:p>
        </w:tc>
        <w:tc>
          <w:tcPr>
            <w:tcW w:type="dxa" w:w="41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AWS Security Group with risky changes applied</w:t>
            </w:r>
          </w:p>
        </w:tc>
        <w:tc>
          <w:tcPr>
            <w:tcW w:type="dxa" w:w="20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CRITICAL</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cisco_ios_old_config.txt</w:t>
            </w:r>
          </w:p>
        </w:tc>
        <w:tc>
          <w:tcPr>
            <w:tcW w:type="dxa" w:w="41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Cisco IOS router baseline configuration</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LOW</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cisco_ios_new_config.txt</w:t>
            </w:r>
          </w:p>
        </w:tc>
        <w:tc>
          <w:tcPr>
            <w:tcW w:type="dxa" w:w="41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Cisco IOS with critical security regressions</w:t>
            </w:r>
          </w:p>
        </w:tc>
        <w:tc>
          <w:tcPr>
            <w:tcW w:type="dxa" w:w="20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CRITICAL</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expected_analysis_output.json</w:t>
            </w:r>
          </w:p>
        </w:tc>
        <w:tc>
          <w:tcPr>
            <w:tcW w:type="dxa" w:w="41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Expected NetConfigAI AI output for the AWS diff</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w:t>
            </w:r>
          </w:p>
        </w:tc>
      </w:tr>
    </w:tbl>
    <w:p>
      <w:pPr>
        <w:pStyle w:val="Heading1"/>
        <w:pBdr>
          <w:bottom w:val="single" w:color="2563EB" w:sz="6" w:space="4"/>
        </w:pBdr>
        <w:spacing w:after="120" w:before="360"/>
      </w:pPr>
      <w:r>
        <w:rPr>
          <w:rFonts w:ascii="Arial" w:cs="Arial" w:eastAsia="Arial" w:hAnsi="Arial"/>
          <w:b/>
          <w:bCs/>
          <w:color w:val="1E3A5F"/>
          <w:sz w:val="28"/>
          <w:szCs w:val="28"/>
        </w:rPr>
        <w:t xml:space="preserve">3. How to Run the Demo</w:t>
      </w:r>
    </w:p>
    <w:p>
      <w:pPr>
        <w:pStyle w:val="ListParagraph"/>
        <w:numPr>
          <w:ilvl w:val="0"/>
          <w:numId w:val="2"/>
        </w:numPr>
        <w:spacing w:after="60" w:before="60"/>
      </w:pPr>
      <w:r>
        <w:rPr>
          <w:rFonts w:ascii="Arial" w:cs="Arial" w:eastAsia="Arial" w:hAnsi="Arial"/>
          <w:color w:val="1E293B"/>
          <w:sz w:val="22"/>
          <w:szCs w:val="22"/>
        </w:rPr>
        <w:t xml:space="preserve">Open a browser and navigate to http://localhost:3000</w:t>
      </w:r>
    </w:p>
    <w:p>
      <w:pPr>
        <w:pStyle w:val="ListParagraph"/>
        <w:numPr>
          <w:ilvl w:val="0"/>
          <w:numId w:val="2"/>
        </w:numPr>
        <w:spacing w:after="60" w:before="60"/>
      </w:pPr>
      <w:r>
        <w:rPr>
          <w:rFonts w:ascii="Arial" w:cs="Arial" w:eastAsia="Arial" w:hAnsi="Arial"/>
          <w:color w:val="1E293B"/>
          <w:sz w:val="22"/>
          <w:szCs w:val="22"/>
        </w:rPr>
        <w:t xml:space="preserve">Log in using the provided demo credentials</w:t>
      </w:r>
    </w:p>
    <w:p>
      <w:pPr>
        <w:pStyle w:val="ListParagraph"/>
        <w:numPr>
          <w:ilvl w:val="0"/>
          <w:numId w:val="2"/>
        </w:numPr>
        <w:spacing w:after="60" w:before="60"/>
      </w:pPr>
      <w:r>
        <w:rPr>
          <w:rFonts w:ascii="Arial" w:cs="Arial" w:eastAsia="Arial" w:hAnsi="Arial"/>
          <w:color w:val="1E293B"/>
          <w:sz w:val="22"/>
          <w:szCs w:val="22"/>
        </w:rPr>
        <w:t xml:space="preserve">Click New Analysis in the sidebar</w:t>
      </w:r>
    </w:p>
    <w:p>
      <w:pPr>
        <w:pStyle w:val="ListParagraph"/>
        <w:numPr>
          <w:ilvl w:val="0"/>
          <w:numId w:val="2"/>
        </w:numPr>
        <w:spacing w:after="60" w:before="60"/>
      </w:pPr>
      <w:r>
        <w:rPr>
          <w:rFonts w:ascii="Arial" w:cs="Arial" w:eastAsia="Arial" w:hAnsi="Arial"/>
          <w:color w:val="1E293B"/>
          <w:sz w:val="22"/>
          <w:szCs w:val="22"/>
        </w:rPr>
        <w:t xml:space="preserve">Set Config Type to AWS Security Group</w:t>
      </w:r>
    </w:p>
    <w:p>
      <w:pPr>
        <w:pStyle w:val="ListParagraph"/>
        <w:numPr>
          <w:ilvl w:val="0"/>
          <w:numId w:val="2"/>
        </w:numPr>
        <w:spacing w:after="60" w:before="60"/>
      </w:pPr>
      <w:r>
        <w:rPr>
          <w:rFonts w:ascii="Arial" w:cs="Arial" w:eastAsia="Arial" w:hAnsi="Arial"/>
          <w:color w:val="1E293B"/>
          <w:sz w:val="22"/>
          <w:szCs w:val="22"/>
        </w:rPr>
        <w:t xml:space="preserve">Select Compliance Frameworks: CIS, NIST, and PCI-DSS</w:t>
      </w:r>
    </w:p>
    <w:p>
      <w:pPr>
        <w:pStyle w:val="ListParagraph"/>
        <w:numPr>
          <w:ilvl w:val="0"/>
          <w:numId w:val="2"/>
        </w:numPr>
        <w:spacing w:after="60" w:before="60"/>
      </w:pPr>
      <w:r>
        <w:rPr>
          <w:rFonts w:ascii="Arial" w:cs="Arial" w:eastAsia="Arial" w:hAnsi="Arial"/>
          <w:color w:val="1E293B"/>
          <w:sz w:val="22"/>
          <w:szCs w:val="22"/>
        </w:rPr>
        <w:t xml:space="preserve">Upload aws_sg_old_config.json as the Old Config</w:t>
      </w:r>
    </w:p>
    <w:p>
      <w:pPr>
        <w:pStyle w:val="ListParagraph"/>
        <w:numPr>
          <w:ilvl w:val="0"/>
          <w:numId w:val="2"/>
        </w:numPr>
        <w:spacing w:after="60" w:before="60"/>
      </w:pPr>
      <w:r>
        <w:rPr>
          <w:rFonts w:ascii="Arial" w:cs="Arial" w:eastAsia="Arial" w:hAnsi="Arial"/>
          <w:color w:val="1E293B"/>
          <w:sz w:val="22"/>
          <w:szCs w:val="22"/>
        </w:rPr>
        <w:t xml:space="preserve">Upload aws_sg_new_config.json as the New Config</w:t>
      </w:r>
    </w:p>
    <w:p>
      <w:pPr>
        <w:pStyle w:val="ListParagraph"/>
        <w:numPr>
          <w:ilvl w:val="0"/>
          <w:numId w:val="2"/>
        </w:numPr>
        <w:spacing w:after="60" w:before="60"/>
      </w:pPr>
      <w:r>
        <w:rPr>
          <w:rFonts w:ascii="Arial" w:cs="Arial" w:eastAsia="Arial" w:hAnsi="Arial"/>
          <w:color w:val="1E293B"/>
          <w:sz w:val="22"/>
          <w:szCs w:val="22"/>
        </w:rPr>
        <w:t xml:space="preserve">Enter the title: AWS Production Security Group - CR-2026-0892</w:t>
      </w:r>
    </w:p>
    <w:p>
      <w:pPr>
        <w:pStyle w:val="ListParagraph"/>
        <w:numPr>
          <w:ilvl w:val="0"/>
          <w:numId w:val="2"/>
        </w:numPr>
        <w:spacing w:after="60" w:before="60"/>
      </w:pPr>
      <w:r>
        <w:rPr>
          <w:rFonts w:ascii="Arial" w:cs="Arial" w:eastAsia="Arial" w:hAnsi="Arial"/>
          <w:color w:val="1E293B"/>
          <w:sz w:val="22"/>
          <w:szCs w:val="22"/>
        </w:rPr>
        <w:t xml:space="preserve">Click Submit &amp; Analyze</w:t>
      </w:r>
    </w:p>
    <w:p>
      <w:pPr>
        <w:pStyle w:val="ListParagraph"/>
        <w:numPr>
          <w:ilvl w:val="0"/>
          <w:numId w:val="2"/>
        </w:numPr>
        <w:spacing w:after="60" w:before="60"/>
      </w:pPr>
      <w:r>
        <w:rPr>
          <w:rFonts w:ascii="Arial" w:cs="Arial" w:eastAsia="Arial" w:hAnsi="Arial"/>
          <w:color w:val="1E293B"/>
          <w:sz w:val="22"/>
          <w:szCs w:val="22"/>
        </w:rPr>
        <w:t xml:space="preserve">Wait approximately 15 seconds for AI analysis to complete</w:t>
      </w:r>
    </w:p>
    <w:p>
      <w:pPr>
        <w:pStyle w:val="ListParagraph"/>
        <w:numPr>
          <w:ilvl w:val="0"/>
          <w:numId w:val="2"/>
        </w:numPr>
        <w:spacing w:after="60" w:before="60"/>
      </w:pPr>
      <w:r>
        <w:rPr>
          <w:rFonts w:ascii="Arial" w:cs="Arial" w:eastAsia="Arial" w:hAnsi="Arial"/>
          <w:color w:val="1E293B"/>
          <w:sz w:val="22"/>
          <w:szCs w:val="22"/>
        </w:rPr>
        <w:t xml:space="preserve">Review the CRITICAL risk score, diff changes, and compliance failures</w:t>
      </w:r>
    </w:p>
    <w:p>
      <w:pPr>
        <w:pStyle w:val="Heading1"/>
        <w:pBdr>
          <w:bottom w:val="single" w:color="2563EB" w:sz="6" w:space="4"/>
        </w:pBdr>
        <w:spacing w:after="120" w:before="360"/>
      </w:pPr>
      <w:r>
        <w:rPr>
          <w:rFonts w:ascii="Arial" w:cs="Arial" w:eastAsia="Arial" w:hAnsi="Arial"/>
          <w:b/>
          <w:bCs/>
          <w:color w:val="1E3A5F"/>
          <w:sz w:val="28"/>
          <w:szCs w:val="28"/>
        </w:rPr>
        <w:t xml:space="preserve">4. What the AI Detects</w:t>
      </w:r>
    </w:p>
    <w:p>
      <w:pPr>
        <w:pStyle w:val="Heading2"/>
        <w:spacing w:after="120" w:before="240"/>
      </w:pPr>
      <w:r>
        <w:rPr>
          <w:rFonts w:ascii="Arial" w:cs="Arial" w:eastAsia="Arial" w:hAnsi="Arial"/>
          <w:b/>
          <w:bCs/>
          <w:color w:val="2563EB"/>
          <w:sz w:val="24"/>
          <w:szCs w:val="24"/>
        </w:rPr>
        <w:t xml:space="preserve">4.1 AWS Security Group Changes (JSON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Finding</w:t>
            </w:r>
          </w:p>
        </w:tc>
        <w:tc>
          <w:tcPr>
            <w:tcW w:type="dxa" w:w="208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Severity</w:t>
            </w:r>
          </w:p>
        </w:tc>
        <w:tc>
          <w:tcPr>
            <w:tcW w:type="dxa" w:w="208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Compliance Impact</w:t>
            </w:r>
          </w:p>
        </w:tc>
      </w:tr>
      <w:tr>
        <w:tc>
          <w:tcPr>
            <w:tcW w:type="dxa" w:w="5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SSH (port 22) opened to 0.0.0.0/0 — was restricted to 10.0.1.0/24</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CRITICAL</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CIS, PCI-DSS</w:t>
            </w:r>
          </w:p>
        </w:tc>
      </w:tr>
      <w:tr>
        <w:tc>
          <w:tcPr>
            <w:tcW w:type="dxa" w:w="52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RDP (port 3389) exposed to the public internet</w:t>
            </w:r>
          </w:p>
        </w:tc>
        <w:tc>
          <w:tcPr>
            <w:tcW w:type="dxa" w:w="20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CRITICAL</w:t>
            </w:r>
          </w:p>
        </w:tc>
        <w:tc>
          <w:tcPr>
            <w:tcW w:type="dxa" w:w="20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CIS, NIST</w:t>
            </w:r>
          </w:p>
        </w:tc>
      </w:tr>
      <w:tr>
        <w:tc>
          <w:tcPr>
            <w:tcW w:type="dxa" w:w="5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Database CIDR expanded from /24 to /8</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HIGH</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NIST, SOC2</w:t>
            </w:r>
          </w:p>
        </w:tc>
      </w:tr>
      <w:tr>
        <w:tc>
          <w:tcPr>
            <w:tcW w:type="dxa" w:w="52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CloudTrail logging disabled</w:t>
            </w:r>
          </w:p>
        </w:tc>
        <w:tc>
          <w:tcPr>
            <w:tcW w:type="dxa" w:w="20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HIGH</w:t>
            </w:r>
          </w:p>
        </w:tc>
        <w:tc>
          <w:tcPr>
            <w:tcW w:type="dxa" w:w="20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CIS, SOC2</w:t>
            </w:r>
          </w:p>
        </w:tc>
      </w:tr>
      <w:tr>
        <w:tc>
          <w:tcPr>
            <w:tcW w:type="dxa" w:w="5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VPC Flow Logs disabled</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HIGH</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NIST, PCI-DSS</w:t>
            </w:r>
          </w:p>
        </w:tc>
      </w:tr>
      <w:tr>
        <w:tc>
          <w:tcPr>
            <w:tcW w:type="dxa" w:w="52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DNS server changed to public 8.8.8.8</w:t>
            </w:r>
          </w:p>
        </w:tc>
        <w:tc>
          <w:tcPr>
            <w:tcW w:type="dxa" w:w="20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MEDIUM</w:t>
            </w:r>
          </w:p>
        </w:tc>
        <w:tc>
          <w:tcPr>
            <w:tcW w:type="dxa" w:w="20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CIS</w:t>
            </w:r>
          </w:p>
        </w:tc>
      </w:tr>
      <w:tr>
        <w:tc>
          <w:tcPr>
            <w:tcW w:type="dxa" w:w="5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7 total compliance failures across CIS, NIST, PCI-DSS, and SOC2</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All Frameworks</w:t>
            </w:r>
          </w:p>
        </w:tc>
      </w:tr>
    </w:tbl>
    <w:p>
      <w:pPr>
        <w:spacing w:after="0" w:before="120"/>
      </w:pPr>
    </w:p>
    <w:p>
      <w:pPr>
        <w:pStyle w:val="Heading2"/>
        <w:spacing w:after="120" w:before="240"/>
      </w:pPr>
      <w:r>
        <w:rPr>
          <w:rFonts w:ascii="Arial" w:cs="Arial" w:eastAsia="Arial" w:hAnsi="Arial"/>
          <w:b/>
          <w:bCs/>
          <w:color w:val="2563EB"/>
          <w:sz w:val="24"/>
          <w:szCs w:val="24"/>
        </w:rPr>
        <w:t xml:space="preserve">4.2 Cisco IOS Changes (Plain Text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Finding</w:t>
            </w:r>
          </w:p>
        </w:tc>
        <w:tc>
          <w:tcPr>
            <w:tcW w:type="dxa" w:w="208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Severity</w:t>
            </w:r>
          </w:p>
        </w:tc>
        <w:tc>
          <w:tcPr>
            <w:tcW w:type="dxa" w:w="208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Compliance Impact</w:t>
            </w:r>
          </w:p>
        </w:tc>
      </w:tr>
      <w:tr>
        <w:tc>
          <w:tcPr>
            <w:tcW w:type="dxa" w:w="5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no service password-encryption removed</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CRITICAL</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CIS, NIST</w:t>
            </w:r>
          </w:p>
        </w:tc>
      </w:tr>
      <w:tr>
        <w:tc>
          <w:tcPr>
            <w:tcW w:type="dxa" w:w="52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enable password set to weak plain-text value cisco123</w:t>
            </w:r>
          </w:p>
        </w:tc>
        <w:tc>
          <w:tcPr>
            <w:tcW w:type="dxa" w:w="20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CRITICAL</w:t>
            </w:r>
          </w:p>
        </w:tc>
        <w:tc>
          <w:tcPr>
            <w:tcW w:type="dxa" w:w="20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CIS, PCI-DSS</w:t>
            </w:r>
          </w:p>
        </w:tc>
      </w:tr>
      <w:tr>
        <w:tc>
          <w:tcPr>
            <w:tcW w:type="dxa" w:w="5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Backdoor user account added to device</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CRITICAL</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All Frameworks</w:t>
            </w:r>
          </w:p>
        </w:tc>
      </w:tr>
      <w:tr>
        <w:tc>
          <w:tcPr>
            <w:tcW w:type="dxa" w:w="52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transport input all enables Telnet (unencrypted)</w:t>
            </w:r>
          </w:p>
        </w:tc>
        <w:tc>
          <w:tcPr>
            <w:tcW w:type="dxa" w:w="20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HIGH</w:t>
            </w:r>
          </w:p>
        </w:tc>
        <w:tc>
          <w:tcPr>
            <w:tcW w:type="dxa" w:w="20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CIS, NIST</w:t>
            </w:r>
          </w:p>
        </w:tc>
      </w:tr>
      <w:tr>
        <w:tc>
          <w:tcPr>
            <w:tcW w:type="dxa" w:w="5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Logging disabled via no logging command</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HIGH</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SOC2, PCI-DSS</w:t>
            </w:r>
          </w:p>
        </w:tc>
      </w:tr>
      <w:tr>
        <w:tc>
          <w:tcPr>
            <w:tcW w:type="dxa" w:w="52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SNMP community string set to public with RW access</w:t>
            </w:r>
          </w:p>
        </w:tc>
        <w:tc>
          <w:tcPr>
            <w:tcW w:type="dxa" w:w="20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CRITICAL</w:t>
            </w:r>
          </w:p>
        </w:tc>
        <w:tc>
          <w:tcPr>
            <w:tcW w:type="dxa" w:w="208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CIS, NIST</w:t>
            </w:r>
          </w:p>
        </w:tc>
      </w:tr>
      <w:tr>
        <w:tc>
          <w:tcPr>
            <w:tcW w:type="dxa" w:w="5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Management ACL removed, leaving device unprotected</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HIGH</w:t>
            </w:r>
          </w:p>
        </w:tc>
        <w:tc>
          <w:tcPr>
            <w:tcW w:type="dxa" w:w="20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All Frameworks</w:t>
            </w:r>
          </w:p>
        </w:tc>
      </w:tr>
    </w:tbl>
    <w:p>
      <w:pPr>
        <w:pStyle w:val="Heading1"/>
        <w:pBdr>
          <w:bottom w:val="single" w:color="2563EB" w:sz="6" w:space="4"/>
        </w:pBdr>
        <w:spacing w:after="120" w:before="360"/>
      </w:pPr>
      <w:r>
        <w:rPr>
          <w:rFonts w:ascii="Arial" w:cs="Arial" w:eastAsia="Arial" w:hAnsi="Arial"/>
          <w:b/>
          <w:bCs/>
          <w:color w:val="1E3A5F"/>
          <w:sz w:val="28"/>
          <w:szCs w:val="28"/>
        </w:rPr>
        <w:t xml:space="preserve">5. Expected Output Format</w:t>
      </w:r>
    </w:p>
    <w:p>
      <w:pPr>
        <w:spacing w:after="100" w:before="60"/>
      </w:pPr>
      <w:r>
        <w:rPr>
          <w:rFonts w:ascii="Arial" w:cs="Arial" w:eastAsia="Arial" w:hAnsi="Arial"/>
          <w:b w:val="false"/>
          <w:bCs w:val="false"/>
          <w:i w:val="false"/>
          <w:iCs w:val="false"/>
          <w:color w:val="1E293B"/>
          <w:sz w:val="22"/>
          <w:szCs w:val="22"/>
        </w:rPr>
        <w:t xml:space="preserve">The file expected_analysis_output.json contains the JSON response that NetConfigAI's AI engine should produce for the AWS diff scenario. Reviewers can compare the live analysis output against this file to validate the AI pipeline is functioning correctly.</w:t>
      </w:r>
    </w:p>
    <w:p>
      <w:pPr>
        <w:spacing w:after="0" w:before="80"/>
      </w:pPr>
    </w:p>
    <w:p>
      <w:pPr>
        <w:spacing w:after="100" w:before="60"/>
      </w:pPr>
      <w:r>
        <w:rPr>
          <w:rFonts w:ascii="Arial" w:cs="Arial" w:eastAsia="Arial" w:hAnsi="Arial"/>
          <w:b w:val="false"/>
          <w:bCs w:val="false"/>
          <w:i w:val="false"/>
          <w:iCs w:val="false"/>
          <w:color w:val="1E293B"/>
          <w:sz w:val="22"/>
          <w:szCs w:val="22"/>
        </w:rPr>
        <w:t xml:space="preserve">The output includes the following top-level fields:</w:t>
      </w:r>
    </w:p>
    <w:p>
      <w:pPr>
        <w:pStyle w:val="ListParagraph"/>
        <w:numPr>
          <w:ilvl w:val="0"/>
          <w:numId w:val="3"/>
        </w:numPr>
        <w:spacing w:after="60" w:before="60"/>
      </w:pPr>
      <w:r>
        <w:rPr>
          <w:rFonts w:ascii="Arial" w:cs="Arial" w:eastAsia="Arial" w:hAnsi="Arial"/>
          <w:color w:val="1E293B"/>
          <w:sz w:val="22"/>
          <w:szCs w:val="22"/>
        </w:rPr>
        <w:t xml:space="preserve">overall_risk_score — integer from 0 to 100</w:t>
      </w:r>
    </w:p>
    <w:p>
      <w:pPr>
        <w:pStyle w:val="ListParagraph"/>
        <w:numPr>
          <w:ilvl w:val="0"/>
          <w:numId w:val="3"/>
        </w:numPr>
        <w:spacing w:after="60" w:before="60"/>
      </w:pPr>
      <w:r>
        <w:rPr>
          <w:rFonts w:ascii="Arial" w:cs="Arial" w:eastAsia="Arial" w:hAnsi="Arial"/>
          <w:color w:val="1E293B"/>
          <w:sz w:val="22"/>
          <w:szCs w:val="22"/>
        </w:rPr>
        <w:t xml:space="preserve">risk_level — one of CRITICAL, HIGH, MEDIUM, or LOW</w:t>
      </w:r>
    </w:p>
    <w:p>
      <w:pPr>
        <w:pStyle w:val="ListParagraph"/>
        <w:numPr>
          <w:ilvl w:val="0"/>
          <w:numId w:val="3"/>
        </w:numPr>
        <w:spacing w:after="60" w:before="60"/>
      </w:pPr>
      <w:r>
        <w:rPr>
          <w:rFonts w:ascii="Arial" w:cs="Arial" w:eastAsia="Arial" w:hAnsi="Arial"/>
          <w:color w:val="1E293B"/>
          <w:sz w:val="22"/>
          <w:szCs w:val="22"/>
        </w:rPr>
        <w:t xml:space="preserve">executive_summary — a plain-English summary for non-technical stakeholders</w:t>
      </w:r>
    </w:p>
    <w:p>
      <w:pPr>
        <w:pStyle w:val="ListParagraph"/>
        <w:numPr>
          <w:ilvl w:val="0"/>
          <w:numId w:val="3"/>
        </w:numPr>
        <w:spacing w:after="60" w:before="60"/>
      </w:pPr>
      <w:r>
        <w:rPr>
          <w:rFonts w:ascii="Arial" w:cs="Arial" w:eastAsia="Arial" w:hAnsi="Arial"/>
          <w:color w:val="1E293B"/>
          <w:sz w:val="22"/>
          <w:szCs w:val="22"/>
        </w:rPr>
        <w:t xml:space="preserve">compliance_analysis — per-framework Pass/Fail status with individual findings</w:t>
      </w:r>
    </w:p>
    <w:p>
      <w:pPr>
        <w:pStyle w:val="ListParagraph"/>
        <w:numPr>
          <w:ilvl w:val="0"/>
          <w:numId w:val="3"/>
        </w:numPr>
        <w:spacing w:after="60" w:before="60"/>
      </w:pPr>
      <w:r>
        <w:rPr>
          <w:rFonts w:ascii="Arial" w:cs="Arial" w:eastAsia="Arial" w:hAnsi="Arial"/>
          <w:color w:val="1E293B"/>
          <w:sz w:val="22"/>
          <w:szCs w:val="22"/>
        </w:rPr>
        <w:t xml:space="preserve">change_explanations — field-by-field breakdown of every detected change</w:t>
      </w:r>
    </w:p>
    <w:p>
      <w:pPr>
        <w:pStyle w:val="ListParagraph"/>
        <w:numPr>
          <w:ilvl w:val="0"/>
          <w:numId w:val="3"/>
        </w:numPr>
        <w:spacing w:after="60" w:before="60"/>
      </w:pPr>
      <w:r>
        <w:rPr>
          <w:rFonts w:ascii="Arial" w:cs="Arial" w:eastAsia="Arial" w:hAnsi="Arial"/>
          <w:color w:val="1E293B"/>
          <w:sz w:val="22"/>
          <w:szCs w:val="22"/>
        </w:rPr>
        <w:t xml:space="preserve">ai_recommendation — one of APPROVE, REJECT, or ESCALATE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8"/>
      </w:pBdr>
      <w:tabs>
        <w:tab w:val="center" w:pos="4680"/>
        <w:tab w:val="right" w:pos="9360"/>
      </w:tabs>
    </w:pPr>
    <w:r>
      <w:rPr>
        <w:rFonts w:ascii="Arial" w:cs="Arial" w:eastAsia="Arial" w:hAnsi="Arial"/>
        <w:color w:val="475569"/>
        <w:sz w:val="16"/>
        <w:szCs w:val="16"/>
      </w:rPr>
      <w:t xml:space="preserve">NetConfigAI — Sample Data Guide</w:t>
    </w:r>
    <w:r>
      <w:rPr>
        <w:sz w:val="16"/>
        <w:szCs w:val="16"/>
      </w:rPr>
      <w:t xml:space="preserve">	</w:t>
    </w:r>
    <w:r>
      <w:rPr>
        <w:rFonts w:ascii="Arial" w:cs="Arial" w:eastAsia="Arial" w:hAnsi="Arial"/>
        <w:color w:val="475569"/>
        <w:sz w:val="16"/>
        <w:szCs w:val="16"/>
      </w:rPr>
      <w:t xml:space="preserve">Infinite AI Prototype Challenge 2026</w:t>
    </w:r>
    <w:r>
      <w:rPr>
        <w:sz w:val="16"/>
        <w:szCs w:val="16"/>
      </w:rPr>
      <w:t xml:space="preserve">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Arial" w:cs="Arial" w:eastAsia="Arial" w:hAnsi="Arial"/>
        <w:color w:val="475569"/>
        <w:sz w:val="18"/>
        <w:szCs w:val="18"/>
      </w:rPr>
      <w:t xml:space="preserve">NetConfigAI  |  Sample Data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563E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2026-06-10T02:19:21.229Z</dcterms:created>
  <dcterms:modified xsi:type="dcterms:W3CDTF">2026-06-10T02:19:21.229Z</dcterms:modified>
</cp:coreProperties>
</file>

<file path=docProps/custom.xml><?xml version="1.0" encoding="utf-8"?>
<Properties xmlns="http://schemas.openxmlformats.org/officeDocument/2006/custom-properties" xmlns:vt="http://schemas.openxmlformats.org/officeDocument/2006/docPropsVTypes"/>
</file>