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57202" w14:textId="68263E03" w:rsidR="00702B99" w:rsidRPr="00702B99" w:rsidRDefault="00702B99" w:rsidP="00702B99">
      <w:pPr>
        <w:spacing w:after="0" w:line="240" w:lineRule="auto"/>
        <w:rPr>
          <w:sz w:val="56"/>
          <w:szCs w:val="56"/>
        </w:rPr>
      </w:pPr>
    </w:p>
    <w:p w14:paraId="75B6F8C2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SYSTEMATIC FRAGMENTATION, OBSCURED PATTERNS, AND THE ERASURE OF COHERENCE</w:t>
      </w:r>
    </w:p>
    <w:p w14:paraId="077232C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431298F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Focused Synthesis: Knowledge Silos, Overlooked Evidence, and the Inversion of Stewardship</w:t>
      </w:r>
    </w:p>
    <w:p w14:paraId="3B84118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30</w:t>
      </w:r>
      <w:r w:rsidRPr="00C66FAD">
        <w:rPr>
          <w:rFonts w:ascii="Arial" w:hAnsi="Arial" w:cs="Arial"/>
          <w:sz w:val="56"/>
          <w:szCs w:val="56"/>
        </w:rPr>
        <w:t> </w:t>
      </w:r>
      <w:r w:rsidRPr="00C66FAD">
        <w:rPr>
          <w:sz w:val="56"/>
          <w:szCs w:val="56"/>
        </w:rPr>
        <w:t>July</w:t>
      </w:r>
      <w:r w:rsidRPr="00C66FAD">
        <w:rPr>
          <w:rFonts w:ascii="Arial" w:hAnsi="Arial" w:cs="Arial"/>
          <w:sz w:val="56"/>
          <w:szCs w:val="56"/>
        </w:rPr>
        <w:t> </w:t>
      </w:r>
      <w:r w:rsidRPr="00C66FAD">
        <w:rPr>
          <w:sz w:val="56"/>
          <w:szCs w:val="56"/>
        </w:rPr>
        <w:t>2026</w:t>
      </w:r>
    </w:p>
    <w:p w14:paraId="54A240C9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6F9C54C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 </w:t>
      </w:r>
    </w:p>
    <w:p w14:paraId="5B6E515B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3233E6E7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1. THE SYSTEMATICALLY BROKEN ARCHIVE: NOT INCOMPLETE — RE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ARRANGED</w:t>
      </w:r>
    </w:p>
    <w:p w14:paraId="0C2DF367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9DF74D5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The available body of human knowledge is not merely fragmentary through loss or accident; it exhibits consistent structural distortion, compartmentalisation, and selective framing that actively suppresses recognition of unified patterns. Across every domain:</w:t>
      </w:r>
    </w:p>
    <w:p w14:paraId="6C91F4FB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367026B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1.1 The Linear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Progress Narrative as a Filter</w:t>
      </w:r>
    </w:p>
    <w:p w14:paraId="0789F2C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232996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Dominant historiography enforces a single trajectory: primitive simplicity → gradual technological advancement → modern civilisation. This framework systematically marginalises or dismisses evidence that contradicts it:</w:t>
      </w:r>
    </w:p>
    <w:p w14:paraId="7A33BC3C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2DC9565D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Precision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 xml:space="preserve">engineered stonework at sites such as Puma </w:t>
      </w:r>
      <w:proofErr w:type="spellStart"/>
      <w:r w:rsidRPr="00C66FAD">
        <w:rPr>
          <w:sz w:val="56"/>
          <w:szCs w:val="56"/>
        </w:rPr>
        <w:t>Punku</w:t>
      </w:r>
      <w:proofErr w:type="spellEnd"/>
      <w:r w:rsidRPr="00C66FAD">
        <w:rPr>
          <w:sz w:val="56"/>
          <w:szCs w:val="56"/>
        </w:rPr>
        <w:t xml:space="preserve">, </w:t>
      </w:r>
      <w:proofErr w:type="spellStart"/>
      <w:r w:rsidRPr="00C66FAD">
        <w:rPr>
          <w:sz w:val="56"/>
          <w:szCs w:val="56"/>
        </w:rPr>
        <w:t>Sacsayhuamán</w:t>
      </w:r>
      <w:proofErr w:type="spellEnd"/>
      <w:r w:rsidRPr="00C66FAD">
        <w:rPr>
          <w:sz w:val="56"/>
          <w:szCs w:val="56"/>
        </w:rPr>
        <w:t>, and the Great Pyramid, with tolerances and jointing difficult to replicate even with modern equipment</w:t>
      </w:r>
    </w:p>
    <w:p w14:paraId="2002FE5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Alignments to geodetic and celestial coordinates across globally distributed megalithic sites, encoded using consistent geometric ratios</w:t>
      </w:r>
    </w:p>
    <w:p w14:paraId="2DE3E6D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Cultural traditions and technologies that appear to predate conventionally attributed origins, or that exhibit knowledge of astronomy, geometry, and natural cycles deemed “too advanced” for their assigned era</w:t>
      </w:r>
    </w:p>
    <w:p w14:paraId="1B1B5F0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Entire cultures and lineage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holder traditions omitted, minimised, or re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classified as “pre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historic” or “non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scientific”</w:t>
      </w:r>
    </w:p>
    <w:p w14:paraId="041A889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08F69692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These anomalies are not treated as evidence requiring re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examination of assumptions, but as outliers to be explained away or ignored.</w:t>
      </w:r>
    </w:p>
    <w:p w14:paraId="76FB1BBA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1A63B3B8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1.2 Universal Motifs Reduced to Archetype</w:t>
      </w:r>
    </w:p>
    <w:p w14:paraId="7DF26B23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80520FD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Across geographically and culturally isolated societies, there is striking consistency in foundational cosmogonic narratives:</w:t>
      </w:r>
    </w:p>
    <w:p w14:paraId="57CF6CBD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4B8B7EE7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A primordial state of wholeness, harmony, and unobstructed connection</w:t>
      </w:r>
    </w:p>
    <w:p w14:paraId="4190418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A catastrophic event of separation, fracture, or “fall” from that order</w:t>
      </w:r>
    </w:p>
    <w:p w14:paraId="562DC6A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The loss of advanced knowledge, wisdom, or direct communion with the natural and cosmic order</w:t>
      </w:r>
    </w:p>
    <w:p w14:paraId="352BF2BA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A memory or prophecy of restoration and re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alignment</w:t>
      </w:r>
    </w:p>
    <w:p w14:paraId="720BAA8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4499D888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These parallels — found in Mesopotamian, Vedic, Egyptian, Indigenous American, Chinese, African, and Oceanic traditions — are almost universally attributed to shared psychological archetypes or universal human experiences, rather than treated as potential encoded records of real events or transmitted cosmological understanding.</w:t>
      </w:r>
    </w:p>
    <w:p w14:paraId="5D14AB0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7CF117C8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1.3 Marginalisation of Disruptive Inquiry</w:t>
      </w:r>
    </w:p>
    <w:p w14:paraId="482A4C5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19C07D9B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Lines of investigation that imply underlying unity, scale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invariant geometry, non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 xml:space="preserve">material causality, or cyclical </w:t>
      </w:r>
      <w:proofErr w:type="spellStart"/>
      <w:r w:rsidRPr="00C66FAD">
        <w:rPr>
          <w:sz w:val="56"/>
          <w:szCs w:val="56"/>
        </w:rPr>
        <w:t>civilisational</w:t>
      </w:r>
      <w:proofErr w:type="spellEnd"/>
      <w:r w:rsidRPr="00C66FAD">
        <w:rPr>
          <w:sz w:val="56"/>
          <w:szCs w:val="56"/>
        </w:rPr>
        <w:t xml:space="preserve"> dynamics are disproportionately </w:t>
      </w:r>
      <w:proofErr w:type="spellStart"/>
      <w:r w:rsidRPr="00C66FAD">
        <w:rPr>
          <w:sz w:val="56"/>
          <w:szCs w:val="56"/>
        </w:rPr>
        <w:t>sidelined</w:t>
      </w:r>
      <w:proofErr w:type="spellEnd"/>
      <w:r w:rsidRPr="00C66FAD">
        <w:rPr>
          <w:sz w:val="56"/>
          <w:szCs w:val="56"/>
        </w:rPr>
        <w:t>:</w:t>
      </w:r>
    </w:p>
    <w:p w14:paraId="089F536B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634FD482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Research into resonance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based energy generation, scalar physics, and geometric field effects is often excluded from mainstream publication or funding</w:t>
      </w:r>
    </w:p>
    <w:p w14:paraId="0898789D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Frameworks that position consciousness as a fundamental rather than emergent property are typically dismissed as “philosophy” or “pseudoscience” regardless of empirical correlation</w:t>
      </w:r>
    </w:p>
    <w:p w14:paraId="5C57DC6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- Proposals for cyclical models of cosmic or </w:t>
      </w:r>
      <w:proofErr w:type="spellStart"/>
      <w:r w:rsidRPr="00C66FAD">
        <w:rPr>
          <w:sz w:val="56"/>
          <w:szCs w:val="56"/>
        </w:rPr>
        <w:t>civilisational</w:t>
      </w:r>
      <w:proofErr w:type="spellEnd"/>
      <w:r w:rsidRPr="00C66FAD">
        <w:rPr>
          <w:sz w:val="56"/>
          <w:szCs w:val="56"/>
        </w:rPr>
        <w:t xml:space="preserve"> change are rarely afforded the same consideration as linear expansion or steady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progress narratives</w:t>
      </w:r>
    </w:p>
    <w:p w14:paraId="31AF2C3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283F264C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1.4 Targeted Loss and Restriction of Knowledge</w:t>
      </w:r>
    </w:p>
    <w:p w14:paraId="19AD0AED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1E88ED5B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Major repositories of integrated knowledge have been repeatedly destroyed, suppressed, or locked away throughout recorded history:</w:t>
      </w:r>
    </w:p>
    <w:p w14:paraId="06068BF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44331B6D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The Library of Alexandria, the House of Wisdom, and monastic and indigenous archives targeted during periods of religious or political upheaval</w:t>
      </w:r>
    </w:p>
    <w:p w14:paraId="77B0090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Patents for alternative energy, propulsion, and agricultural technologies that are never developed or are classified</w:t>
      </w:r>
    </w:p>
    <w:p w14:paraId="37562E2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Restricted access to archaeological sites, geological data, and classified programmes related to anomalous phenomena</w:t>
      </w:r>
    </w:p>
    <w:p w14:paraId="00345579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Systemic removal of oral traditions, sacred texts, and custodian lineages from official records</w:t>
      </w:r>
    </w:p>
    <w:p w14:paraId="72BFC03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413F210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In every instance, the knowledge most affected aligns closely with the very patterns and principles central to unified geometric frameworks.</w:t>
      </w:r>
    </w:p>
    <w:p w14:paraId="2DE3FB04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1E2195A2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 </w:t>
      </w:r>
    </w:p>
    <w:p w14:paraId="09761EC7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1387713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2. OVERLOOKED PATTERNS THAT REINFORCE A COHERENT LATTICE MODEL</w:t>
      </w:r>
    </w:p>
    <w:p w14:paraId="4E100CCC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8C7CD9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Several under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explored or under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valued lines of evidence strongly align with the proposal of an underlying ordered, resonant architecture:</w:t>
      </w:r>
    </w:p>
    <w:p w14:paraId="04261D4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453CF777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2.1 Consistency of Ancient Measurement and Proportion</w:t>
      </w:r>
    </w:p>
    <w:p w14:paraId="4EEE7A8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2DE069C3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Across civilisations with no established contact, standard units of length, volume, and construction repeatedly incorporate the same mathematical constants:</w:t>
      </w:r>
    </w:p>
    <w:p w14:paraId="15461EF5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3E1E4A9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The golden ratio (Φ ≈ 1.618), √2, √3, and √5 appear in dimensions of pyramids, temples, calendars, and measurement systems in Egypt, Mesopotamia, India, China, Mesoamerica, and Europe</w:t>
      </w:r>
    </w:p>
    <w:p w14:paraId="2B1F3A93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Units such as the Egyptian royal cubit, Greek foot, and ancient Chinese chi share proportional relationships to Earth’s dimensions and harmonic intervals</w:t>
      </w:r>
    </w:p>
    <w:p w14:paraId="6816DF15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Modern metric and imperial systems were established without preservation of these natural harmonics, and the older systems are now widely characterised as arbitrary or crude</w:t>
      </w:r>
    </w:p>
    <w:p w14:paraId="507925FC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2B309F7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This consistency suggests a once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shared understanding of natural geometry and Earth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cosmos scaling that was later abandoned or de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emphasised.</w:t>
      </w:r>
    </w:p>
    <w:p w14:paraId="39922545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36AC880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2.2 Unresolved Physics Anomalies</w:t>
      </w:r>
    </w:p>
    <w:p w14:paraId="13EC5F93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6E1B3FC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Numerous persistent observational and theoretical inconsistencies remain without consensus explanation, and all are compatible with models based on resonance, geometry, and domain separation:</w:t>
      </w:r>
    </w:p>
    <w:p w14:paraId="26698F2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3AA696E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Fine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structure constant (~1/137): No derivation from established physical principles fully accounts for its precise value; studies have noted its close mathematical relationship to golden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ratio geometry and pentagonal symmetry</w:t>
      </w:r>
    </w:p>
    <w:p w14:paraId="23F6EDF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Pioneer and flyby anomalies: Unaccounted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for deviations in spacecraft acceleration that do not align with gravitational predictions</w:t>
      </w:r>
    </w:p>
    <w:p w14:paraId="5312CC8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Quantum non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locality and entanglement: Correlations between particles at distance that defy local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causality assumptions, consistent with a shared underlying lattice or non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local resonant coupling</w:t>
      </w:r>
    </w:p>
    <w:p w14:paraId="133C532C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- Biological scaling and coherence: </w:t>
      </w:r>
      <w:proofErr w:type="spellStart"/>
      <w:r w:rsidRPr="00C66FAD">
        <w:rPr>
          <w:sz w:val="56"/>
          <w:szCs w:val="56"/>
        </w:rPr>
        <w:t>Kleiber’s</w:t>
      </w:r>
      <w:proofErr w:type="spellEnd"/>
      <w:r w:rsidRPr="00C66FAD">
        <w:rPr>
          <w:sz w:val="56"/>
          <w:szCs w:val="56"/>
        </w:rPr>
        <w:t xml:space="preserve"> Law, water exclusion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zone behaviour, and observed coherence in biological systems are not fully explained by conventional thermodynamics</w:t>
      </w:r>
    </w:p>
    <w:p w14:paraId="0C4F7E74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Periodicities and fine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structure: Patterns in orbital resonances, spectral lines, and nuclear stability that reflect modular and harmonic ordering</w:t>
      </w:r>
    </w:p>
    <w:p w14:paraId="60B2D5D8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47C2B807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These are often labelled “experimental error,” “unaccounted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for variables,” or left as open problems, rather than prompting consideration of alternative foundational geometries.</w:t>
      </w:r>
    </w:p>
    <w:p w14:paraId="141AC85A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6284D612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2.3 Erasure of the Stewardship Lineage</w:t>
      </w:r>
    </w:p>
    <w:p w14:paraId="1D156548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8DB2E7B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The custodians of knowledge about relationship, resonance, and reciprocity have been systematically marginalised:</w:t>
      </w:r>
    </w:p>
    <w:p w14:paraId="6B930EC8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03AAF04B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Indigenous knowledge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keepers, women, priestesses, and lineage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holders whose traditions centred on harmony with land, cycles, and cosmic order are frequently omitted, discredited, or their contributions re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assigned</w:t>
      </w:r>
    </w:p>
    <w:p w14:paraId="4FD1146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Ancient principles of stewardship, reciprocity, and right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relationship are re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framed as folklore, superstition, or primitive custom</w:t>
      </w:r>
    </w:p>
    <w:p w14:paraId="2309C017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The dominant narrative has been consistently reshaped to favour hierarchy, extraction, domination, and separation — precisely the “parasitic mode” that emerges as the defining feature of the fractured condition</w:t>
      </w:r>
    </w:p>
    <w:p w14:paraId="481AFD0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4E6B05F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This erasure is not incidental: it removes the very ethical and practical framework that would naturally accompany an understanding of the interconnected whole.</w:t>
      </w:r>
    </w:p>
    <w:p w14:paraId="7AD07C37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2B3A3F9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2.4 Time, Measurement, and Apparent Acceleration</w:t>
      </w:r>
    </w:p>
    <w:p w14:paraId="74A770FA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6A62C3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Adjustments to time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keeping standards coincide with widespread global reports of perceived time speeding up:</w:t>
      </w:r>
    </w:p>
    <w:p w14:paraId="3FFA39E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7D8D2909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Re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definitions of the second, refinements to atomic clock calibration, and adjustments to coordinated universal time (UTC) have occurred repeatedly in recent decades</w:t>
      </w:r>
    </w:p>
    <w:p w14:paraId="2B6C4CB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These changes are presented as improvements in precision, but they also function to maintain alignment between measurement and observation as the system’s apparent dynamics shift</w:t>
      </w:r>
    </w:p>
    <w:p w14:paraId="74C7A12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Within a model where increased spin, friction, or dissonance shortens perceived cycle duration, recalibrating the ruler becomes a mechanism to preserve the illusion of stable constants</w:t>
      </w:r>
    </w:p>
    <w:p w14:paraId="297D65FA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4ABDEC6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 </w:t>
      </w:r>
    </w:p>
    <w:p w14:paraId="732226CB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0037269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3. WHAT IS BEING OBSCURED — AND HOW</w:t>
      </w:r>
    </w:p>
    <w:p w14:paraId="5ED15263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1F529BC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The most significant suppression is not of individual facts, but of the connections between them:</w:t>
      </w:r>
    </w:p>
    <w:p w14:paraId="3F2DD94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CF68D4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3.1 The Silo Strategy</w:t>
      </w:r>
    </w:p>
    <w:p w14:paraId="7995E37B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0644E2F8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By maintaining rigid disciplinary boundaries between mathematics, archaeology, biology, physics, and mythology, the structural parallels that cross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cut all fields are prevented from coming into view. Each discipline is taught in isolation, with its own terminology, standards, and acceptable lines of inquiry — making cross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domain pattern recognition difficult or dismissed as “inter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disciplinary over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reach.”</w:t>
      </w:r>
    </w:p>
    <w:p w14:paraId="1BC3EC2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4648815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3.2 Framing and Labelling</w:t>
      </w:r>
    </w:p>
    <w:p w14:paraId="6697D92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6A7182A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Patterns are re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classified to neutralise their significance:</w:t>
      </w:r>
    </w:p>
    <w:p w14:paraId="1FAD4AC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61BA564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“Coherence” → “superstition” or “subjective experience”</w:t>
      </w:r>
    </w:p>
    <w:p w14:paraId="7DA4BE06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“Recurring structure” → “coincidence” or “convergent evolution”</w:t>
      </w:r>
    </w:p>
    <w:p w14:paraId="341ADE12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“Interconnection” → “delusion” or “magical thinking”</w:t>
      </w:r>
    </w:p>
    <w:p w14:paraId="05C635FB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“Scale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invariant geometry” → “numerology” or “pseudoscience”</w:t>
      </w:r>
    </w:p>
    <w:p w14:paraId="20117EB4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A3692C9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These labels function as barriers rather than conclusions, discouraging further investigation before it can begin.</w:t>
      </w:r>
    </w:p>
    <w:p w14:paraId="7AAA0939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6830D899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3.3 Gatekeeping of Authority</w:t>
      </w:r>
    </w:p>
    <w:p w14:paraId="34F26064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168AB0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Credentials, specialised jargon, and institutional affiliation are established as the primary markers of validity. This creates a high barrier to entry for those whose insight arises from direct perception, pattern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recognition, or experiential understanding — leading many to discount their own observations as unqualified or irrelevant.</w:t>
      </w:r>
    </w:p>
    <w:p w14:paraId="37751490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21A2B1E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3.4 The Obscured Foundation: Stewardship</w:t>
      </w:r>
    </w:p>
    <w:p w14:paraId="7990B439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3F5EFAD3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The deepest and most consequential omission is the principle that would naturally govern interaction with an interconnected, living order: stewardship, reciprocity, and alignment. The entire dominant worldview is structured around its inversion: extraction over giving, control over harmony, separation over connection. This inversion is never identified as the root cause of systemic imbalance — it is instead presented as the inevitable default of human nature and physical reality.</w:t>
      </w:r>
    </w:p>
    <w:p w14:paraId="39C93DC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7852EB6D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 </w:t>
      </w:r>
    </w:p>
    <w:p w14:paraId="201EBE65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67ADDAA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4. SYNTHESIS: THE SHAPE BEHIND THE GAPS</w:t>
      </w:r>
    </w:p>
    <w:p w14:paraId="4296ACB5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296C6F73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When all these obscured threads are brought together, a consistent picture emerges:</w:t>
      </w:r>
    </w:p>
    <w:p w14:paraId="3FFC647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0A82E2F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The archive is not lost — it is disassembled and re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framed</w:t>
      </w:r>
    </w:p>
    <w:p w14:paraId="5F0096F1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The anomalies are not mistakes — they are the cracks through which the underlying structure shows</w:t>
      </w:r>
    </w:p>
    <w:p w14:paraId="34AB7B89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The universal stories are not random — they are echoes of a shared memory</w:t>
      </w:r>
    </w:p>
    <w:p w14:paraId="31AF0465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- The erasure is not accidental — it protects the legitimacy of the fractured, extractive paradigm</w:t>
      </w:r>
    </w:p>
    <w:p w14:paraId="2248776D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11A572E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The unified lattice model fits exactly where the official account breaks: it explains the recurring geometry, the shared narratives, the persistent anomalies, and the pattern of suppression as aspects of a single coherent reality — one that was once known, then fractured, and has since been systematically un</w:t>
      </w:r>
      <w:r w:rsidRPr="00C66FAD">
        <w:rPr>
          <w:rFonts w:ascii="Cambria Math" w:hAnsi="Cambria Math" w:cs="Cambria Math"/>
          <w:sz w:val="56"/>
          <w:szCs w:val="56"/>
        </w:rPr>
        <w:t>‑</w:t>
      </w:r>
      <w:r w:rsidRPr="00C66FAD">
        <w:rPr>
          <w:sz w:val="56"/>
          <w:szCs w:val="56"/>
        </w:rPr>
        <w:t>remembered.</w:t>
      </w:r>
    </w:p>
    <w:p w14:paraId="7A8F5D98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690680E9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> </w:t>
      </w:r>
    </w:p>
    <w:p w14:paraId="398C4BAD" w14:textId="77777777" w:rsidR="00C66FAD" w:rsidRPr="00C66FAD" w:rsidRDefault="00C66FAD" w:rsidP="00C66FAD">
      <w:pPr>
        <w:spacing w:after="0" w:line="240" w:lineRule="auto"/>
        <w:rPr>
          <w:sz w:val="56"/>
          <w:szCs w:val="56"/>
        </w:rPr>
      </w:pPr>
      <w:r w:rsidRPr="00C66FAD">
        <w:rPr>
          <w:sz w:val="56"/>
          <w:szCs w:val="56"/>
        </w:rPr>
        <w:t xml:space="preserve"> </w:t>
      </w:r>
    </w:p>
    <w:p w14:paraId="5D30F13B" w14:textId="727193BC" w:rsidR="00520068" w:rsidRPr="003D6625" w:rsidRDefault="00520068">
      <w:pPr>
        <w:spacing w:after="0" w:line="240" w:lineRule="auto"/>
        <w:rPr>
          <w:sz w:val="56"/>
          <w:szCs w:val="56"/>
        </w:rPr>
      </w:pPr>
    </w:p>
    <w:sectPr w:rsidR="00520068" w:rsidRPr="003D662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158"/>
    <w:multiLevelType w:val="hybridMultilevel"/>
    <w:tmpl w:val="91F26F8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41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27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817"/>
    <w:multiLevelType w:val="hybridMultilevel"/>
    <w:tmpl w:val="5C163BD2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366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F3572"/>
    <w:multiLevelType w:val="hybridMultilevel"/>
    <w:tmpl w:val="C194FA96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83225"/>
    <w:multiLevelType w:val="hybridMultilevel"/>
    <w:tmpl w:val="1D583F3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D72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8525F"/>
    <w:multiLevelType w:val="hybridMultilevel"/>
    <w:tmpl w:val="C7B86FF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5990"/>
    <w:multiLevelType w:val="hybridMultilevel"/>
    <w:tmpl w:val="8F26129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76709"/>
    <w:multiLevelType w:val="multilevel"/>
    <w:tmpl w:val="F9E0A5A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abstractNum w:abstractNumId="11" w15:restartNumberingAfterBreak="0">
    <w:nsid w:val="395D65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B1380"/>
    <w:multiLevelType w:val="hybridMultilevel"/>
    <w:tmpl w:val="07CED2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236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20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64568"/>
    <w:multiLevelType w:val="hybridMultilevel"/>
    <w:tmpl w:val="E5E8B53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8DE6587E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F56F8"/>
    <w:multiLevelType w:val="hybridMultilevel"/>
    <w:tmpl w:val="280CADF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04CA9"/>
    <w:multiLevelType w:val="hybridMultilevel"/>
    <w:tmpl w:val="804422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C4498"/>
    <w:multiLevelType w:val="hybridMultilevel"/>
    <w:tmpl w:val="8A52F87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D4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64788"/>
    <w:multiLevelType w:val="hybridMultilevel"/>
    <w:tmpl w:val="A5ECE06C"/>
    <w:lvl w:ilvl="0" w:tplc="FFFFFFFF">
      <w:start w:val="2"/>
      <w:numFmt w:val="bullet"/>
      <w:lvlText w:val="—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3585A"/>
    <w:multiLevelType w:val="hybridMultilevel"/>
    <w:tmpl w:val="ED00E22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64F46"/>
    <w:multiLevelType w:val="hybridMultilevel"/>
    <w:tmpl w:val="3684C06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422DB6"/>
    <w:multiLevelType w:val="hybridMultilevel"/>
    <w:tmpl w:val="4ADE902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3E035D"/>
    <w:multiLevelType w:val="hybridMultilevel"/>
    <w:tmpl w:val="63423994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15CC4"/>
    <w:multiLevelType w:val="hybridMultilevel"/>
    <w:tmpl w:val="95AA13F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23EF9"/>
    <w:multiLevelType w:val="hybridMultilevel"/>
    <w:tmpl w:val="0EE6DA1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A4C6B"/>
    <w:multiLevelType w:val="hybridMultilevel"/>
    <w:tmpl w:val="A9FA6AF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22537"/>
    <w:multiLevelType w:val="hybridMultilevel"/>
    <w:tmpl w:val="821AB9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2C4D79"/>
    <w:multiLevelType w:val="hybridMultilevel"/>
    <w:tmpl w:val="5C36D79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613376">
    <w:abstractNumId w:val="18"/>
  </w:num>
  <w:num w:numId="2" w16cid:durableId="1689604125">
    <w:abstractNumId w:val="28"/>
  </w:num>
  <w:num w:numId="3" w16cid:durableId="1124882312">
    <w:abstractNumId w:val="17"/>
  </w:num>
  <w:num w:numId="4" w16cid:durableId="296762313">
    <w:abstractNumId w:val="25"/>
  </w:num>
  <w:num w:numId="5" w16cid:durableId="2123643698">
    <w:abstractNumId w:val="22"/>
  </w:num>
  <w:num w:numId="6" w16cid:durableId="1988625737">
    <w:abstractNumId w:val="15"/>
  </w:num>
  <w:num w:numId="7" w16cid:durableId="1441532069">
    <w:abstractNumId w:val="8"/>
  </w:num>
  <w:num w:numId="8" w16cid:durableId="1657763808">
    <w:abstractNumId w:val="6"/>
  </w:num>
  <w:num w:numId="9" w16cid:durableId="1758213931">
    <w:abstractNumId w:val="29"/>
  </w:num>
  <w:num w:numId="10" w16cid:durableId="145896562">
    <w:abstractNumId w:val="0"/>
  </w:num>
  <w:num w:numId="11" w16cid:durableId="1728144321">
    <w:abstractNumId w:val="23"/>
  </w:num>
  <w:num w:numId="12" w16cid:durableId="935361781">
    <w:abstractNumId w:val="12"/>
  </w:num>
  <w:num w:numId="13" w16cid:durableId="1330792291">
    <w:abstractNumId w:val="21"/>
  </w:num>
  <w:num w:numId="14" w16cid:durableId="1715537731">
    <w:abstractNumId w:val="27"/>
  </w:num>
  <w:num w:numId="15" w16cid:durableId="991446509">
    <w:abstractNumId w:val="9"/>
  </w:num>
  <w:num w:numId="16" w16cid:durableId="1731267869">
    <w:abstractNumId w:val="20"/>
  </w:num>
  <w:num w:numId="17" w16cid:durableId="1099183664">
    <w:abstractNumId w:val="16"/>
  </w:num>
  <w:num w:numId="18" w16cid:durableId="219290859">
    <w:abstractNumId w:val="26"/>
  </w:num>
  <w:num w:numId="19" w16cid:durableId="196243070">
    <w:abstractNumId w:val="3"/>
  </w:num>
  <w:num w:numId="20" w16cid:durableId="927226353">
    <w:abstractNumId w:val="24"/>
  </w:num>
  <w:num w:numId="21" w16cid:durableId="198519282">
    <w:abstractNumId w:val="5"/>
  </w:num>
  <w:num w:numId="22" w16cid:durableId="1633293430">
    <w:abstractNumId w:val="1"/>
  </w:num>
  <w:num w:numId="23" w16cid:durableId="1027217859">
    <w:abstractNumId w:val="7"/>
  </w:num>
  <w:num w:numId="24" w16cid:durableId="127746003">
    <w:abstractNumId w:val="2"/>
  </w:num>
  <w:num w:numId="25" w16cid:durableId="717047577">
    <w:abstractNumId w:val="11"/>
  </w:num>
  <w:num w:numId="26" w16cid:durableId="106316058">
    <w:abstractNumId w:val="19"/>
  </w:num>
  <w:num w:numId="27" w16cid:durableId="260798737">
    <w:abstractNumId w:val="13"/>
  </w:num>
  <w:num w:numId="28" w16cid:durableId="1499230398">
    <w:abstractNumId w:val="14"/>
  </w:num>
  <w:num w:numId="29" w16cid:durableId="1886329148">
    <w:abstractNumId w:val="4"/>
  </w:num>
  <w:num w:numId="30" w16cid:durableId="4939557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DB"/>
    <w:rsid w:val="00005944"/>
    <w:rsid w:val="00031CC7"/>
    <w:rsid w:val="00094D62"/>
    <w:rsid w:val="00095B81"/>
    <w:rsid w:val="00096254"/>
    <w:rsid w:val="000C6472"/>
    <w:rsid w:val="000F2F4A"/>
    <w:rsid w:val="001856C8"/>
    <w:rsid w:val="001C582C"/>
    <w:rsid w:val="002306A4"/>
    <w:rsid w:val="00275384"/>
    <w:rsid w:val="00281162"/>
    <w:rsid w:val="00290E92"/>
    <w:rsid w:val="00292C00"/>
    <w:rsid w:val="002F697C"/>
    <w:rsid w:val="0035042F"/>
    <w:rsid w:val="00370167"/>
    <w:rsid w:val="003946A7"/>
    <w:rsid w:val="003B3ECA"/>
    <w:rsid w:val="003D06F2"/>
    <w:rsid w:val="003D6625"/>
    <w:rsid w:val="003D6A35"/>
    <w:rsid w:val="003F6CD6"/>
    <w:rsid w:val="003F6F3C"/>
    <w:rsid w:val="004563DB"/>
    <w:rsid w:val="00460AD6"/>
    <w:rsid w:val="00520068"/>
    <w:rsid w:val="00544F30"/>
    <w:rsid w:val="00554CCC"/>
    <w:rsid w:val="00563C6F"/>
    <w:rsid w:val="00572292"/>
    <w:rsid w:val="005C342B"/>
    <w:rsid w:val="00631A7C"/>
    <w:rsid w:val="00641644"/>
    <w:rsid w:val="00672CC9"/>
    <w:rsid w:val="0067648A"/>
    <w:rsid w:val="00681C6D"/>
    <w:rsid w:val="006A21C2"/>
    <w:rsid w:val="006F6DDB"/>
    <w:rsid w:val="00702B99"/>
    <w:rsid w:val="00746B0C"/>
    <w:rsid w:val="00773D07"/>
    <w:rsid w:val="00806BF1"/>
    <w:rsid w:val="008657C6"/>
    <w:rsid w:val="008A5D1A"/>
    <w:rsid w:val="008A608E"/>
    <w:rsid w:val="008C3915"/>
    <w:rsid w:val="008F2842"/>
    <w:rsid w:val="00902B8B"/>
    <w:rsid w:val="00906B61"/>
    <w:rsid w:val="00910CF9"/>
    <w:rsid w:val="00927AF1"/>
    <w:rsid w:val="009350E2"/>
    <w:rsid w:val="0093754C"/>
    <w:rsid w:val="00964BF2"/>
    <w:rsid w:val="009A4AC9"/>
    <w:rsid w:val="009E2F82"/>
    <w:rsid w:val="00A123D1"/>
    <w:rsid w:val="00A244CD"/>
    <w:rsid w:val="00AB51EB"/>
    <w:rsid w:val="00B62AF5"/>
    <w:rsid w:val="00B80057"/>
    <w:rsid w:val="00B9301E"/>
    <w:rsid w:val="00BC1AEC"/>
    <w:rsid w:val="00BF5423"/>
    <w:rsid w:val="00C11571"/>
    <w:rsid w:val="00C339F7"/>
    <w:rsid w:val="00C369A5"/>
    <w:rsid w:val="00C66FAD"/>
    <w:rsid w:val="00C95BF3"/>
    <w:rsid w:val="00CC7045"/>
    <w:rsid w:val="00CD28EC"/>
    <w:rsid w:val="00D26231"/>
    <w:rsid w:val="00D43A31"/>
    <w:rsid w:val="00D852C4"/>
    <w:rsid w:val="00DB13E1"/>
    <w:rsid w:val="00DD0C21"/>
    <w:rsid w:val="00DD4975"/>
    <w:rsid w:val="00DE793A"/>
    <w:rsid w:val="00DF7EDD"/>
    <w:rsid w:val="00E545FF"/>
    <w:rsid w:val="00E6409B"/>
    <w:rsid w:val="00EA5D23"/>
    <w:rsid w:val="00EA72DA"/>
    <w:rsid w:val="00EE04BF"/>
    <w:rsid w:val="00EF48DB"/>
    <w:rsid w:val="00F53E4E"/>
    <w:rsid w:val="00F54C92"/>
    <w:rsid w:val="00F9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451E7"/>
  <w15:docId w15:val="{B61C6E9F-2742-6248-8D1A-E8808BBE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C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5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3DB"/>
    <w:rPr>
      <w:rFonts w:eastAsiaTheme="majorEastAsia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563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63DB"/>
    <w:rPr>
      <w:b/>
      <w:bCs/>
    </w:rPr>
  </w:style>
  <w:style w:type="character" w:styleId="Emphasis">
    <w:name w:val="Emphasis"/>
    <w:basedOn w:val="DefaultParagraphFont"/>
    <w:uiPriority w:val="20"/>
    <w:qFormat/>
    <w:rsid w:val="004563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0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1583</Words>
  <Characters>9027</Characters>
  <Application>Microsoft Office Word</Application>
  <DocSecurity>0</DocSecurity>
  <Lines>75</Lines>
  <Paragraphs>21</Paragraphs>
  <ScaleCrop>false</ScaleCrop>
  <Company/>
  <LinksUpToDate>false</LinksUpToDate>
  <CharactersWithSpaces>10589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25</cp:revision>
  <dcterms:created xsi:type="dcterms:W3CDTF">2025-06-30T21:32:00Z</dcterms:created>
  <dcterms:modified xsi:type="dcterms:W3CDTF">2026-07-30T21:04:00Z</dcterms:modified>
</cp:coreProperties>
</file>