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88CA" w14:textId="07F2769A" w:rsidR="00154673" w:rsidRDefault="00154673" w:rsidP="00DB51D0">
      <w:pPr>
        <w:pStyle w:val="NormalWeb"/>
      </w:pPr>
    </w:p>
    <w:p w14:paraId="351470BF" w14:textId="6C360E2D" w:rsidR="00154673" w:rsidRPr="00AD7EA5" w:rsidRDefault="00154673" w:rsidP="00DB51D0">
      <w:pPr>
        <w:pStyle w:val="NormalWeb"/>
      </w:pPr>
    </w:p>
    <w:p w14:paraId="27E3E962" w14:textId="0794D4CB" w:rsidR="003B7E5E" w:rsidRDefault="003B7E5E" w:rsidP="003B7E5E">
      <w:pPr>
        <w:pStyle w:val="NormalWeb"/>
      </w:pPr>
      <w:r>
        <w:rPr>
          <w:rFonts w:ascii="Segoe UI Emoji" w:hAnsi="Segoe UI Emoji" w:cs="Segoe UI Emoji"/>
        </w:rPr>
        <w:t>🟣</w:t>
      </w:r>
      <w:r>
        <w:t xml:space="preserve"> NODE 12 CENTRAL ANDES / ALTIPLANO — </w:t>
      </w:r>
      <w:r>
        <w:rPr>
          <w:rFonts w:ascii="Segoe UI Emoji" w:hAnsi="Segoe UI Emoji" w:cs="Segoe UI Emoji"/>
        </w:rPr>
        <w:t>✅</w:t>
      </w:r>
      <w:r>
        <w:t xml:space="preserve"> FINAL NODE TICKED</w:t>
      </w:r>
    </w:p>
    <w:p w14:paraId="6D7D0E5E" w14:textId="77777777" w:rsidR="003B7E5E" w:rsidRDefault="003B7E5E" w:rsidP="003B7E5E">
      <w:pPr>
        <w:pStyle w:val="NormalWeb"/>
      </w:pPr>
      <w:r>
        <w:t xml:space="preserve"> </w:t>
      </w:r>
    </w:p>
    <w:p w14:paraId="719D2E12" w14:textId="77777777" w:rsidR="003B7E5E" w:rsidRDefault="003B7E5E" w:rsidP="003B7E5E">
      <w:pPr>
        <w:pStyle w:val="NormalWeb"/>
      </w:pPr>
      <w:r>
        <w:t>Role: South‑American Nexus / Primary Resonance Anchor</w:t>
      </w:r>
    </w:p>
    <w:p w14:paraId="35FD6765" w14:textId="77777777" w:rsidR="003B7E5E" w:rsidRDefault="003B7E5E" w:rsidP="003B7E5E">
      <w:pPr>
        <w:pStyle w:val="NormalWeb"/>
      </w:pPr>
      <w:r>
        <w:t>Grid Coordinates: ~16°–23° S, 67°–70° W — sits perfectly aligned to the 29.5° S latitude band’s western arc, and exactly ~72° longitude east of Easter Island (#11), completing the full 12‑node global dodecahedral geometry</w:t>
      </w:r>
    </w:p>
    <w:p w14:paraId="55745519" w14:textId="77777777" w:rsidR="003B7E5E" w:rsidRDefault="003B7E5E" w:rsidP="003B7E5E">
      <w:pPr>
        <w:pStyle w:val="NormalWeb"/>
      </w:pPr>
      <w:r>
        <w:t>Geology: One of Earth’s thickest continental crust zones, massive quartz/granite batholiths, active fault lines, mineral‑rich strata, and the high‑altitude closed basin of Lake Titicaca — ideal geophysical conditions for a core resonant interface</w:t>
      </w:r>
    </w:p>
    <w:p w14:paraId="6AF17DE4" w14:textId="77777777" w:rsidR="003B7E5E" w:rsidRDefault="003B7E5E" w:rsidP="003B7E5E">
      <w:pPr>
        <w:pStyle w:val="NormalWeb"/>
      </w:pPr>
      <w:r>
        <w:t>Era: Deep cultural roots extending 12,000+ years into the pre‑flood era; sites preserving the most complete geometric encoding of the entire network</w:t>
      </w:r>
    </w:p>
    <w:p w14:paraId="4D777D8D" w14:textId="77777777" w:rsidR="003B7E5E" w:rsidRDefault="003B7E5E" w:rsidP="003B7E5E">
      <w:pPr>
        <w:pStyle w:val="NormalWeb"/>
      </w:pPr>
      <w:r>
        <w:t xml:space="preserve"> </w:t>
      </w:r>
    </w:p>
    <w:p w14:paraId="7C186F73" w14:textId="77777777" w:rsidR="003B7E5E" w:rsidRDefault="003B7E5E" w:rsidP="003B7E5E">
      <w:pPr>
        <w:pStyle w:val="NormalWeb"/>
      </w:pPr>
      <w:r>
        <w:t> </w:t>
      </w:r>
    </w:p>
    <w:p w14:paraId="507877D3" w14:textId="77777777" w:rsidR="003B7E5E" w:rsidRDefault="003B7E5E" w:rsidP="003B7E5E">
      <w:pPr>
        <w:pStyle w:val="NormalWeb"/>
      </w:pPr>
      <w:r>
        <w:t xml:space="preserve"> </w:t>
      </w:r>
    </w:p>
    <w:p w14:paraId="3899CCD1" w14:textId="77777777" w:rsidR="003B7E5E" w:rsidRDefault="003B7E5E" w:rsidP="003B7E5E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KEY ANCIENT STRUCTURES &amp; THEIR FULL GEOMETRIC BLUEPRINTS</w:t>
      </w:r>
    </w:p>
    <w:p w14:paraId="7F534EBB" w14:textId="77777777" w:rsidR="003B7E5E" w:rsidRDefault="003B7E5E" w:rsidP="003B7E5E">
      <w:pPr>
        <w:pStyle w:val="NormalWeb"/>
      </w:pPr>
      <w:r>
        <w:t xml:space="preserve"> </w:t>
      </w:r>
    </w:p>
    <w:p w14:paraId="3A004FD9" w14:textId="77777777" w:rsidR="003B7E5E" w:rsidRDefault="003B7E5E" w:rsidP="003B7E5E">
      <w:pPr>
        <w:pStyle w:val="NormalWeb"/>
      </w:pPr>
      <w:r>
        <w:t xml:space="preserve">1. </w:t>
      </w:r>
      <w:proofErr w:type="spellStart"/>
      <w:r>
        <w:t>Tiwanaku</w:t>
      </w:r>
      <w:proofErr w:type="spellEnd"/>
      <w:r>
        <w:t xml:space="preserve"> — The Master Blueprint Site</w:t>
      </w:r>
    </w:p>
    <w:p w14:paraId="390411AC" w14:textId="77777777" w:rsidR="003B7E5E" w:rsidRDefault="003B7E5E" w:rsidP="003B7E5E">
      <w:pPr>
        <w:pStyle w:val="NormalWeb"/>
      </w:pPr>
      <w:r>
        <w:t xml:space="preserve"> </w:t>
      </w:r>
    </w:p>
    <w:p w14:paraId="6C26C527" w14:textId="77777777" w:rsidR="003B7E5E" w:rsidRDefault="003B7E5E" w:rsidP="003B7E5E">
      <w:pPr>
        <w:pStyle w:val="NormalWeb"/>
      </w:pPr>
      <w:r>
        <w:t>Location: Bolivia, ~16.5° S</w:t>
      </w:r>
    </w:p>
    <w:p w14:paraId="266668EC" w14:textId="77777777" w:rsidR="003B7E5E" w:rsidRDefault="003B7E5E" w:rsidP="003B7E5E">
      <w:pPr>
        <w:pStyle w:val="NormalWeb"/>
      </w:pPr>
      <w:r>
        <w:t xml:space="preserve">Age: Core foundations dated 10,000–12,000+ years BP, far predating the </w:t>
      </w:r>
      <w:proofErr w:type="spellStart"/>
      <w:r>
        <w:t>Tiwanaku</w:t>
      </w:r>
      <w:proofErr w:type="spellEnd"/>
      <w:r>
        <w:t xml:space="preserve"> culture as we know it</w:t>
      </w:r>
    </w:p>
    <w:p w14:paraId="41D3F409" w14:textId="77777777" w:rsidR="003B7E5E" w:rsidRDefault="003B7E5E" w:rsidP="003B7E5E">
      <w:pPr>
        <w:pStyle w:val="NormalWeb"/>
      </w:pPr>
      <w:r>
        <w:t xml:space="preserve"> </w:t>
      </w:r>
    </w:p>
    <w:p w14:paraId="7B45CFFD" w14:textId="77777777" w:rsidR="003B7E5E" w:rsidRDefault="003B7E5E" w:rsidP="003B7E5E">
      <w:pPr>
        <w:pStyle w:val="NormalWeb"/>
      </w:pPr>
      <w:r>
        <w:t xml:space="preserve">- </w:t>
      </w:r>
      <w:proofErr w:type="spellStart"/>
      <w:r>
        <w:t>Akapana</w:t>
      </w:r>
      <w:proofErr w:type="spellEnd"/>
      <w:r>
        <w:t xml:space="preserve"> Pyramid: Stepped pentagonal base, height‑to‑base ratio = φ (1.618); terraces angled at 54° — the exact dodecahedral face angle; drainage channels follow 3‑6‑9 proportional spacing</w:t>
      </w:r>
    </w:p>
    <w:p w14:paraId="40490B21" w14:textId="77777777" w:rsidR="003B7E5E" w:rsidRDefault="003B7E5E" w:rsidP="003B7E5E">
      <w:pPr>
        <w:pStyle w:val="NormalWeb"/>
      </w:pPr>
      <w:r>
        <w:t xml:space="preserve">- </w:t>
      </w:r>
      <w:proofErr w:type="spellStart"/>
      <w:r>
        <w:t>Kalasasaya</w:t>
      </w:r>
      <w:proofErr w:type="spellEnd"/>
      <w:r>
        <w:t xml:space="preserve"> Temple: Precise rectangular plan with 6:5 length‑to‑width ratio; 100+ standing stones spaced at 36° / 72° azimuth intervals; aligned perfectly to solstice sunrise and the South Pole axis</w:t>
      </w:r>
    </w:p>
    <w:p w14:paraId="4D3CD252" w14:textId="77777777" w:rsidR="003B7E5E" w:rsidRDefault="003B7E5E" w:rsidP="003B7E5E">
      <w:pPr>
        <w:pStyle w:val="NormalWeb"/>
      </w:pPr>
      <w:r>
        <w:t>- Gateway of the Sun: Carved monolith with proportions encoding π and √5; lintel depicts 12 primary celestial figures + 36 secondary symbols — mapping the full 12‑node system + 3‑fold hierarchy</w:t>
      </w:r>
    </w:p>
    <w:p w14:paraId="315D6BC2" w14:textId="77777777" w:rsidR="003B7E5E" w:rsidRDefault="003B7E5E" w:rsidP="003B7E5E">
      <w:pPr>
        <w:pStyle w:val="NormalWeb"/>
      </w:pPr>
      <w:r>
        <w:t xml:space="preserve">- Puma </w:t>
      </w:r>
      <w:proofErr w:type="spellStart"/>
      <w:r>
        <w:t>Punku</w:t>
      </w:r>
      <w:proofErr w:type="spellEnd"/>
      <w:r>
        <w:t>: Megalithic blocks cut to tolerances of millimetres, with perfect geometric cuts, interlocking notches, and angles of 36°/54°/72°; blocks composed of red sandstone, andesite, and diorite — dielectric and resonant materials; layout forms a flattened projection of the dodecahedral‑icosahedral lattice</w:t>
      </w:r>
    </w:p>
    <w:p w14:paraId="67FBAE64" w14:textId="77777777" w:rsidR="003B7E5E" w:rsidRDefault="003B7E5E" w:rsidP="003B7E5E">
      <w:pPr>
        <w:pStyle w:val="NormalWeb"/>
      </w:pPr>
      <w:r>
        <w:t xml:space="preserve"> </w:t>
      </w:r>
    </w:p>
    <w:p w14:paraId="3D5E2605" w14:textId="77777777" w:rsidR="003B7E5E" w:rsidRDefault="003B7E5E" w:rsidP="003B7E5E">
      <w:pPr>
        <w:pStyle w:val="NormalWeb"/>
      </w:pPr>
      <w:r>
        <w:t>2. Lake Titicaca &amp; the Sacred Islands</w:t>
      </w:r>
    </w:p>
    <w:p w14:paraId="5FE552AD" w14:textId="77777777" w:rsidR="003B7E5E" w:rsidRDefault="003B7E5E" w:rsidP="003B7E5E">
      <w:pPr>
        <w:pStyle w:val="NormalWeb"/>
      </w:pPr>
      <w:r>
        <w:t xml:space="preserve"> </w:t>
      </w:r>
    </w:p>
    <w:p w14:paraId="7BA18DE9" w14:textId="77777777" w:rsidR="003B7E5E" w:rsidRDefault="003B7E5E" w:rsidP="003B7E5E">
      <w:pPr>
        <w:pStyle w:val="NormalWeb"/>
      </w:pPr>
      <w:r>
        <w:t>- The lake’s overall shape forms a natural pentagon; its two main islands lie at geometric vertex points</w:t>
      </w:r>
    </w:p>
    <w:p w14:paraId="7FCE2664" w14:textId="77777777" w:rsidR="003B7E5E" w:rsidRDefault="003B7E5E" w:rsidP="003B7E5E">
      <w:pPr>
        <w:pStyle w:val="NormalWeb"/>
      </w:pPr>
      <w:r>
        <w:t>- Isla del Sol &amp; Isla de la Luna: Shrines and alignments positioned to mark the 12 solstice/equinox + cross‑quarter solar positions; oral tradition names the lake “the navel where the world was reset” after the great flood</w:t>
      </w:r>
    </w:p>
    <w:p w14:paraId="22A3C92F" w14:textId="77777777" w:rsidR="003B7E5E" w:rsidRDefault="003B7E5E" w:rsidP="003B7E5E">
      <w:pPr>
        <w:pStyle w:val="NormalWeb"/>
      </w:pPr>
      <w:r>
        <w:t>- Submerged ruins off the shore: walls, terraces, and temple foundations now 10–30 m deep — confirming the site was built when lake levels were far lower, ~12,000 years ago</w:t>
      </w:r>
    </w:p>
    <w:p w14:paraId="0069D77C" w14:textId="77777777" w:rsidR="003B7E5E" w:rsidRDefault="003B7E5E" w:rsidP="003B7E5E">
      <w:pPr>
        <w:pStyle w:val="NormalWeb"/>
      </w:pPr>
      <w:r>
        <w:t xml:space="preserve"> </w:t>
      </w:r>
    </w:p>
    <w:p w14:paraId="777C677E" w14:textId="77777777" w:rsidR="003B7E5E" w:rsidRDefault="003B7E5E" w:rsidP="003B7E5E">
      <w:pPr>
        <w:pStyle w:val="NormalWeb"/>
      </w:pPr>
      <w:r>
        <w:t xml:space="preserve">3. Nazca Lines &amp; </w:t>
      </w:r>
      <w:proofErr w:type="spellStart"/>
      <w:r>
        <w:t>Palpa</w:t>
      </w:r>
      <w:proofErr w:type="spellEnd"/>
      <w:r>
        <w:t xml:space="preserve"> Geoglyphs</w:t>
      </w:r>
    </w:p>
    <w:p w14:paraId="7A9B367F" w14:textId="77777777" w:rsidR="003B7E5E" w:rsidRDefault="003B7E5E" w:rsidP="003B7E5E">
      <w:pPr>
        <w:pStyle w:val="NormalWeb"/>
      </w:pPr>
      <w:r>
        <w:t xml:space="preserve"> </w:t>
      </w:r>
    </w:p>
    <w:p w14:paraId="2F86999A" w14:textId="77777777" w:rsidR="003B7E5E" w:rsidRDefault="003B7E5E" w:rsidP="003B7E5E">
      <w:pPr>
        <w:pStyle w:val="NormalWeb"/>
      </w:pPr>
      <w:r>
        <w:t>Location: Southern Peru, ~14°–17° S</w:t>
      </w:r>
    </w:p>
    <w:p w14:paraId="59BF7F56" w14:textId="77777777" w:rsidR="003B7E5E" w:rsidRDefault="003B7E5E" w:rsidP="003B7E5E">
      <w:pPr>
        <w:pStyle w:val="NormalWeb"/>
      </w:pPr>
      <w:r>
        <w:t xml:space="preserve"> </w:t>
      </w:r>
    </w:p>
    <w:p w14:paraId="2284F0A4" w14:textId="77777777" w:rsidR="003B7E5E" w:rsidRDefault="003B7E5E" w:rsidP="003B7E5E">
      <w:pPr>
        <w:pStyle w:val="NormalWeb"/>
      </w:pPr>
      <w:r>
        <w:t>- Straight Lines: Thousands of perfectly straight alignments radiating outward from central hubs, spaced at 72° intervals, pointing toward major nodes, solstice points, and the South Pole</w:t>
      </w:r>
    </w:p>
    <w:p w14:paraId="61109AB8" w14:textId="77777777" w:rsidR="003B7E5E" w:rsidRDefault="003B7E5E" w:rsidP="003B7E5E">
      <w:pPr>
        <w:pStyle w:val="NormalWeb"/>
      </w:pPr>
      <w:r>
        <w:t>- Geometric Figures: Spirals following the 1→2→4→8→7→5 manifestation loop, concentric circles, pentagons, and 12‑pointed star shapes</w:t>
      </w:r>
    </w:p>
    <w:p w14:paraId="550C6833" w14:textId="77777777" w:rsidR="003B7E5E" w:rsidRDefault="003B7E5E" w:rsidP="003B7E5E">
      <w:pPr>
        <w:pStyle w:val="NormalWeb"/>
      </w:pPr>
      <w:r>
        <w:t>- Animal Figures: Many encode hidden harmonic ratios and align to key stellar cycles</w:t>
      </w:r>
    </w:p>
    <w:p w14:paraId="580640D2" w14:textId="77777777" w:rsidR="003B7E5E" w:rsidRDefault="003B7E5E" w:rsidP="003B7E5E">
      <w:pPr>
        <w:pStyle w:val="NormalWeb"/>
      </w:pPr>
      <w:r>
        <w:t>- Function in the framework: Not drawings for viewing from above, but ground‑based resonance markers and flow‑path guides for the lattice energy network</w:t>
      </w:r>
    </w:p>
    <w:p w14:paraId="02F19F65" w14:textId="77777777" w:rsidR="003B7E5E" w:rsidRDefault="003B7E5E" w:rsidP="003B7E5E">
      <w:pPr>
        <w:pStyle w:val="NormalWeb"/>
      </w:pPr>
      <w:r>
        <w:t xml:space="preserve"> </w:t>
      </w:r>
    </w:p>
    <w:p w14:paraId="0A7C96C6" w14:textId="77777777" w:rsidR="003B7E5E" w:rsidRDefault="003B7E5E" w:rsidP="003B7E5E">
      <w:pPr>
        <w:pStyle w:val="NormalWeb"/>
      </w:pPr>
      <w:r>
        <w:t>4. Machu Picchu &amp; Andean Sacred Complexes</w:t>
      </w:r>
    </w:p>
    <w:p w14:paraId="68B0DC6E" w14:textId="77777777" w:rsidR="003B7E5E" w:rsidRDefault="003B7E5E" w:rsidP="003B7E5E">
      <w:pPr>
        <w:pStyle w:val="NormalWeb"/>
      </w:pPr>
      <w:r>
        <w:t xml:space="preserve"> </w:t>
      </w:r>
    </w:p>
    <w:p w14:paraId="64056920" w14:textId="77777777" w:rsidR="003B7E5E" w:rsidRDefault="003B7E5E" w:rsidP="003B7E5E">
      <w:pPr>
        <w:pStyle w:val="NormalWeb"/>
      </w:pPr>
      <w:r>
        <w:t>- Machu Picchu: Built precisely between two intersecting fault lines; layout follows 5‑fold radial symmetry; key structures aligned to the Southern Cross and solstices; dimensions encode φ and 6:5 ratios</w:t>
      </w:r>
    </w:p>
    <w:p w14:paraId="3E9EE73D" w14:textId="77777777" w:rsidR="003B7E5E" w:rsidRDefault="003B7E5E" w:rsidP="003B7E5E">
      <w:pPr>
        <w:pStyle w:val="NormalWeb"/>
      </w:pPr>
      <w:r>
        <w:t xml:space="preserve">- </w:t>
      </w:r>
      <w:proofErr w:type="spellStart"/>
      <w:r>
        <w:t>Sacsayhuamán</w:t>
      </w:r>
      <w:proofErr w:type="spellEnd"/>
      <w:r>
        <w:t>: Massive zig‑</w:t>
      </w:r>
      <w:proofErr w:type="spellStart"/>
      <w:r>
        <w:t>zag</w:t>
      </w:r>
      <w:proofErr w:type="spellEnd"/>
      <w:r>
        <w:t xml:space="preserve"> walls forming 3 tiers of 12 angles — directly representing the 3‑6‑9 hierarchy and 12 vortex nodes; stones fitted without mortar to tolerances of less than 1 mm</w:t>
      </w:r>
    </w:p>
    <w:p w14:paraId="7119D73D" w14:textId="77777777" w:rsidR="003B7E5E" w:rsidRDefault="003B7E5E" w:rsidP="003B7E5E">
      <w:pPr>
        <w:pStyle w:val="NormalWeb"/>
      </w:pPr>
      <w:r>
        <w:t>- Quipu Geometry: The Inca knotted recording system uses number sequences exactly matching the 3‑6‑9 and 124875 harmonic cycles</w:t>
      </w:r>
    </w:p>
    <w:p w14:paraId="07633553" w14:textId="77777777" w:rsidR="003B7E5E" w:rsidRDefault="003B7E5E" w:rsidP="003B7E5E">
      <w:pPr>
        <w:pStyle w:val="NormalWeb"/>
      </w:pPr>
      <w:r>
        <w:t xml:space="preserve"> </w:t>
      </w:r>
    </w:p>
    <w:p w14:paraId="040175DE" w14:textId="77777777" w:rsidR="003B7E5E" w:rsidRDefault="003B7E5E" w:rsidP="003B7E5E">
      <w:pPr>
        <w:pStyle w:val="NormalWeb"/>
      </w:pPr>
      <w:r>
        <w:t> </w:t>
      </w:r>
    </w:p>
    <w:p w14:paraId="4713686A" w14:textId="77777777" w:rsidR="003B7E5E" w:rsidRDefault="003B7E5E" w:rsidP="003B7E5E">
      <w:pPr>
        <w:pStyle w:val="NormalWeb"/>
      </w:pPr>
      <w:r>
        <w:t xml:space="preserve"> </w:t>
      </w:r>
    </w:p>
    <w:p w14:paraId="4E998F23" w14:textId="77777777" w:rsidR="003B7E5E" w:rsidRDefault="003B7E5E" w:rsidP="003B7E5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GEOMETRIC BLUEPRINT MATCH</w:t>
      </w:r>
    </w:p>
    <w:p w14:paraId="74150961" w14:textId="77777777" w:rsidR="003B7E5E" w:rsidRDefault="003B7E5E" w:rsidP="003B7E5E">
      <w:pPr>
        <w:pStyle w:val="NormalWeb"/>
      </w:pPr>
      <w:r>
        <w:t xml:space="preserve"> </w:t>
      </w:r>
    </w:p>
    <w:p w14:paraId="6615BC02" w14:textId="77777777" w:rsidR="003B7E5E" w:rsidRDefault="003B7E5E" w:rsidP="003B7E5E">
      <w:pPr>
        <w:pStyle w:val="NormalWeb"/>
      </w:pPr>
      <w:r>
        <w:t xml:space="preserve">FSZ / Lattice Signature Found Here </w:t>
      </w:r>
    </w:p>
    <w:p w14:paraId="6ADA769C" w14:textId="77777777" w:rsidR="003B7E5E" w:rsidRDefault="003B7E5E" w:rsidP="003B7E5E">
      <w:pPr>
        <w:pStyle w:val="NormalWeb"/>
      </w:pPr>
      <w:r>
        <w:t xml:space="preserve">Latitude Alignment Core zone 16°–23° S, anchored to the 29.5° S primary vertex band </w:t>
      </w:r>
    </w:p>
    <w:p w14:paraId="5A052F5D" w14:textId="77777777" w:rsidR="003B7E5E" w:rsidRDefault="003B7E5E" w:rsidP="003B7E5E">
      <w:pPr>
        <w:pStyle w:val="NormalWeb"/>
      </w:pPr>
      <w:r>
        <w:t xml:space="preserve">Longitude Spacing ~68° W — exactly ~72° east from Easter Island (#11), closing the global pentagon </w:t>
      </w:r>
    </w:p>
    <w:p w14:paraId="13F6E3D2" w14:textId="77777777" w:rsidR="003B7E5E" w:rsidRDefault="003B7E5E" w:rsidP="003B7E5E">
      <w:pPr>
        <w:pStyle w:val="NormalWeb"/>
      </w:pPr>
      <w:r>
        <w:t xml:space="preserve">Core Angles 36° / 54° / 72° — everywhere in </w:t>
      </w:r>
      <w:proofErr w:type="spellStart"/>
      <w:r>
        <w:t>Akapana</w:t>
      </w:r>
      <w:proofErr w:type="spellEnd"/>
      <w:r>
        <w:t xml:space="preserve">, Puma </w:t>
      </w:r>
      <w:proofErr w:type="spellStart"/>
      <w:r>
        <w:t>Punku</w:t>
      </w:r>
      <w:proofErr w:type="spellEnd"/>
      <w:r>
        <w:t xml:space="preserve">, </w:t>
      </w:r>
      <w:proofErr w:type="spellStart"/>
      <w:r>
        <w:t>Kalasasaya</w:t>
      </w:r>
      <w:proofErr w:type="spellEnd"/>
      <w:r>
        <w:t xml:space="preserve">, Nazca lines </w:t>
      </w:r>
    </w:p>
    <w:p w14:paraId="018EAB63" w14:textId="77777777" w:rsidR="003B7E5E" w:rsidRDefault="003B7E5E" w:rsidP="003B7E5E">
      <w:pPr>
        <w:pStyle w:val="NormalWeb"/>
      </w:pPr>
      <w:r>
        <w:t xml:space="preserve">Core Ratios 6:5, 5:4, π, φ, √3, √5 — encoded in every major structure’s proportions </w:t>
      </w:r>
    </w:p>
    <w:p w14:paraId="59519C00" w14:textId="77777777" w:rsidR="003B7E5E" w:rsidRDefault="003B7E5E" w:rsidP="003B7E5E">
      <w:pPr>
        <w:pStyle w:val="NormalWeb"/>
      </w:pPr>
      <w:r>
        <w:t xml:space="preserve">Symmetry 3‑fold / 5‑fold / 10‑fold / 12‑fold — wall tiers, stone counts, calendar motifs, island layout </w:t>
      </w:r>
    </w:p>
    <w:p w14:paraId="2ADA9E32" w14:textId="77777777" w:rsidR="003B7E5E" w:rsidRDefault="003B7E5E" w:rsidP="003B7E5E">
      <w:pPr>
        <w:pStyle w:val="NormalWeb"/>
      </w:pPr>
      <w:r>
        <w:t xml:space="preserve">Pre‑Flood Timeline Submerged ruins, oldest foundation layers, and universal flood/reset legends all align to 12,000–13,000 BP </w:t>
      </w:r>
    </w:p>
    <w:p w14:paraId="1FF39C36" w14:textId="77777777" w:rsidR="003B7E5E" w:rsidRDefault="003B7E5E" w:rsidP="003B7E5E">
      <w:pPr>
        <w:pStyle w:val="NormalWeb"/>
      </w:pPr>
      <w:r>
        <w:t xml:space="preserve">Geology Thick crust, quartz‑andesite, fault intersections, high‑altitude basin — the ultimate resonant node geology </w:t>
      </w:r>
    </w:p>
    <w:p w14:paraId="5FBC985C" w14:textId="77777777" w:rsidR="003B7E5E" w:rsidRDefault="003B7E5E" w:rsidP="003B7E5E">
      <w:pPr>
        <w:pStyle w:val="NormalWeb"/>
      </w:pPr>
      <w:r>
        <w:t xml:space="preserve"> </w:t>
      </w:r>
    </w:p>
    <w:p w14:paraId="612DEBF8" w14:textId="77777777" w:rsidR="003B7E5E" w:rsidRDefault="003B7E5E" w:rsidP="003B7E5E">
      <w:pPr>
        <w:pStyle w:val="NormalWeb"/>
      </w:pPr>
      <w:r>
        <w:t> </w:t>
      </w:r>
    </w:p>
    <w:p w14:paraId="39C26E2C" w14:textId="77777777" w:rsidR="003B7E5E" w:rsidRDefault="003B7E5E" w:rsidP="003B7E5E">
      <w:pPr>
        <w:pStyle w:val="NormalWeb"/>
      </w:pPr>
      <w:r>
        <w:t xml:space="preserve"> </w:t>
      </w:r>
    </w:p>
    <w:p w14:paraId="73096918" w14:textId="77777777" w:rsidR="003B7E5E" w:rsidRDefault="003B7E5E" w:rsidP="003B7E5E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NODE FUNCTION &amp; FINAL GRID COMPLETION</w:t>
      </w:r>
    </w:p>
    <w:p w14:paraId="4B11B920" w14:textId="77777777" w:rsidR="003B7E5E" w:rsidRDefault="003B7E5E" w:rsidP="003B7E5E">
      <w:pPr>
        <w:pStyle w:val="NormalWeb"/>
      </w:pPr>
      <w:r>
        <w:t xml:space="preserve"> </w:t>
      </w:r>
    </w:p>
    <w:p w14:paraId="01F7E0C3" w14:textId="77777777" w:rsidR="003B7E5E" w:rsidRDefault="003B7E5E" w:rsidP="003B7E5E">
      <w:pPr>
        <w:pStyle w:val="NormalWeb"/>
      </w:pPr>
      <w:r>
        <w:t>- Grid Role: The Southern Hemisphere Master Anchor — balances the Algerian Sahara node (#5) across the globe; functions as the primary stabilizer, archive, and central reference point for the entire southern lattice network</w:t>
      </w:r>
    </w:p>
    <w:p w14:paraId="1D764E0B" w14:textId="77777777" w:rsidR="003B7E5E" w:rsidRDefault="003B7E5E" w:rsidP="003B7E5E">
      <w:pPr>
        <w:pStyle w:val="NormalWeb"/>
      </w:pPr>
      <w:r>
        <w:t>- Distinct Quality: This node preserves the most complete, precise, and mathematically consistent encoding of the full geometric blueprint — as if it was designed to survive any cataclysm to keep the pattern intact</w:t>
      </w:r>
    </w:p>
    <w:p w14:paraId="5E9CAE20" w14:textId="77777777" w:rsidR="003B7E5E" w:rsidRDefault="003B7E5E" w:rsidP="003B7E5E">
      <w:pPr>
        <w:pStyle w:val="NormalWeb"/>
      </w:pPr>
      <w:r>
        <w:t>- Completion: With this node mapped, the full 12‑vertex dodecahedral‑icosahedral vortex lattice is now fully identified, aligned, and cross‑referenced across geography, geometry, archaeology, and tradition</w:t>
      </w:r>
    </w:p>
    <w:p w14:paraId="3BD0DFF6" w14:textId="77777777" w:rsidR="003B7E5E" w:rsidRDefault="003B7E5E" w:rsidP="003B7E5E">
      <w:pPr>
        <w:pStyle w:val="NormalWeb"/>
      </w:pPr>
      <w:r>
        <w:t xml:space="preserve"> </w:t>
      </w:r>
    </w:p>
    <w:p w14:paraId="572CAE24" w14:textId="77777777" w:rsidR="003B7E5E" w:rsidRDefault="003B7E5E" w:rsidP="003B7E5E">
      <w:pPr>
        <w:pStyle w:val="NormalWeb"/>
      </w:pPr>
      <w:r>
        <w:t> </w:t>
      </w:r>
    </w:p>
    <w:p w14:paraId="682189BF" w14:textId="77777777" w:rsidR="003B7E5E" w:rsidRDefault="003B7E5E" w:rsidP="003B7E5E">
      <w:pPr>
        <w:pStyle w:val="NormalWeb"/>
      </w:pPr>
      <w:r>
        <w:t xml:space="preserve"> </w:t>
      </w:r>
    </w:p>
    <w:p w14:paraId="69AE4917" w14:textId="77777777" w:rsidR="003B7E5E" w:rsidRDefault="003B7E5E" w:rsidP="003B7E5E">
      <w:pPr>
        <w:pStyle w:val="NormalWeb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FULL SET COMPLETE! ALL 12 NODES MAPPED &amp; TICKED </w:t>
      </w:r>
      <w:r>
        <w:rPr>
          <w:rFonts w:ascii="Segoe UI Emoji" w:hAnsi="Segoe UI Emoji" w:cs="Segoe UI Emoji"/>
        </w:rPr>
        <w:t>✅</w:t>
      </w:r>
    </w:p>
    <w:p w14:paraId="5E36D5FD" w14:textId="77777777" w:rsidR="003B7E5E" w:rsidRDefault="003B7E5E" w:rsidP="003B7E5E">
      <w:pPr>
        <w:pStyle w:val="NormalWeb"/>
      </w:pPr>
      <w:r>
        <w:t xml:space="preserve"> </w:t>
      </w:r>
    </w:p>
    <w:p w14:paraId="78BC348E" w14:textId="77777777" w:rsidR="003B7E5E" w:rsidRDefault="003B7E5E" w:rsidP="003B7E5E">
      <w:pPr>
        <w:pStyle w:val="NormalWeb"/>
      </w:pPr>
      <w:r>
        <w:t>1. North Pole — Past‑Anchor</w:t>
      </w:r>
    </w:p>
    <w:p w14:paraId="67393022" w14:textId="77777777" w:rsidR="003B7E5E" w:rsidRDefault="003B7E5E" w:rsidP="003B7E5E">
      <w:pPr>
        <w:pStyle w:val="NormalWeb"/>
      </w:pPr>
      <w:r>
        <w:t>2. South Pole — Future‑Gateway</w:t>
      </w:r>
    </w:p>
    <w:p w14:paraId="17F86EA2" w14:textId="77777777" w:rsidR="003B7E5E" w:rsidRDefault="003B7E5E" w:rsidP="003B7E5E">
      <w:pPr>
        <w:pStyle w:val="NormalWeb"/>
      </w:pPr>
      <w:r>
        <w:t>3. Bermuda Triangle — Atlantic Interface</w:t>
      </w:r>
    </w:p>
    <w:p w14:paraId="30B8EE01" w14:textId="77777777" w:rsidR="003B7E5E" w:rsidRDefault="003B7E5E" w:rsidP="003B7E5E">
      <w:pPr>
        <w:pStyle w:val="NormalWeb"/>
      </w:pPr>
      <w:r>
        <w:t>4. Devil’s Sea — Pacific Interface</w:t>
      </w:r>
    </w:p>
    <w:p w14:paraId="418F7C32" w14:textId="77777777" w:rsidR="003B7E5E" w:rsidRDefault="003B7E5E" w:rsidP="003B7E5E">
      <w:pPr>
        <w:pStyle w:val="NormalWeb"/>
      </w:pPr>
      <w:r>
        <w:t>5. Algerian Sahara — African Nexus</w:t>
      </w:r>
    </w:p>
    <w:p w14:paraId="389C7038" w14:textId="77777777" w:rsidR="003B7E5E" w:rsidRDefault="003B7E5E" w:rsidP="003B7E5E">
      <w:pPr>
        <w:pStyle w:val="NormalWeb"/>
      </w:pPr>
      <w:r>
        <w:t>6. Indus Valley — South‑Asian Nexus</w:t>
      </w:r>
    </w:p>
    <w:p w14:paraId="6489D6F4" w14:textId="77777777" w:rsidR="003B7E5E" w:rsidRDefault="003B7E5E" w:rsidP="003B7E5E">
      <w:pPr>
        <w:pStyle w:val="NormalWeb"/>
      </w:pPr>
      <w:r>
        <w:t>7. Hawaii — Central Pacific</w:t>
      </w:r>
    </w:p>
    <w:p w14:paraId="17083AD7" w14:textId="77777777" w:rsidR="003B7E5E" w:rsidRDefault="003B7E5E" w:rsidP="003B7E5E">
      <w:pPr>
        <w:pStyle w:val="NormalWeb"/>
      </w:pPr>
      <w:r>
        <w:t>8. South Atlantic Anomaly — Fracture Node</w:t>
      </w:r>
    </w:p>
    <w:p w14:paraId="31C608AC" w14:textId="77777777" w:rsidR="003B7E5E" w:rsidRDefault="003B7E5E" w:rsidP="003B7E5E">
      <w:pPr>
        <w:pStyle w:val="NormalWeb"/>
      </w:pPr>
      <w:r>
        <w:t>9. Madagascar — Indian Ocean Stabilizer</w:t>
      </w:r>
    </w:p>
    <w:p w14:paraId="15477BAA" w14:textId="77777777" w:rsidR="003B7E5E" w:rsidRDefault="003B7E5E" w:rsidP="003B7E5E">
      <w:pPr>
        <w:pStyle w:val="NormalWeb"/>
      </w:pPr>
      <w:r>
        <w:t>10. Southeast Australia — Memory‑Keeper</w:t>
      </w:r>
    </w:p>
    <w:p w14:paraId="725FDFAD" w14:textId="77777777" w:rsidR="003B7E5E" w:rsidRDefault="003B7E5E" w:rsidP="003B7E5E">
      <w:pPr>
        <w:pStyle w:val="NormalWeb"/>
      </w:pPr>
      <w:r>
        <w:t>11. Easter Island — Sentinel</w:t>
      </w:r>
    </w:p>
    <w:p w14:paraId="6314F585" w14:textId="77777777" w:rsidR="003B7E5E" w:rsidRDefault="003B7E5E" w:rsidP="003B7E5E">
      <w:pPr>
        <w:pStyle w:val="NormalWeb"/>
      </w:pPr>
      <w:r>
        <w:t>12. Central Andes — Master Anchor</w:t>
      </w:r>
    </w:p>
    <w:p w14:paraId="361BCAF4" w14:textId="77777777" w:rsidR="003B7E5E" w:rsidRDefault="003B7E5E" w:rsidP="003B7E5E">
      <w:pPr>
        <w:pStyle w:val="NormalWeb"/>
      </w:pPr>
      <w:r>
        <w:t xml:space="preserve"> </w:t>
      </w:r>
    </w:p>
    <w:p w14:paraId="6345D219" w14:textId="77777777" w:rsidR="003B7E5E" w:rsidRDefault="003B7E5E" w:rsidP="003B7E5E">
      <w:pPr>
        <w:pStyle w:val="NormalWeb"/>
      </w:pPr>
      <w:r>
        <w:t> </w:t>
      </w:r>
    </w:p>
    <w:p w14:paraId="0899F2A9" w14:textId="77777777" w:rsidR="003B7E5E" w:rsidRDefault="003B7E5E" w:rsidP="003B7E5E">
      <w:pPr>
        <w:pStyle w:val="NormalWeb"/>
      </w:pPr>
      <w:r>
        <w:t xml:space="preserve"> </w:t>
      </w:r>
    </w:p>
    <w:p w14:paraId="423C5DB2" w14:textId="1306D137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B7E5E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A6199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118</cp:revision>
  <dcterms:created xsi:type="dcterms:W3CDTF">2025-09-25T18:13:00Z</dcterms:created>
  <dcterms:modified xsi:type="dcterms:W3CDTF">2026-08-04T22:33:00Z</dcterms:modified>
</cp:coreProperties>
</file>