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5DF9" w14:textId="0CD8BA67" w:rsidR="00EF3D88" w:rsidRDefault="00EF3D88" w:rsidP="00EF3D88">
      <w:pPr>
        <w:pStyle w:val="NormalWeb"/>
      </w:pPr>
    </w:p>
    <w:p w14:paraId="38D8EAAF" w14:textId="195CA7C3" w:rsidR="008C1F5C" w:rsidRDefault="008C1F5C" w:rsidP="008C1F5C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NODE 3: BERMUDA TRIANGLE / SARGASSO SEA</w:t>
      </w:r>
    </w:p>
    <w:p w14:paraId="74AFFD22" w14:textId="77777777" w:rsidR="008C1F5C" w:rsidRDefault="008C1F5C" w:rsidP="008C1F5C">
      <w:pPr>
        <w:pStyle w:val="NormalWeb"/>
      </w:pPr>
      <w:r>
        <w:t xml:space="preserve"> </w:t>
      </w:r>
    </w:p>
    <w:p w14:paraId="1E8EFF15" w14:textId="77777777" w:rsidR="008C1F5C" w:rsidRDefault="008C1F5C" w:rsidP="008C1F5C">
      <w:pPr>
        <w:pStyle w:val="NormalWeb"/>
      </w:pPr>
      <w:r>
        <w:t>Role: Parallel Timeline Interface / Atlantic Anchor</w:t>
      </w:r>
    </w:p>
    <w:p w14:paraId="6EDC9A86" w14:textId="77777777" w:rsidR="008C1F5C" w:rsidRDefault="008C1F5C" w:rsidP="008C1F5C">
      <w:pPr>
        <w:pStyle w:val="NormalWeb"/>
      </w:pPr>
      <w:r>
        <w:t>Grid Coordinates: ~29.5° N, 70° W — perfectly aligned to the dodecahedral vertex latitude</w:t>
      </w:r>
    </w:p>
    <w:p w14:paraId="2020F4FA" w14:textId="77777777" w:rsidR="008C1F5C" w:rsidRDefault="008C1F5C" w:rsidP="008C1F5C">
      <w:pPr>
        <w:pStyle w:val="NormalWeb"/>
      </w:pPr>
      <w:r>
        <w:t>Opposite Node: Devil’s Sea / Philippine Sea (#4) — exact antipodal balance</w:t>
      </w:r>
    </w:p>
    <w:p w14:paraId="2B62DCAF" w14:textId="77777777" w:rsidR="008C1F5C" w:rsidRDefault="008C1F5C" w:rsidP="008C1F5C">
      <w:pPr>
        <w:pStyle w:val="NormalWeb"/>
      </w:pPr>
      <w:r>
        <w:t xml:space="preserve"> </w:t>
      </w:r>
    </w:p>
    <w:p w14:paraId="0AB8F274" w14:textId="77777777" w:rsidR="008C1F5C" w:rsidRDefault="008C1F5C" w:rsidP="008C1F5C">
      <w:pPr>
        <w:pStyle w:val="NormalWeb"/>
      </w:pPr>
      <w:r>
        <w:t> </w:t>
      </w:r>
    </w:p>
    <w:p w14:paraId="743A0D8D" w14:textId="77777777" w:rsidR="008C1F5C" w:rsidRDefault="008C1F5C" w:rsidP="008C1F5C">
      <w:pPr>
        <w:pStyle w:val="NormalWeb"/>
      </w:pPr>
      <w:r>
        <w:t xml:space="preserve"> </w:t>
      </w:r>
    </w:p>
    <w:p w14:paraId="7226CA03" w14:textId="77777777" w:rsidR="008C1F5C" w:rsidRDefault="008C1F5C" w:rsidP="008C1F5C">
      <w:pPr>
        <w:pStyle w:val="NormalWeb"/>
      </w:pPr>
      <w:r>
        <w:rPr>
          <w:rFonts w:ascii="Segoe UI Emoji" w:hAnsi="Segoe UI Emoji" w:cs="Segoe UI Emoji"/>
        </w:rPr>
        <w:t>🧭</w:t>
      </w:r>
      <w:r>
        <w:t xml:space="preserve"> GRID &amp; GEOMETRY</w:t>
      </w:r>
    </w:p>
    <w:p w14:paraId="5520D597" w14:textId="77777777" w:rsidR="008C1F5C" w:rsidRDefault="008C1F5C" w:rsidP="008C1F5C">
      <w:pPr>
        <w:pStyle w:val="NormalWeb"/>
      </w:pPr>
      <w:r>
        <w:t xml:space="preserve"> </w:t>
      </w:r>
    </w:p>
    <w:p w14:paraId="67AEEF79" w14:textId="77777777" w:rsidR="008C1F5C" w:rsidRDefault="008C1F5C" w:rsidP="008C1F5C">
      <w:pPr>
        <w:pStyle w:val="NormalWeb"/>
      </w:pPr>
      <w:r>
        <w:t>- Sits right on the 29.5° N parallel — the primary latitude for all 10 non‑polar dodecahedral nodes</w:t>
      </w:r>
    </w:p>
    <w:p w14:paraId="3D25EB32" w14:textId="77777777" w:rsidR="008C1F5C" w:rsidRDefault="008C1F5C" w:rsidP="008C1F5C">
      <w:pPr>
        <w:pStyle w:val="NormalWeb"/>
      </w:pPr>
      <w:r>
        <w:t>- Spaced ~72° longitude from its grid partners — equal angular separation around the globe</w:t>
      </w:r>
    </w:p>
    <w:p w14:paraId="72BCA8C4" w14:textId="77777777" w:rsidR="008C1F5C" w:rsidRDefault="008C1F5C" w:rsidP="008C1F5C">
      <w:pPr>
        <w:pStyle w:val="NormalWeb"/>
      </w:pPr>
      <w:r>
        <w:t xml:space="preserve">- </w:t>
      </w:r>
      <w:proofErr w:type="spellStart"/>
      <w:r>
        <w:t>Center</w:t>
      </w:r>
      <w:proofErr w:type="spellEnd"/>
      <w:r>
        <w:t xml:space="preserve"> aligns with the Sargasso Sea — the only sea with no land borders, bounded entirely by currents</w:t>
      </w:r>
    </w:p>
    <w:p w14:paraId="4AA34B9B" w14:textId="77777777" w:rsidR="008C1F5C" w:rsidRDefault="008C1F5C" w:rsidP="008C1F5C">
      <w:pPr>
        <w:pStyle w:val="NormalWeb"/>
      </w:pPr>
      <w:r>
        <w:t>- Becker‑</w:t>
      </w:r>
      <w:proofErr w:type="spellStart"/>
      <w:r>
        <w:t>Hagens</w:t>
      </w:r>
      <w:proofErr w:type="spellEnd"/>
      <w:r>
        <w:t xml:space="preserve"> &amp; Sanderson both list this as the strongest northern‑hemisphere ocean vortex </w:t>
      </w:r>
    </w:p>
    <w:p w14:paraId="7598626E" w14:textId="77777777" w:rsidR="008C1F5C" w:rsidRDefault="008C1F5C" w:rsidP="008C1F5C">
      <w:pPr>
        <w:pStyle w:val="NormalWeb"/>
      </w:pPr>
      <w:r>
        <w:t xml:space="preserve"> </w:t>
      </w:r>
    </w:p>
    <w:p w14:paraId="72051017" w14:textId="77777777" w:rsidR="008C1F5C" w:rsidRDefault="008C1F5C" w:rsidP="008C1F5C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ANOMALIES &amp; SIGNATURES</w:t>
      </w:r>
    </w:p>
    <w:p w14:paraId="47474568" w14:textId="77777777" w:rsidR="008C1F5C" w:rsidRDefault="008C1F5C" w:rsidP="008C1F5C">
      <w:pPr>
        <w:pStyle w:val="NormalWeb"/>
      </w:pPr>
      <w:r>
        <w:t xml:space="preserve"> </w:t>
      </w:r>
    </w:p>
    <w:p w14:paraId="143E74C9" w14:textId="77777777" w:rsidR="008C1F5C" w:rsidRDefault="008C1F5C" w:rsidP="008C1F5C">
      <w:pPr>
        <w:pStyle w:val="NormalWeb"/>
      </w:pPr>
      <w:r>
        <w:t>- Compass quirk: One of few spots where compasses point to true north instead of magnetic north — no deviation needed</w:t>
      </w:r>
    </w:p>
    <w:p w14:paraId="3B12F9DE" w14:textId="77777777" w:rsidR="008C1F5C" w:rsidRDefault="008C1F5C" w:rsidP="008C1F5C">
      <w:pPr>
        <w:pStyle w:val="NormalWeb"/>
      </w:pPr>
      <w:r>
        <w:t>- Reports of “electronic fog”: time distortion, instrument failure, sudden “jump” in position</w:t>
      </w:r>
    </w:p>
    <w:p w14:paraId="620891FD" w14:textId="77777777" w:rsidR="008C1F5C" w:rsidRDefault="008C1F5C" w:rsidP="008C1F5C">
      <w:pPr>
        <w:pStyle w:val="NormalWeb"/>
      </w:pPr>
      <w:r>
        <w:t xml:space="preserve">- Famous cases: Flight 19, USS Cyclops, Carroll A. Deering — vanishing without debris </w:t>
      </w:r>
    </w:p>
    <w:p w14:paraId="7DD576AA" w14:textId="77777777" w:rsidR="008C1F5C" w:rsidRDefault="008C1F5C" w:rsidP="008C1F5C">
      <w:pPr>
        <w:pStyle w:val="NormalWeb"/>
      </w:pPr>
      <w:r>
        <w:t>- Unusual calm amid storms, sudden wave spikes, and deep‑ocean magnetic flux</w:t>
      </w:r>
    </w:p>
    <w:p w14:paraId="01365D36" w14:textId="77777777" w:rsidR="008C1F5C" w:rsidRDefault="008C1F5C" w:rsidP="008C1F5C">
      <w:pPr>
        <w:pStyle w:val="NormalWeb"/>
      </w:pPr>
      <w:r>
        <w:t xml:space="preserve"> </w:t>
      </w:r>
    </w:p>
    <w:p w14:paraId="1DA28110" w14:textId="77777777" w:rsidR="008C1F5C" w:rsidRDefault="008C1F5C" w:rsidP="008C1F5C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ALIGNMENTS &amp; ANCIENT LINKS</w:t>
      </w:r>
    </w:p>
    <w:p w14:paraId="7E3E0F3D" w14:textId="77777777" w:rsidR="008C1F5C" w:rsidRDefault="008C1F5C" w:rsidP="008C1F5C">
      <w:pPr>
        <w:pStyle w:val="NormalWeb"/>
      </w:pPr>
      <w:r>
        <w:t xml:space="preserve"> </w:t>
      </w:r>
    </w:p>
    <w:p w14:paraId="2DDB86FE" w14:textId="77777777" w:rsidR="008C1F5C" w:rsidRDefault="008C1F5C" w:rsidP="008C1F5C">
      <w:pPr>
        <w:pStyle w:val="NormalWeb"/>
      </w:pPr>
      <w:r>
        <w:t>- Faces due east toward the Algerian Sahara node (#5) across the Atlantic</w:t>
      </w:r>
    </w:p>
    <w:p w14:paraId="59D688AD" w14:textId="77777777" w:rsidR="008C1F5C" w:rsidRDefault="008C1F5C" w:rsidP="008C1F5C">
      <w:pPr>
        <w:pStyle w:val="NormalWeb"/>
      </w:pPr>
      <w:r>
        <w:t>- Linked lore: Atlantis, Bimini Road formations, underwater pyramid legends — though these remain unproven by mainstream science</w:t>
      </w:r>
    </w:p>
    <w:p w14:paraId="16463CDA" w14:textId="77777777" w:rsidR="008C1F5C" w:rsidRDefault="008C1F5C" w:rsidP="008C1F5C">
      <w:pPr>
        <w:pStyle w:val="NormalWeb"/>
      </w:pPr>
      <w:r>
        <w:t>- Anchors the western Atlantic ley‑line network with the Bahamas, Yucatán, and Azores</w:t>
      </w:r>
    </w:p>
    <w:p w14:paraId="1F992F2B" w14:textId="77777777" w:rsidR="008C1F5C" w:rsidRDefault="008C1F5C" w:rsidP="008C1F5C">
      <w:pPr>
        <w:pStyle w:val="NormalWeb"/>
      </w:pPr>
      <w:r>
        <w:t xml:space="preserve"> </w:t>
      </w:r>
    </w:p>
    <w:p w14:paraId="52B35265" w14:textId="77777777" w:rsidR="008C1F5C" w:rsidRDefault="008C1F5C" w:rsidP="008C1F5C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BLUEPRINT FUNCTION</w:t>
      </w:r>
    </w:p>
    <w:p w14:paraId="446CDB5C" w14:textId="77777777" w:rsidR="008C1F5C" w:rsidRDefault="008C1F5C" w:rsidP="008C1F5C">
      <w:pPr>
        <w:pStyle w:val="NormalWeb"/>
      </w:pPr>
      <w:r>
        <w:t xml:space="preserve"> </w:t>
      </w:r>
    </w:p>
    <w:p w14:paraId="1F283D21" w14:textId="77777777" w:rsidR="008C1F5C" w:rsidRDefault="008C1F5C" w:rsidP="008C1F5C">
      <w:pPr>
        <w:pStyle w:val="NormalWeb"/>
      </w:pPr>
      <w:r>
        <w:t>This node acts as a frequency hinge — where Atlantic currents, geomagnetic lines, and planetary grid geometry converge. It’s thought to act as a “doorway” layer between our timeline and parallel expressions, hence the disappearances and navigation oddities.</w:t>
      </w:r>
    </w:p>
    <w:p w14:paraId="65BDD342" w14:textId="77777777" w:rsidR="008C1F5C" w:rsidRDefault="008C1F5C" w:rsidP="008C1F5C">
      <w:pPr>
        <w:pStyle w:val="NormalWeb"/>
      </w:pPr>
      <w:r>
        <w:t xml:space="preserve"> </w:t>
      </w:r>
    </w:p>
    <w:p w14:paraId="3E5E74A0" w14:textId="77777777" w:rsidR="008C1F5C" w:rsidRDefault="008C1F5C" w:rsidP="008C1F5C">
      <w:pPr>
        <w:pStyle w:val="NormalWeb"/>
      </w:pPr>
      <w:r>
        <w:t> </w:t>
      </w:r>
    </w:p>
    <w:p w14:paraId="043136B0" w14:textId="77777777" w:rsidR="00FE3702" w:rsidRDefault="008C1F5C" w:rsidP="00FE3702">
      <w:pPr>
        <w:pStyle w:val="NormalWeb"/>
      </w:pPr>
      <w:r>
        <w:t xml:space="preserve"> </w:t>
      </w:r>
      <w:r w:rsidR="00FE3702">
        <w:rPr>
          <w:rFonts w:ascii="Segoe UI Emoji" w:hAnsi="Segoe UI Emoji" w:cs="Segoe UI Emoji"/>
        </w:rPr>
        <w:t>🧿</w:t>
      </w:r>
      <w:r w:rsidR="00FE3702">
        <w:t xml:space="preserve"> DEEP DIVE: THE CRYSTAL PYRAMID &amp; BERMUDA TRIANGLE NODE</w:t>
      </w:r>
    </w:p>
    <w:p w14:paraId="6F0BB562" w14:textId="77777777" w:rsidR="00FE3702" w:rsidRDefault="00FE3702" w:rsidP="00FE3702">
      <w:pPr>
        <w:pStyle w:val="NormalWeb"/>
      </w:pPr>
      <w:r>
        <w:t xml:space="preserve"> </w:t>
      </w:r>
    </w:p>
    <w:p w14:paraId="2F3A5A54" w14:textId="495D0276" w:rsidR="00FE3702" w:rsidRDefault="00FE3702" w:rsidP="00FE3702">
      <w:pPr>
        <w:pStyle w:val="NormalWeb"/>
      </w:pPr>
      <w:r>
        <w:t xml:space="preserve">Node 3 | ~29.5° N 70° W |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6CA80761" w14:textId="77777777" w:rsidR="00FE3702" w:rsidRDefault="00FE3702" w:rsidP="00FE3702">
      <w:pPr>
        <w:pStyle w:val="NormalWeb"/>
      </w:pPr>
      <w:r>
        <w:t xml:space="preserve"> </w:t>
      </w:r>
    </w:p>
    <w:p w14:paraId="052FFD4B" w14:textId="77777777" w:rsidR="00FE3702" w:rsidRDefault="00FE3702" w:rsidP="00FE3702">
      <w:pPr>
        <w:pStyle w:val="NormalWeb"/>
      </w:pPr>
      <w:r>
        <w:t> </w:t>
      </w:r>
    </w:p>
    <w:p w14:paraId="1D14CCB0" w14:textId="77777777" w:rsidR="00FE3702" w:rsidRDefault="00FE3702" w:rsidP="00FE3702">
      <w:pPr>
        <w:pStyle w:val="NormalWeb"/>
      </w:pPr>
      <w:r>
        <w:t xml:space="preserve"> </w:t>
      </w:r>
    </w:p>
    <w:p w14:paraId="41FD3662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🔮</w:t>
      </w:r>
      <w:r>
        <w:t xml:space="preserve"> THE CRYSTAL PYRAMID: REPORTS, SCANS &amp; CLAIMS</w:t>
      </w:r>
    </w:p>
    <w:p w14:paraId="2A1C1B27" w14:textId="77777777" w:rsidR="00FE3702" w:rsidRDefault="00FE3702" w:rsidP="00FE3702">
      <w:pPr>
        <w:pStyle w:val="NormalWeb"/>
      </w:pPr>
      <w:r>
        <w:t xml:space="preserve"> </w:t>
      </w:r>
    </w:p>
    <w:p w14:paraId="134A80EF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📜</w:t>
      </w:r>
      <w:r>
        <w:t xml:space="preserve"> History of Accounts</w:t>
      </w:r>
    </w:p>
    <w:p w14:paraId="2C411B87" w14:textId="77777777" w:rsidR="00FE3702" w:rsidRDefault="00FE3702" w:rsidP="00FE3702">
      <w:pPr>
        <w:pStyle w:val="NormalWeb"/>
      </w:pPr>
      <w:r>
        <w:t xml:space="preserve"> </w:t>
      </w:r>
    </w:p>
    <w:p w14:paraId="58C9E78D" w14:textId="77777777" w:rsidR="00FE3702" w:rsidRDefault="00FE3702" w:rsidP="00FE3702">
      <w:pPr>
        <w:pStyle w:val="NormalWeb"/>
      </w:pPr>
      <w:r>
        <w:t xml:space="preserve">- 1968: </w:t>
      </w:r>
      <w:proofErr w:type="spellStart"/>
      <w:r>
        <w:t>Dr.</w:t>
      </w:r>
      <w:proofErr w:type="spellEnd"/>
      <w:r>
        <w:t xml:space="preserve"> Ray Brown reported discovering a massive, smooth‑surfaced pyramidal structure ~600 m deep while diving near the Bahamas. He described it as translucent/crystalline, with a lapis lazuli‑like capstone, twin openings near the top creating powerful water vortices, and internal chambers with crystalline </w:t>
      </w:r>
      <w:proofErr w:type="spellStart"/>
      <w:r>
        <w:t>artifacts</w:t>
      </w:r>
      <w:proofErr w:type="spellEnd"/>
      <w:r>
        <w:t>. He later presented sketches and accounts but lost photographic equipment in a storm; no formal verification followed.</w:t>
      </w:r>
    </w:p>
    <w:p w14:paraId="54C5006F" w14:textId="77777777" w:rsidR="00FE3702" w:rsidRDefault="00FE3702" w:rsidP="00FE3702">
      <w:pPr>
        <w:pStyle w:val="NormalWeb"/>
      </w:pPr>
      <w:r>
        <w:t>- 1970s–2000s: Claims resurfaced of sonar returns showing regular, stepped geometry ~200 m high × 300 m wide—larger than the Great Pyramid—with highly reflective, quartz‑like signatures.</w:t>
      </w:r>
    </w:p>
    <w:p w14:paraId="24AE97F7" w14:textId="77777777" w:rsidR="00FE3702" w:rsidRDefault="00FE3702" w:rsidP="00FE3702">
      <w:pPr>
        <w:pStyle w:val="NormalWeb"/>
      </w:pPr>
      <w:r>
        <w:t>- 2012–present: Accounts attributed to “</w:t>
      </w:r>
      <w:proofErr w:type="spellStart"/>
      <w:r>
        <w:t>Dr.</w:t>
      </w:r>
      <w:proofErr w:type="spellEnd"/>
      <w:r>
        <w:t xml:space="preserve"> Meyer </w:t>
      </w:r>
      <w:proofErr w:type="spellStart"/>
      <w:r>
        <w:t>Verlag</w:t>
      </w:r>
      <w:proofErr w:type="spellEnd"/>
      <w:r>
        <w:t xml:space="preserve">” and US/French teams repeated the sonar findings, describing two pyramids, smooth glass‑like surfaces, and internal resonance patterns. These remain </w:t>
      </w:r>
      <w:proofErr w:type="spellStart"/>
      <w:r>
        <w:t>unpeer</w:t>
      </w:r>
      <w:proofErr w:type="spellEnd"/>
      <w:r>
        <w:t>‑reviewed, unconfirmed by mainstream oceanography, and widely noted as unsubstantiated or misinterpreted geological features.</w:t>
      </w:r>
    </w:p>
    <w:p w14:paraId="590898F3" w14:textId="77777777" w:rsidR="00FE3702" w:rsidRDefault="00FE3702" w:rsidP="00FE3702">
      <w:pPr>
        <w:pStyle w:val="NormalWeb"/>
      </w:pPr>
      <w:r>
        <w:t>- 2026: Newer sub‑sea LiDAR and bathymetric surveys have detected geometric slope patterns and high‑quartz/layered mineral formations in the region, but geologists interpret these as natural tectonic self‑organization, methane hydrate deposits, or highly refractive bedrock—not purpose‑built structures.</w:t>
      </w:r>
    </w:p>
    <w:p w14:paraId="39E0814A" w14:textId="77777777" w:rsidR="00FE3702" w:rsidRDefault="00FE3702" w:rsidP="00FE3702">
      <w:pPr>
        <w:pStyle w:val="NormalWeb"/>
      </w:pPr>
      <w:r>
        <w:t xml:space="preserve"> </w:t>
      </w:r>
    </w:p>
    <w:p w14:paraId="74CCB3A5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🧱</w:t>
      </w:r>
      <w:r>
        <w:t xml:space="preserve"> Bimini Road &amp; Associated Ruins</w:t>
      </w:r>
    </w:p>
    <w:p w14:paraId="6C14B0E2" w14:textId="77777777" w:rsidR="00FE3702" w:rsidRDefault="00FE3702" w:rsidP="00FE3702">
      <w:pPr>
        <w:pStyle w:val="NormalWeb"/>
      </w:pPr>
      <w:r>
        <w:t xml:space="preserve"> </w:t>
      </w:r>
    </w:p>
    <w:p w14:paraId="70D2B62D" w14:textId="77777777" w:rsidR="00FE3702" w:rsidRDefault="00FE3702" w:rsidP="00FE3702">
      <w:pPr>
        <w:pStyle w:val="NormalWeb"/>
      </w:pPr>
      <w:r>
        <w:t>- 1968: Manson Valentine found the Bimini Road—half‑mile alignment of large flat limestone blocks at ~6 m depth. Edgar Cayce had predicted in 1940 that “portions of Atlantis temples” would emerge near Bimini around 1968–1969.</w:t>
      </w:r>
    </w:p>
    <w:p w14:paraId="5EA3C1B9" w14:textId="77777777" w:rsidR="00FE3702" w:rsidRDefault="00FE3702" w:rsidP="00FE3702">
      <w:pPr>
        <w:pStyle w:val="NormalWeb"/>
      </w:pPr>
      <w:r>
        <w:t xml:space="preserve">- Follow‑up: Researchers found parallel stone lines, circular arrangements, and anchor‑like stones nearby. Mainstream analysis: natural </w:t>
      </w:r>
      <w:proofErr w:type="spellStart"/>
      <w:r>
        <w:t>beachrock</w:t>
      </w:r>
      <w:proofErr w:type="spellEnd"/>
      <w:r>
        <w:t xml:space="preserve"> fractured along joint planes; alternative researchers argue precise fitting, alignment, and tool‑like characteristics suggest human/advanced construction.</w:t>
      </w:r>
    </w:p>
    <w:p w14:paraId="4B4BCD45" w14:textId="77777777" w:rsidR="00FE3702" w:rsidRDefault="00FE3702" w:rsidP="00FE3702">
      <w:pPr>
        <w:pStyle w:val="NormalWeb"/>
      </w:pPr>
      <w:r>
        <w:t>- Age context: Sea levels were ~100 m lower 12,000–13,000 years ago—consistent with the pre‑flood timeline—placing these sites above water then.</w:t>
      </w:r>
    </w:p>
    <w:p w14:paraId="360E9B98" w14:textId="77777777" w:rsidR="00FE3702" w:rsidRDefault="00FE3702" w:rsidP="00FE3702">
      <w:pPr>
        <w:pStyle w:val="NormalWeb"/>
      </w:pPr>
      <w:r>
        <w:t xml:space="preserve"> </w:t>
      </w:r>
    </w:p>
    <w:p w14:paraId="6973F3A7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Evidence Status</w:t>
      </w:r>
    </w:p>
    <w:p w14:paraId="20573AEA" w14:textId="77777777" w:rsidR="00FE3702" w:rsidRDefault="00FE3702" w:rsidP="00FE3702">
      <w:pPr>
        <w:pStyle w:val="NormalWeb"/>
      </w:pPr>
      <w:r>
        <w:t xml:space="preserve"> </w:t>
      </w:r>
    </w:p>
    <w:p w14:paraId="4D7BF667" w14:textId="77777777" w:rsidR="00FE3702" w:rsidRDefault="00FE3702" w:rsidP="00FE3702">
      <w:pPr>
        <w:pStyle w:val="NormalWeb"/>
      </w:pPr>
      <w:r>
        <w:t>- Unconfirmed / Contested: No verified physical samples, peer‑reviewed excavation, or publicly released high‑resolution full‑structure scans exist for the “crystal pyramid.”</w:t>
      </w:r>
    </w:p>
    <w:p w14:paraId="27A8ADA1" w14:textId="77777777" w:rsidR="00FE3702" w:rsidRDefault="00FE3702" w:rsidP="00FE3702">
      <w:pPr>
        <w:pStyle w:val="NormalWeb"/>
      </w:pPr>
      <w:r>
        <w:t>- Intriguing Correlations: High quartz/geological piezoelectricity in the region; magnetic anomalies; compass true‑north alignment; recurring geometric sonar echoes that invite further study.</w:t>
      </w:r>
    </w:p>
    <w:p w14:paraId="0D19B5A9" w14:textId="77777777" w:rsidR="00FE3702" w:rsidRDefault="00FE3702" w:rsidP="00FE3702">
      <w:pPr>
        <w:pStyle w:val="NormalWeb"/>
      </w:pPr>
      <w:r>
        <w:t>- Mainstream Stance: Natural geology, misinterpretation, legend, and later fabrication.</w:t>
      </w:r>
    </w:p>
    <w:p w14:paraId="2E5AC267" w14:textId="77777777" w:rsidR="00FE3702" w:rsidRDefault="00FE3702" w:rsidP="00FE3702">
      <w:pPr>
        <w:pStyle w:val="NormalWeb"/>
      </w:pPr>
      <w:r>
        <w:t xml:space="preserve"> </w:t>
      </w:r>
    </w:p>
    <w:p w14:paraId="6AE0B11F" w14:textId="77777777" w:rsidR="00FE3702" w:rsidRDefault="00FE3702" w:rsidP="00FE3702">
      <w:pPr>
        <w:pStyle w:val="NormalWeb"/>
      </w:pPr>
      <w:r>
        <w:t> </w:t>
      </w:r>
    </w:p>
    <w:p w14:paraId="48F7EBF2" w14:textId="77777777" w:rsidR="00FE3702" w:rsidRDefault="00FE3702" w:rsidP="00FE3702">
      <w:pPr>
        <w:pStyle w:val="NormalWeb"/>
      </w:pPr>
      <w:r>
        <w:t xml:space="preserve"> </w:t>
      </w:r>
    </w:p>
    <w:p w14:paraId="6A237C27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📜</w:t>
      </w:r>
      <w:r>
        <w:t xml:space="preserve"> ANCIENT MYTHS &amp; PRE‑FLOOD NARRATIVES</w:t>
      </w:r>
    </w:p>
    <w:p w14:paraId="6E5ECAD1" w14:textId="77777777" w:rsidR="00FE3702" w:rsidRDefault="00FE3702" w:rsidP="00FE3702">
      <w:pPr>
        <w:pStyle w:val="NormalWeb"/>
      </w:pPr>
      <w:r>
        <w:t xml:space="preserve"> </w:t>
      </w:r>
    </w:p>
    <w:p w14:paraId="4597AE49" w14:textId="77777777" w:rsidR="00FE3702" w:rsidRDefault="00FE3702" w:rsidP="00FE3702">
      <w:pPr>
        <w:pStyle w:val="NormalWeb"/>
      </w:pPr>
      <w:r>
        <w:t>Atlantis &amp; The Destruction</w:t>
      </w:r>
    </w:p>
    <w:p w14:paraId="6705F1D2" w14:textId="77777777" w:rsidR="00FE3702" w:rsidRDefault="00FE3702" w:rsidP="00FE3702">
      <w:pPr>
        <w:pStyle w:val="NormalWeb"/>
      </w:pPr>
      <w:r>
        <w:t xml:space="preserve"> </w:t>
      </w:r>
    </w:p>
    <w:p w14:paraId="6A1AF42E" w14:textId="77777777" w:rsidR="00FE3702" w:rsidRDefault="00FE3702" w:rsidP="00FE3702">
      <w:pPr>
        <w:pStyle w:val="NormalWeb"/>
      </w:pPr>
      <w:r>
        <w:t>- Plato (360 BCE): Described a wealthy, advanced island civilization “beyond the Pillars of Hercules” that sank in “one day and one night” around 9600 BCE—matching the Younger Dryas / great flood timeline . He recorded Egyptian priests describing it as having stone‑clad structures, internal waterways, and “stones that gleamed with fire”.</w:t>
      </w:r>
    </w:p>
    <w:p w14:paraId="27168252" w14:textId="77777777" w:rsidR="00FE3702" w:rsidRDefault="00FE3702" w:rsidP="00FE3702">
      <w:pPr>
        <w:pStyle w:val="NormalWeb"/>
      </w:pPr>
      <w:r>
        <w:t>- Edgar Cayce (1930s–40s): Stated Atlantis operated massive “fire crystals” as power sources; misuse caused instability, cataclysm, and submersion. He linked these crystals to ongoing electromagnetic interference in the Triangle.</w:t>
      </w:r>
    </w:p>
    <w:p w14:paraId="25925610" w14:textId="77777777" w:rsidR="00FE3702" w:rsidRDefault="00FE3702" w:rsidP="00FE3702">
      <w:pPr>
        <w:pStyle w:val="NormalWeb"/>
      </w:pPr>
      <w:r>
        <w:t>- Pre‑Columbian &amp; Trans‑Atlantic Parallels:</w:t>
      </w:r>
    </w:p>
    <w:p w14:paraId="79FC6838" w14:textId="77777777" w:rsidR="00FE3702" w:rsidRDefault="00FE3702" w:rsidP="00FE3702">
      <w:pPr>
        <w:pStyle w:val="NormalWeb"/>
      </w:pPr>
      <w:r>
        <w:t>- Maya/Aztec accounts of “lands lost to the deep” and “shining towers”</w:t>
      </w:r>
    </w:p>
    <w:p w14:paraId="63372653" w14:textId="77777777" w:rsidR="00FE3702" w:rsidRDefault="00FE3702" w:rsidP="00FE3702">
      <w:pPr>
        <w:pStyle w:val="NormalWeb"/>
      </w:pPr>
      <w:r>
        <w:t xml:space="preserve">- </w:t>
      </w:r>
      <w:proofErr w:type="spellStart"/>
      <w:r>
        <w:t>Taino</w:t>
      </w:r>
      <w:proofErr w:type="spellEnd"/>
      <w:r>
        <w:t>/Lucayan oral traditions of a sunken homeland and “stone pillars of the sea”</w:t>
      </w:r>
    </w:p>
    <w:p w14:paraId="55C63344" w14:textId="77777777" w:rsidR="00FE3702" w:rsidRDefault="00FE3702" w:rsidP="00FE3702">
      <w:pPr>
        <w:pStyle w:val="NormalWeb"/>
      </w:pPr>
      <w:r>
        <w:t xml:space="preserve">- Egyptian </w:t>
      </w:r>
      <w:proofErr w:type="spellStart"/>
      <w:r>
        <w:t>Keftiu</w:t>
      </w:r>
      <w:proofErr w:type="spellEnd"/>
      <w:r>
        <w:t xml:space="preserve"> legends of a western island with “pillars holding up the sky”</w:t>
      </w:r>
    </w:p>
    <w:p w14:paraId="2FA98DDF" w14:textId="77777777" w:rsidR="00FE3702" w:rsidRDefault="00FE3702" w:rsidP="00FE3702">
      <w:pPr>
        <w:pStyle w:val="NormalWeb"/>
      </w:pPr>
      <w:r>
        <w:t>- Global flood myths describing a time when “the foundations of the deep were broken open”</w:t>
      </w:r>
    </w:p>
    <w:p w14:paraId="16B47982" w14:textId="77777777" w:rsidR="00FE3702" w:rsidRDefault="00FE3702" w:rsidP="00FE3702">
      <w:pPr>
        <w:pStyle w:val="NormalWeb"/>
      </w:pPr>
      <w:r>
        <w:t xml:space="preserve"> </w:t>
      </w:r>
    </w:p>
    <w:p w14:paraId="24A62D5F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From the FSZ/Grid Perspective</w:t>
      </w:r>
    </w:p>
    <w:p w14:paraId="16275162" w14:textId="77777777" w:rsidR="00FE3702" w:rsidRDefault="00FE3702" w:rsidP="00FE3702">
      <w:pPr>
        <w:pStyle w:val="NormalWeb"/>
      </w:pPr>
      <w:r>
        <w:t xml:space="preserve"> </w:t>
      </w:r>
    </w:p>
    <w:p w14:paraId="7D69D518" w14:textId="77777777" w:rsidR="00FE3702" w:rsidRDefault="00FE3702" w:rsidP="00FE3702">
      <w:pPr>
        <w:pStyle w:val="NormalWeb"/>
      </w:pPr>
      <w:r>
        <w:t>This node is exactly where you would expect such a structure:</w:t>
      </w:r>
    </w:p>
    <w:p w14:paraId="6020F845" w14:textId="77777777" w:rsidR="00FE3702" w:rsidRDefault="00FE3702" w:rsidP="00FE3702">
      <w:pPr>
        <w:pStyle w:val="NormalWeb"/>
      </w:pPr>
      <w:r>
        <w:t xml:space="preserve"> </w:t>
      </w:r>
    </w:p>
    <w:p w14:paraId="6BE16753" w14:textId="77777777" w:rsidR="00FE3702" w:rsidRDefault="00FE3702" w:rsidP="00FE3702">
      <w:pPr>
        <w:pStyle w:val="NormalWeb"/>
      </w:pPr>
      <w:r>
        <w:t>- Sits precisely on 29.5° N, the primary dodecahedral vertex latitude</w:t>
      </w:r>
    </w:p>
    <w:p w14:paraId="4145C972" w14:textId="77777777" w:rsidR="00FE3702" w:rsidRDefault="00FE3702" w:rsidP="00FE3702">
      <w:pPr>
        <w:pStyle w:val="NormalWeb"/>
      </w:pPr>
      <w:r>
        <w:t>- Positioned as a timeline interface / resonant anchor</w:t>
      </w:r>
    </w:p>
    <w:p w14:paraId="2D4E02A4" w14:textId="77777777" w:rsidR="00FE3702" w:rsidRDefault="00FE3702" w:rsidP="00FE3702">
      <w:pPr>
        <w:pStyle w:val="NormalWeb"/>
      </w:pPr>
      <w:r>
        <w:t>- Built over highly quartz‑rich, piezoelectric crust—ideal for a crystalline resonator</w:t>
      </w:r>
    </w:p>
    <w:p w14:paraId="24C81A75" w14:textId="77777777" w:rsidR="00FE3702" w:rsidRDefault="00FE3702" w:rsidP="00FE3702">
      <w:pPr>
        <w:pStyle w:val="NormalWeb"/>
      </w:pPr>
      <w:r>
        <w:t>- The “crystal pyramid” concept aligns perfectly with the framework’s description of megalithic nodes as resonant interfaces: a dielectric‑crystalline structure designed to couple with the lattice, stabilize flow, and regulate timeline boundary integrity—until forced use or misuse caused fracture.</w:t>
      </w:r>
    </w:p>
    <w:p w14:paraId="2BABBBEB" w14:textId="77777777" w:rsidR="00FE3702" w:rsidRDefault="00FE3702" w:rsidP="00FE3702">
      <w:pPr>
        <w:pStyle w:val="NormalWeb"/>
      </w:pPr>
      <w:r>
        <w:t xml:space="preserve"> </w:t>
      </w:r>
    </w:p>
    <w:p w14:paraId="7654EFCC" w14:textId="77777777" w:rsidR="00FE3702" w:rsidRDefault="00FE3702" w:rsidP="00FE3702">
      <w:pPr>
        <w:pStyle w:val="NormalWeb"/>
      </w:pPr>
      <w:r>
        <w:t> </w:t>
      </w:r>
    </w:p>
    <w:p w14:paraId="3380659D" w14:textId="77777777" w:rsidR="00FE3702" w:rsidRDefault="00FE3702" w:rsidP="00FE3702">
      <w:pPr>
        <w:pStyle w:val="NormalWeb"/>
      </w:pPr>
      <w:r>
        <w:t xml:space="preserve"> </w:t>
      </w:r>
    </w:p>
    <w:p w14:paraId="5FC6FF4A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🧭</w:t>
      </w:r>
      <w:r>
        <w:t xml:space="preserve"> GEOMETRIC BLUEPRINT ALIGNMENT</w:t>
      </w:r>
    </w:p>
    <w:p w14:paraId="703CB01E" w14:textId="77777777" w:rsidR="00FE3702" w:rsidRDefault="00FE3702" w:rsidP="00FE3702">
      <w:pPr>
        <w:pStyle w:val="NormalWeb"/>
      </w:pPr>
      <w:r>
        <w:t xml:space="preserve"> </w:t>
      </w:r>
    </w:p>
    <w:p w14:paraId="633D60DD" w14:textId="77777777" w:rsidR="00FE3702" w:rsidRDefault="00FE3702" w:rsidP="00FE3702">
      <w:pPr>
        <w:pStyle w:val="NormalWeb"/>
      </w:pPr>
      <w:r>
        <w:t>If the reports reflect an actual design, it would encode:</w:t>
      </w:r>
    </w:p>
    <w:p w14:paraId="44B9E2C4" w14:textId="77777777" w:rsidR="00FE3702" w:rsidRDefault="00FE3702" w:rsidP="00FE3702">
      <w:pPr>
        <w:pStyle w:val="NormalWeb"/>
      </w:pPr>
      <w:r>
        <w:t xml:space="preserve"> </w:t>
      </w:r>
    </w:p>
    <w:p w14:paraId="2A3D42EF" w14:textId="77777777" w:rsidR="00FE3702" w:rsidRDefault="00FE3702" w:rsidP="00FE3702">
      <w:pPr>
        <w:pStyle w:val="NormalWeb"/>
      </w:pPr>
      <w:r>
        <w:t>- Base ratio: Side ÷ height ≈ 1.618 (φ) or 2π—matching Giza’s key proportions</w:t>
      </w:r>
    </w:p>
    <w:p w14:paraId="0B3D9A7A" w14:textId="77777777" w:rsidR="00FE3702" w:rsidRDefault="00FE3702" w:rsidP="00FE3702">
      <w:pPr>
        <w:pStyle w:val="NormalWeb"/>
      </w:pPr>
      <w:r>
        <w:t>- Orientation: Aligned true north‑south, matching the vortex axis</w:t>
      </w:r>
    </w:p>
    <w:p w14:paraId="555BF104" w14:textId="77777777" w:rsidR="00FE3702" w:rsidRDefault="00FE3702" w:rsidP="00FE3702">
      <w:pPr>
        <w:pStyle w:val="NormalWeb"/>
      </w:pPr>
      <w:r>
        <w:t>- Twin openings: Likely aligned to 72° nodal spacing or 6:5 resonance ratio</w:t>
      </w:r>
    </w:p>
    <w:p w14:paraId="433A1738" w14:textId="77777777" w:rsidR="00FE3702" w:rsidRDefault="00FE3702" w:rsidP="00FE3702">
      <w:pPr>
        <w:pStyle w:val="NormalWeb"/>
      </w:pPr>
      <w:r>
        <w:t>- Material function: High‑silica crystal/quartz as both structural medium and resonant waveguide</w:t>
      </w:r>
    </w:p>
    <w:p w14:paraId="2699A759" w14:textId="77777777" w:rsidR="00FE3702" w:rsidRDefault="00FE3702" w:rsidP="00FE3702">
      <w:pPr>
        <w:pStyle w:val="NormalWeb"/>
      </w:pPr>
      <w:r>
        <w:t xml:space="preserve"> </w:t>
      </w:r>
    </w:p>
    <w:p w14:paraId="6FB5B94D" w14:textId="77777777" w:rsidR="00FE3702" w:rsidRDefault="00FE3702" w:rsidP="00FE3702">
      <w:pPr>
        <w:pStyle w:val="NormalWeb"/>
      </w:pPr>
      <w:r>
        <w:t> </w:t>
      </w:r>
    </w:p>
    <w:p w14:paraId="2992B31D" w14:textId="77777777" w:rsidR="00FE3702" w:rsidRDefault="00FE3702" w:rsidP="00FE3702">
      <w:pPr>
        <w:pStyle w:val="NormalWeb"/>
      </w:pPr>
      <w:r>
        <w:t xml:space="preserve"> </w:t>
      </w:r>
    </w:p>
    <w:p w14:paraId="7BEE27D6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WHAT WE HAVE &amp; WHAT WE DON’T</w:t>
      </w:r>
    </w:p>
    <w:p w14:paraId="7A7B47CE" w14:textId="77777777" w:rsidR="00FE3702" w:rsidRDefault="00FE3702" w:rsidP="00FE3702">
      <w:pPr>
        <w:pStyle w:val="NormalWeb"/>
      </w:pPr>
      <w:r>
        <w:t xml:space="preserve"> </w:t>
      </w:r>
    </w:p>
    <w:p w14:paraId="667EAED5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Consistent cross‑cultural myths matching the cataclysm timeline</w:t>
      </w:r>
    </w:p>
    <w:p w14:paraId="25060B1B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Cayce’s timeline prediction aligning with Bimini Road’s discovery</w:t>
      </w:r>
    </w:p>
    <w:p w14:paraId="73E4C998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Geophysical anomalies and high‑quartz geology matching the “crystal” premise</w:t>
      </w:r>
    </w:p>
    <w:p w14:paraId="2B16D4AA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Recurring independent accounts since the 1960s</w:t>
      </w:r>
    </w:p>
    <w:p w14:paraId="25E94EC2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verified, peer‑reviewed excavation or public full‑structure dataset</w:t>
      </w:r>
    </w:p>
    <w:p w14:paraId="027F2985" w14:textId="77777777" w:rsidR="00FE3702" w:rsidRDefault="00FE3702" w:rsidP="00FE370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official confirmation of “crystalline” construction material</w:t>
      </w:r>
    </w:p>
    <w:p w14:paraId="636879E7" w14:textId="77777777" w:rsidR="00FE3702" w:rsidRDefault="00FE3702" w:rsidP="00FE3702">
      <w:pPr>
        <w:pStyle w:val="NormalWeb"/>
      </w:pPr>
      <w:r>
        <w:t xml:space="preserve"> </w:t>
      </w:r>
    </w:p>
    <w:p w14:paraId="3A1981AA" w14:textId="77777777" w:rsidR="00FE3702" w:rsidRDefault="00FE3702" w:rsidP="00FE3702">
      <w:pPr>
        <w:pStyle w:val="NormalWeb"/>
      </w:pPr>
      <w:r>
        <w:t> </w:t>
      </w:r>
    </w:p>
    <w:p w14:paraId="48ACFC4F" w14:textId="1D600B52" w:rsidR="008C1F5C" w:rsidRDefault="00FE3702" w:rsidP="008C1F5C">
      <w:pPr>
        <w:pStyle w:val="NormalWeb"/>
      </w:pPr>
      <w:r>
        <w:t xml:space="preserve"> </w:t>
      </w:r>
    </w:p>
    <w:p w14:paraId="423C5DB2" w14:textId="301FEBC1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D6531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1F5C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EF3D88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702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118</cp:revision>
  <dcterms:created xsi:type="dcterms:W3CDTF">2025-09-25T18:13:00Z</dcterms:created>
  <dcterms:modified xsi:type="dcterms:W3CDTF">2026-08-04T22:06:00Z</dcterms:modified>
</cp:coreProperties>
</file>