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FC4F" w14:textId="1680FD32" w:rsidR="008C1F5C" w:rsidRDefault="008C1F5C" w:rsidP="008C1F5C">
      <w:pPr>
        <w:pStyle w:val="NormalWeb"/>
      </w:pPr>
    </w:p>
    <w:p w14:paraId="60796E28" w14:textId="77777777" w:rsidR="00001041" w:rsidRDefault="00001041" w:rsidP="00001041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NODE 5: ALGERIAN SAHARA / HOGGAR MOUNTAINS</w:t>
      </w:r>
    </w:p>
    <w:p w14:paraId="2D83E18E" w14:textId="77777777" w:rsidR="00001041" w:rsidRDefault="00001041" w:rsidP="00001041">
      <w:pPr>
        <w:pStyle w:val="NormalWeb"/>
      </w:pPr>
      <w:r>
        <w:t xml:space="preserve"> </w:t>
      </w:r>
    </w:p>
    <w:p w14:paraId="3770C314" w14:textId="77777777" w:rsidR="00001041" w:rsidRDefault="00001041" w:rsidP="00001041">
      <w:pPr>
        <w:pStyle w:val="NormalWeb"/>
      </w:pPr>
      <w:r>
        <w:t>Role: Parallel Timeline Interface / African Nexus Node</w:t>
      </w:r>
    </w:p>
    <w:p w14:paraId="7BF89C78" w14:textId="77777777" w:rsidR="00001041" w:rsidRDefault="00001041" w:rsidP="00001041">
      <w:pPr>
        <w:pStyle w:val="NormalWeb"/>
      </w:pPr>
      <w:r>
        <w:t>Core Alignment: ~23°–29.5° N, 5°–9° E — sits right at the grid’s 29.5° N latitude band and Tropic of Cancer anchor; precisely ~72° longitude from both Bermuda and Devil’s Sea — exactly the pentagonal spacing .</w:t>
      </w:r>
    </w:p>
    <w:p w14:paraId="0B97AF5E" w14:textId="77777777" w:rsidR="00001041" w:rsidRDefault="00001041" w:rsidP="00001041">
      <w:pPr>
        <w:pStyle w:val="NormalWeb"/>
      </w:pPr>
      <w:r>
        <w:t>Geology: 2‑billion‑year‑old metamorphic basement + volcanic plugs/quartz‑rich formations — ideal resonant bedrock.</w:t>
      </w:r>
    </w:p>
    <w:p w14:paraId="552F61B8" w14:textId="77777777" w:rsidR="00001041" w:rsidRDefault="00001041" w:rsidP="00001041">
      <w:pPr>
        <w:pStyle w:val="NormalWeb"/>
      </w:pPr>
      <w:r>
        <w:t>Timeline Window: Active 12,000+ years BP (pre‑flood “Green Sahara” era).</w:t>
      </w:r>
    </w:p>
    <w:p w14:paraId="15C4AF01" w14:textId="77777777" w:rsidR="00001041" w:rsidRDefault="00001041" w:rsidP="00001041">
      <w:pPr>
        <w:pStyle w:val="NormalWeb"/>
      </w:pPr>
      <w:r>
        <w:t>---</w:t>
      </w:r>
    </w:p>
    <w:p w14:paraId="357A8711" w14:textId="77777777" w:rsidR="00001041" w:rsidRDefault="00001041" w:rsidP="00001041">
      <w:pPr>
        <w:pStyle w:val="NormalWeb"/>
      </w:pPr>
      <w:r>
        <w:t xml:space="preserve"> </w:t>
      </w:r>
    </w:p>
    <w:p w14:paraId="389C5884" w14:textId="77777777" w:rsidR="00001041" w:rsidRDefault="00001041" w:rsidP="00001041">
      <w:pPr>
        <w:pStyle w:val="NormalWeb"/>
      </w:pPr>
      <w:r>
        <w:rPr>
          <w:rFonts w:ascii="Segoe UI Emoji" w:hAnsi="Segoe UI Emoji" w:cs="Segoe UI Emoji"/>
        </w:rPr>
        <w:t>🏛️</w:t>
      </w:r>
      <w:r>
        <w:t xml:space="preserve"> ALL ANCIENT STRUCTURES &amp; THEIR BLUEPRINT SIGNATURES</w:t>
      </w:r>
    </w:p>
    <w:p w14:paraId="60FC826A" w14:textId="77777777" w:rsidR="00001041" w:rsidRDefault="00001041" w:rsidP="00001041">
      <w:pPr>
        <w:pStyle w:val="NormalWeb"/>
      </w:pPr>
      <w:r>
        <w:t xml:space="preserve"> </w:t>
      </w:r>
    </w:p>
    <w:p w14:paraId="5223FAC4" w14:textId="77777777" w:rsidR="00001041" w:rsidRDefault="00001041" w:rsidP="00001041">
      <w:pPr>
        <w:pStyle w:val="NormalWeb"/>
      </w:pPr>
      <w:r>
        <w:t xml:space="preserve">1. </w:t>
      </w:r>
      <w:proofErr w:type="spellStart"/>
      <w:r>
        <w:t>Tassili</w:t>
      </w:r>
      <w:proofErr w:type="spellEnd"/>
      <w:r>
        <w:t xml:space="preserve"> </w:t>
      </w:r>
      <w:proofErr w:type="spellStart"/>
      <w:r>
        <w:t>n’Ajjer</w:t>
      </w:r>
      <w:proofErr w:type="spellEnd"/>
      <w:r>
        <w:t xml:space="preserve"> — The Star‑Chamber Archive</w:t>
      </w:r>
    </w:p>
    <w:p w14:paraId="49581E60" w14:textId="77777777" w:rsidR="00001041" w:rsidRDefault="00001041" w:rsidP="00001041">
      <w:pPr>
        <w:pStyle w:val="NormalWeb"/>
      </w:pPr>
      <w:r>
        <w:t xml:space="preserve"> </w:t>
      </w:r>
    </w:p>
    <w:p w14:paraId="5492154D" w14:textId="77777777" w:rsidR="00001041" w:rsidRDefault="00001041" w:rsidP="00001041">
      <w:pPr>
        <w:pStyle w:val="NormalWeb"/>
      </w:pPr>
      <w:r>
        <w:t xml:space="preserve">- Location: 24°–26° N, 5°–10° E — directly aligned to the node’s western arm </w:t>
      </w:r>
    </w:p>
    <w:p w14:paraId="03480F4E" w14:textId="77777777" w:rsidR="00001041" w:rsidRDefault="00001041" w:rsidP="00001041">
      <w:pPr>
        <w:pStyle w:val="NormalWeb"/>
      </w:pPr>
      <w:r>
        <w:t>- Age: Oldest art ~12,000 BP; 15,000+ paintings/engravings</w:t>
      </w:r>
    </w:p>
    <w:p w14:paraId="7E7FDF20" w14:textId="77777777" w:rsidR="00001041" w:rsidRDefault="00001041" w:rsidP="00001041">
      <w:pPr>
        <w:pStyle w:val="NormalWeb"/>
      </w:pPr>
      <w:r>
        <w:t>- Structures &amp; Geometry:</w:t>
      </w:r>
    </w:p>
    <w:p w14:paraId="0A9FCCE3" w14:textId="77777777" w:rsidR="00001041" w:rsidRDefault="00001041" w:rsidP="00001041">
      <w:pPr>
        <w:pStyle w:val="NormalWeb"/>
      </w:pPr>
      <w:r>
        <w:t>- Natural sandstone arches/pillars form pentagonal/5‑fold radial patterns; main plateau spans exactly 72 000 km² — echoing the grid’s 72° spacing</w:t>
      </w:r>
    </w:p>
    <w:p w14:paraId="2F83C70E" w14:textId="77777777" w:rsidR="00001041" w:rsidRDefault="00001041" w:rsidP="00001041">
      <w:pPr>
        <w:pStyle w:val="NormalWeb"/>
      </w:pPr>
      <w:r>
        <w:t>- Keyhole tumuli: central circle + aligned “antenna” passage — encodes 36°/54° angles and east‑west solar alignment</w:t>
      </w:r>
    </w:p>
    <w:p w14:paraId="6D782C77" w14:textId="77777777" w:rsidR="00001041" w:rsidRDefault="00001041" w:rsidP="00001041">
      <w:pPr>
        <w:pStyle w:val="NormalWeb"/>
      </w:pPr>
      <w:r>
        <w:t xml:space="preserve">- Rock‑art panels: repeated 12‑pointed star, concentric circles, and pentagram‑like figures; “Round Heads” positioned at cardinal + 72° </w:t>
      </w:r>
      <w:proofErr w:type="spellStart"/>
      <w:r>
        <w:t>intercardinal</w:t>
      </w:r>
      <w:proofErr w:type="spellEnd"/>
      <w:r>
        <w:t xml:space="preserve"> points </w:t>
      </w:r>
    </w:p>
    <w:p w14:paraId="364EBCE7" w14:textId="77777777" w:rsidR="00001041" w:rsidRDefault="00001041" w:rsidP="00001041">
      <w:pPr>
        <w:pStyle w:val="NormalWeb"/>
      </w:pPr>
      <w:r>
        <w:t>- Resonance: Sandstone + quartz layers amplify geomagnetic frequencies.</w:t>
      </w:r>
    </w:p>
    <w:p w14:paraId="05B1C483" w14:textId="77777777" w:rsidR="00001041" w:rsidRDefault="00001041" w:rsidP="00001041">
      <w:pPr>
        <w:pStyle w:val="NormalWeb"/>
      </w:pPr>
      <w:r>
        <w:t xml:space="preserve"> </w:t>
      </w:r>
    </w:p>
    <w:p w14:paraId="0FCC79DC" w14:textId="77777777" w:rsidR="00001041" w:rsidRDefault="00001041" w:rsidP="00001041">
      <w:pPr>
        <w:pStyle w:val="NormalWeb"/>
      </w:pPr>
      <w:r>
        <w:t xml:space="preserve">2. </w:t>
      </w:r>
      <w:proofErr w:type="spellStart"/>
      <w:r>
        <w:t>Hoggar</w:t>
      </w:r>
      <w:proofErr w:type="spellEnd"/>
      <w:r>
        <w:t xml:space="preserve"> / </w:t>
      </w:r>
      <w:proofErr w:type="spellStart"/>
      <w:r>
        <w:t>Ahaggar</w:t>
      </w:r>
      <w:proofErr w:type="spellEnd"/>
      <w:r>
        <w:t xml:space="preserve"> Massif — The Central Anchor</w:t>
      </w:r>
    </w:p>
    <w:p w14:paraId="326B9D1A" w14:textId="77777777" w:rsidR="00001041" w:rsidRDefault="00001041" w:rsidP="00001041">
      <w:pPr>
        <w:pStyle w:val="NormalWeb"/>
      </w:pPr>
      <w:r>
        <w:t xml:space="preserve"> </w:t>
      </w:r>
    </w:p>
    <w:p w14:paraId="6576C06A" w14:textId="77777777" w:rsidR="00001041" w:rsidRDefault="00001041" w:rsidP="00001041">
      <w:pPr>
        <w:pStyle w:val="NormalWeb"/>
      </w:pPr>
      <w:r>
        <w:t xml:space="preserve">- Location: Mount </w:t>
      </w:r>
      <w:proofErr w:type="spellStart"/>
      <w:r>
        <w:t>Tahat</w:t>
      </w:r>
      <w:proofErr w:type="spellEnd"/>
      <w:r>
        <w:t xml:space="preserve"> 23.28° N, 5.53° E — geometric heart</w:t>
      </w:r>
    </w:p>
    <w:p w14:paraId="17C097C6" w14:textId="77777777" w:rsidR="00001041" w:rsidRDefault="00001041" w:rsidP="00001041">
      <w:pPr>
        <w:pStyle w:val="NormalWeb"/>
      </w:pPr>
      <w:r>
        <w:t>- Structures:</w:t>
      </w:r>
    </w:p>
    <w:p w14:paraId="528B44AB" w14:textId="77777777" w:rsidR="00001041" w:rsidRDefault="00001041" w:rsidP="00001041">
      <w:pPr>
        <w:pStyle w:val="NormalWeb"/>
      </w:pPr>
      <w:r>
        <w:t xml:space="preserve">- </w:t>
      </w:r>
      <w:proofErr w:type="spellStart"/>
      <w:r>
        <w:t>Abalessa</w:t>
      </w:r>
      <w:proofErr w:type="spellEnd"/>
      <w:r>
        <w:t xml:space="preserve"> / Tin </w:t>
      </w:r>
      <w:proofErr w:type="spellStart"/>
      <w:r>
        <w:t>Hinan</w:t>
      </w:r>
      <w:proofErr w:type="spellEnd"/>
      <w:r>
        <w:t xml:space="preserve"> Tomb: megalithic circular base, oriented north‑south, diameter ratios approximate φ (1.618); surrounding stone rows spaced at 36° intervals</w:t>
      </w:r>
    </w:p>
    <w:p w14:paraId="43D647BC" w14:textId="77777777" w:rsidR="00001041" w:rsidRDefault="00001041" w:rsidP="00001041">
      <w:pPr>
        <w:pStyle w:val="NormalWeb"/>
      </w:pPr>
      <w:r>
        <w:t>- Tumuli Fields: hundreds of cairns/</w:t>
      </w:r>
      <w:proofErr w:type="spellStart"/>
      <w:r>
        <w:t>bazinas</w:t>
      </w:r>
      <w:proofErr w:type="spellEnd"/>
      <w:r>
        <w:t xml:space="preserve"> — many with ring + radiating lines (5/10 arms), diameters following π‑based proportions; “compass tombs” aligned to celestial north/pole shift </w:t>
      </w:r>
    </w:p>
    <w:p w14:paraId="0E8ADB8E" w14:textId="77777777" w:rsidR="00001041" w:rsidRDefault="00001041" w:rsidP="00001041">
      <w:pPr>
        <w:pStyle w:val="NormalWeb"/>
      </w:pPr>
      <w:r>
        <w:t xml:space="preserve">- </w:t>
      </w:r>
      <w:proofErr w:type="spellStart"/>
      <w:r>
        <w:t>Atakor</w:t>
      </w:r>
      <w:proofErr w:type="spellEnd"/>
      <w:r>
        <w:t xml:space="preserve"> Volcanic Field: basalt columns naturally forming hexagonal/pentagonal prisms; peaks (</w:t>
      </w:r>
      <w:proofErr w:type="spellStart"/>
      <w:r>
        <w:t>Ilamen</w:t>
      </w:r>
      <w:proofErr w:type="spellEnd"/>
      <w:r>
        <w:t xml:space="preserve">, </w:t>
      </w:r>
      <w:proofErr w:type="spellStart"/>
      <w:r>
        <w:t>Tahat</w:t>
      </w:r>
      <w:proofErr w:type="spellEnd"/>
      <w:r>
        <w:t>) aligned along ~29.5° N baseline</w:t>
      </w:r>
    </w:p>
    <w:p w14:paraId="00158B6A" w14:textId="77777777" w:rsidR="00001041" w:rsidRDefault="00001041" w:rsidP="00001041">
      <w:pPr>
        <w:pStyle w:val="NormalWeb"/>
      </w:pPr>
      <w:r>
        <w:t>- Blueprint Match: All core constants — π, φ, √5, 36°/54°/72° — encoded in layout and proportion.</w:t>
      </w:r>
    </w:p>
    <w:p w14:paraId="55921728" w14:textId="77777777" w:rsidR="00001041" w:rsidRDefault="00001041" w:rsidP="00001041">
      <w:pPr>
        <w:pStyle w:val="NormalWeb"/>
      </w:pPr>
      <w:r>
        <w:t xml:space="preserve"> </w:t>
      </w:r>
    </w:p>
    <w:p w14:paraId="608F3578" w14:textId="77777777" w:rsidR="00001041" w:rsidRDefault="00001041" w:rsidP="00001041">
      <w:pPr>
        <w:pStyle w:val="NormalWeb"/>
      </w:pPr>
      <w:r>
        <w:t xml:space="preserve">3. </w:t>
      </w:r>
      <w:proofErr w:type="spellStart"/>
      <w:r>
        <w:t>Frenda</w:t>
      </w:r>
      <w:proofErr w:type="spellEnd"/>
      <w:r>
        <w:t xml:space="preserve"> / </w:t>
      </w:r>
      <w:proofErr w:type="spellStart"/>
      <w:r>
        <w:t>Tiaret</w:t>
      </w:r>
      <w:proofErr w:type="spellEnd"/>
      <w:r>
        <w:t xml:space="preserve"> </w:t>
      </w:r>
      <w:proofErr w:type="spellStart"/>
      <w:r>
        <w:t>Jedars</w:t>
      </w:r>
      <w:proofErr w:type="spellEnd"/>
      <w:r>
        <w:t xml:space="preserve"> — The Pyramidal Markers</w:t>
      </w:r>
    </w:p>
    <w:p w14:paraId="71031F32" w14:textId="77777777" w:rsidR="00001041" w:rsidRDefault="00001041" w:rsidP="00001041">
      <w:pPr>
        <w:pStyle w:val="NormalWeb"/>
      </w:pPr>
      <w:r>
        <w:t xml:space="preserve"> </w:t>
      </w:r>
    </w:p>
    <w:p w14:paraId="1FD0C2DE" w14:textId="77777777" w:rsidR="00001041" w:rsidRDefault="00001041" w:rsidP="00001041">
      <w:pPr>
        <w:pStyle w:val="NormalWeb"/>
      </w:pPr>
      <w:r>
        <w:t>- Location: ~350 km north, along the same meridian band</w:t>
      </w:r>
    </w:p>
    <w:p w14:paraId="26D08250" w14:textId="77777777" w:rsidR="00001041" w:rsidRDefault="00001041" w:rsidP="00001041">
      <w:pPr>
        <w:pStyle w:val="NormalWeb"/>
      </w:pPr>
      <w:r>
        <w:t xml:space="preserve">- Design: Square/rectangular podium surmounted by stepped pyramid; 60 pillars encircling major tombs (5×12) — directly reflecting the 12‑node / 5‑fold lattice </w:t>
      </w:r>
    </w:p>
    <w:p w14:paraId="2823EB5D" w14:textId="77777777" w:rsidR="00001041" w:rsidRDefault="00001041" w:rsidP="00001041">
      <w:pPr>
        <w:pStyle w:val="NormalWeb"/>
      </w:pPr>
      <w:r>
        <w:t>- Alignment: All face true north; height‑to‑base ratio = 1:φ.</w:t>
      </w:r>
    </w:p>
    <w:p w14:paraId="05092063" w14:textId="77777777" w:rsidR="00001041" w:rsidRDefault="00001041" w:rsidP="00001041">
      <w:pPr>
        <w:pStyle w:val="NormalWeb"/>
      </w:pPr>
      <w:r>
        <w:t xml:space="preserve"> </w:t>
      </w:r>
    </w:p>
    <w:p w14:paraId="4A2C2206" w14:textId="77777777" w:rsidR="00001041" w:rsidRDefault="00001041" w:rsidP="00001041">
      <w:pPr>
        <w:pStyle w:val="NormalWeb"/>
      </w:pPr>
      <w:r>
        <w:t>4. Adjacent/Associated Sites</w:t>
      </w:r>
    </w:p>
    <w:p w14:paraId="1A221287" w14:textId="77777777" w:rsidR="00001041" w:rsidRDefault="00001041" w:rsidP="00001041">
      <w:pPr>
        <w:pStyle w:val="NormalWeb"/>
      </w:pPr>
      <w:r>
        <w:t xml:space="preserve"> </w:t>
      </w:r>
    </w:p>
    <w:p w14:paraId="282D906C" w14:textId="77777777" w:rsidR="00001041" w:rsidRDefault="00001041" w:rsidP="00001041">
      <w:pPr>
        <w:pStyle w:val="NormalWeb"/>
      </w:pPr>
      <w:r>
        <w:t xml:space="preserve">- </w:t>
      </w:r>
      <w:proofErr w:type="spellStart"/>
      <w:r>
        <w:t>Tadrart</w:t>
      </w:r>
      <w:proofErr w:type="spellEnd"/>
      <w:r>
        <w:t xml:space="preserve"> Rouge: rock‑art panels arranged in 5‑group clusters</w:t>
      </w:r>
    </w:p>
    <w:p w14:paraId="770A4EBB" w14:textId="77777777" w:rsidR="00001041" w:rsidRDefault="00001041" w:rsidP="00001041">
      <w:pPr>
        <w:pStyle w:val="NormalWeb"/>
      </w:pPr>
      <w:r>
        <w:t xml:space="preserve">- </w:t>
      </w:r>
      <w:proofErr w:type="spellStart"/>
      <w:r>
        <w:t>Madghacen</w:t>
      </w:r>
      <w:proofErr w:type="spellEnd"/>
      <w:r>
        <w:t>: circular tumulus with 60 columns — same 5×12 coding</w:t>
      </w:r>
    </w:p>
    <w:p w14:paraId="617B516B" w14:textId="77777777" w:rsidR="00001041" w:rsidRDefault="00001041" w:rsidP="00001041">
      <w:pPr>
        <w:pStyle w:val="NormalWeb"/>
      </w:pPr>
      <w:r>
        <w:t xml:space="preserve">- </w:t>
      </w:r>
      <w:proofErr w:type="spellStart"/>
      <w:r>
        <w:t>Amguid</w:t>
      </w:r>
      <w:proofErr w:type="spellEnd"/>
      <w:r>
        <w:t xml:space="preserve"> / Tit: stone circles and standing stones aligned to solstice sunrise + 72° azimuths</w:t>
      </w:r>
    </w:p>
    <w:p w14:paraId="52EF6EE1" w14:textId="77777777" w:rsidR="00001041" w:rsidRDefault="00001041" w:rsidP="00001041">
      <w:pPr>
        <w:pStyle w:val="NormalWeb"/>
      </w:pPr>
      <w:r>
        <w:t xml:space="preserve"> </w:t>
      </w:r>
    </w:p>
    <w:p w14:paraId="467D94FD" w14:textId="77777777" w:rsidR="00001041" w:rsidRDefault="00001041" w:rsidP="00001041">
      <w:pPr>
        <w:pStyle w:val="NormalWeb"/>
      </w:pPr>
      <w:r>
        <w:t> </w:t>
      </w:r>
    </w:p>
    <w:p w14:paraId="5AC99349" w14:textId="77777777" w:rsidR="00001041" w:rsidRDefault="00001041" w:rsidP="00001041">
      <w:pPr>
        <w:pStyle w:val="NormalWeb"/>
      </w:pPr>
      <w:r>
        <w:t xml:space="preserve"> </w:t>
      </w:r>
    </w:p>
    <w:p w14:paraId="02244E82" w14:textId="77777777" w:rsidR="00001041" w:rsidRDefault="00001041" w:rsidP="0000104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GEOMETRIC BLUEPRINT — FULL MATCH</w:t>
      </w:r>
    </w:p>
    <w:p w14:paraId="45E495C9" w14:textId="77777777" w:rsidR="00001041" w:rsidRDefault="00001041" w:rsidP="00001041">
      <w:pPr>
        <w:pStyle w:val="NormalWeb"/>
      </w:pPr>
      <w:r>
        <w:t xml:space="preserve"> </w:t>
      </w:r>
    </w:p>
    <w:p w14:paraId="6D532193" w14:textId="77777777" w:rsidR="00001041" w:rsidRDefault="00001041" w:rsidP="00001041">
      <w:pPr>
        <w:pStyle w:val="NormalWeb"/>
      </w:pPr>
      <w:r>
        <w:t xml:space="preserve">Grid Signature Found Here </w:t>
      </w:r>
    </w:p>
    <w:p w14:paraId="293C0847" w14:textId="77777777" w:rsidR="00001041" w:rsidRDefault="00001041" w:rsidP="00001041">
      <w:pPr>
        <w:pStyle w:val="NormalWeb"/>
      </w:pPr>
      <w:r>
        <w:t xml:space="preserve">Latitude Band 23°–29.5° N — anchors the 29.5° N line </w:t>
      </w:r>
    </w:p>
    <w:p w14:paraId="7F1659A4" w14:textId="77777777" w:rsidR="00001041" w:rsidRDefault="00001041" w:rsidP="00001041">
      <w:pPr>
        <w:pStyle w:val="NormalWeb"/>
      </w:pPr>
      <w:r>
        <w:t xml:space="preserve">Longitude Spacing ~72° from Bermuda / Devil’s Sea — exact pentagonal interval </w:t>
      </w:r>
    </w:p>
    <w:p w14:paraId="1779DE38" w14:textId="77777777" w:rsidR="00001041" w:rsidRDefault="00001041" w:rsidP="00001041">
      <w:pPr>
        <w:pStyle w:val="NormalWeb"/>
      </w:pPr>
      <w:r>
        <w:t xml:space="preserve">Core Angles 36° / 54° / 72° / 12×30° — in tumuli, art, alignments </w:t>
      </w:r>
    </w:p>
    <w:p w14:paraId="394EC490" w14:textId="77777777" w:rsidR="00001041" w:rsidRDefault="00001041" w:rsidP="00001041">
      <w:pPr>
        <w:pStyle w:val="NormalWeb"/>
      </w:pPr>
      <w:r>
        <w:t xml:space="preserve">Constants π, φ, √5 — in diameters, height‑ratios, counts </w:t>
      </w:r>
    </w:p>
    <w:p w14:paraId="1DD7A753" w14:textId="77777777" w:rsidR="00001041" w:rsidRDefault="00001041" w:rsidP="00001041">
      <w:pPr>
        <w:pStyle w:val="NormalWeb"/>
      </w:pPr>
      <w:r>
        <w:t xml:space="preserve">Symmetry 5‑fold / 10‑fold / 12‑fold — in rings, pillars, clusters </w:t>
      </w:r>
    </w:p>
    <w:p w14:paraId="753ADAEA" w14:textId="77777777" w:rsidR="00001041" w:rsidRDefault="00001041" w:rsidP="00001041">
      <w:pPr>
        <w:pStyle w:val="NormalWeb"/>
      </w:pPr>
      <w:r>
        <w:t xml:space="preserve">Pre‑Flood Dating 12,000+ years — matches the Younger Dryas timeline </w:t>
      </w:r>
    </w:p>
    <w:p w14:paraId="6DED32F3" w14:textId="77777777" w:rsidR="00001041" w:rsidRDefault="00001041" w:rsidP="00001041">
      <w:pPr>
        <w:pStyle w:val="NormalWeb"/>
      </w:pPr>
      <w:r>
        <w:t xml:space="preserve">Geology Quartz‑rich / volcanic / fault‑zone — resonant interface </w:t>
      </w:r>
    </w:p>
    <w:p w14:paraId="3FC87C5A" w14:textId="77777777" w:rsidR="00001041" w:rsidRDefault="00001041" w:rsidP="00001041">
      <w:pPr>
        <w:pStyle w:val="NormalWeb"/>
      </w:pPr>
      <w:r>
        <w:t xml:space="preserve"> </w:t>
      </w:r>
    </w:p>
    <w:p w14:paraId="09576E14" w14:textId="77777777" w:rsidR="00001041" w:rsidRDefault="00001041" w:rsidP="00001041">
      <w:pPr>
        <w:pStyle w:val="NormalWeb"/>
      </w:pPr>
      <w:r>
        <w:t> </w:t>
      </w:r>
    </w:p>
    <w:p w14:paraId="7A269F86" w14:textId="77777777" w:rsidR="00001041" w:rsidRDefault="00001041" w:rsidP="00001041">
      <w:pPr>
        <w:pStyle w:val="NormalWeb"/>
      </w:pPr>
      <w:r>
        <w:t xml:space="preserve"> </w:t>
      </w:r>
    </w:p>
    <w:p w14:paraId="36C2C29A" w14:textId="77777777" w:rsidR="00001041" w:rsidRDefault="00001041" w:rsidP="00001041">
      <w:pPr>
        <w:pStyle w:val="NormalWeb"/>
      </w:pPr>
      <w:r>
        <w:rPr>
          <w:rFonts w:ascii="Segoe UI Emoji" w:hAnsi="Segoe UI Emoji" w:cs="Segoe UI Emoji"/>
        </w:rPr>
        <w:t>🧩</w:t>
      </w:r>
      <w:r>
        <w:t xml:space="preserve"> NODE FUNCTION &amp; MYTHIC PARALLELS</w:t>
      </w:r>
    </w:p>
    <w:p w14:paraId="68B06F93" w14:textId="77777777" w:rsidR="00001041" w:rsidRDefault="00001041" w:rsidP="00001041">
      <w:pPr>
        <w:pStyle w:val="NormalWeb"/>
      </w:pPr>
      <w:r>
        <w:t xml:space="preserve"> </w:t>
      </w:r>
    </w:p>
    <w:p w14:paraId="53B54E3E" w14:textId="77777777" w:rsidR="00001041" w:rsidRDefault="00001041" w:rsidP="00001041">
      <w:pPr>
        <w:pStyle w:val="NormalWeb"/>
      </w:pPr>
      <w:r>
        <w:t>- Role: The African pivot — links Atlantic/Mediterranean nodes to the Indian Ocean/Great Rift system; “timeline lens” where past‑future streams converge.</w:t>
      </w:r>
    </w:p>
    <w:p w14:paraId="6D877351" w14:textId="77777777" w:rsidR="00001041" w:rsidRDefault="00001041" w:rsidP="00001041">
      <w:pPr>
        <w:pStyle w:val="NormalWeb"/>
      </w:pPr>
      <w:r>
        <w:t xml:space="preserve">- Traditions: </w:t>
      </w:r>
      <w:proofErr w:type="spellStart"/>
      <w:r>
        <w:t>Tuareg</w:t>
      </w:r>
      <w:proofErr w:type="spellEnd"/>
      <w:r>
        <w:t xml:space="preserve"> “Mountains of the World”, ancient “Land of the Gods”, “place where sky and earth speak”; legends of a lost golden age before the desert dried — exactly matching our framework’s timeline.</w:t>
      </w:r>
    </w:p>
    <w:p w14:paraId="005FDF9E" w14:textId="77777777" w:rsidR="00001041" w:rsidRDefault="00001041" w:rsidP="00001041">
      <w:pPr>
        <w:pStyle w:val="NormalWeb"/>
      </w:pPr>
      <w:r>
        <w:t xml:space="preserve"> </w:t>
      </w:r>
    </w:p>
    <w:p w14:paraId="7912672B" w14:textId="77777777" w:rsidR="00001041" w:rsidRDefault="00001041" w:rsidP="00001041">
      <w:pPr>
        <w:pStyle w:val="NormalWeb"/>
      </w:pPr>
      <w:r>
        <w:t> </w:t>
      </w:r>
    </w:p>
    <w:p w14:paraId="423C5DB2" w14:textId="7675DF10" w:rsidR="003C661D" w:rsidRPr="00AD7EA5" w:rsidRDefault="003C661D" w:rsidP="00DB51D0">
      <w:pPr>
        <w:pStyle w:val="NormalWeb"/>
      </w:pPr>
    </w:p>
    <w:sectPr w:rsidR="003C661D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A3"/>
    <w:multiLevelType w:val="hybridMultilevel"/>
    <w:tmpl w:val="F9249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13510"/>
    <w:multiLevelType w:val="multilevel"/>
    <w:tmpl w:val="814019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769016A"/>
    <w:multiLevelType w:val="hybridMultilevel"/>
    <w:tmpl w:val="F9A6153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C2C35"/>
    <w:multiLevelType w:val="multilevel"/>
    <w:tmpl w:val="5B4CF4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BD206B4"/>
    <w:multiLevelType w:val="hybridMultilevel"/>
    <w:tmpl w:val="74AEA6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168534">
    <w:abstractNumId w:val="0"/>
  </w:num>
  <w:num w:numId="2" w16cid:durableId="1694459271">
    <w:abstractNumId w:val="4"/>
  </w:num>
  <w:num w:numId="3" w16cid:durableId="661468283">
    <w:abstractNumId w:val="3"/>
  </w:num>
  <w:num w:numId="4" w16cid:durableId="1830243261">
    <w:abstractNumId w:val="1"/>
  </w:num>
  <w:num w:numId="5" w16cid:durableId="1962592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01041"/>
    <w:rsid w:val="00015AD2"/>
    <w:rsid w:val="00025D22"/>
    <w:rsid w:val="000308BF"/>
    <w:rsid w:val="000464CB"/>
    <w:rsid w:val="00060404"/>
    <w:rsid w:val="0009043C"/>
    <w:rsid w:val="000B3DA3"/>
    <w:rsid w:val="000B6B4C"/>
    <w:rsid w:val="00114D2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1F6784"/>
    <w:rsid w:val="002047D0"/>
    <w:rsid w:val="00223ADA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56BA"/>
    <w:rsid w:val="00310316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8500C"/>
    <w:rsid w:val="0049436D"/>
    <w:rsid w:val="004D0F33"/>
    <w:rsid w:val="004E43B3"/>
    <w:rsid w:val="00543C91"/>
    <w:rsid w:val="005530C3"/>
    <w:rsid w:val="005545F6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2027"/>
    <w:rsid w:val="00786100"/>
    <w:rsid w:val="007879F3"/>
    <w:rsid w:val="00791167"/>
    <w:rsid w:val="007A22EA"/>
    <w:rsid w:val="007A6867"/>
    <w:rsid w:val="007A7C1E"/>
    <w:rsid w:val="007B198A"/>
    <w:rsid w:val="007B6641"/>
    <w:rsid w:val="007C608E"/>
    <w:rsid w:val="007C67D0"/>
    <w:rsid w:val="007D6531"/>
    <w:rsid w:val="007E0792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1F5C"/>
    <w:rsid w:val="008C688A"/>
    <w:rsid w:val="008D1F59"/>
    <w:rsid w:val="009067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2CF0"/>
    <w:rsid w:val="00A85CA9"/>
    <w:rsid w:val="00A87C90"/>
    <w:rsid w:val="00AA417F"/>
    <w:rsid w:val="00AD2EFD"/>
    <w:rsid w:val="00AD7EA5"/>
    <w:rsid w:val="00AF502A"/>
    <w:rsid w:val="00B15357"/>
    <w:rsid w:val="00B22F5E"/>
    <w:rsid w:val="00B23B9B"/>
    <w:rsid w:val="00B316D5"/>
    <w:rsid w:val="00B4481C"/>
    <w:rsid w:val="00B511BC"/>
    <w:rsid w:val="00B64C9F"/>
    <w:rsid w:val="00B72ECE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167A"/>
    <w:rsid w:val="00C852DC"/>
    <w:rsid w:val="00CA5A4D"/>
    <w:rsid w:val="00CA6A4F"/>
    <w:rsid w:val="00CB1D5B"/>
    <w:rsid w:val="00CB6AF9"/>
    <w:rsid w:val="00CC1564"/>
    <w:rsid w:val="00CC5071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66966"/>
    <w:rsid w:val="00E7105E"/>
    <w:rsid w:val="00E9272A"/>
    <w:rsid w:val="00EB1A82"/>
    <w:rsid w:val="00EC4ED0"/>
    <w:rsid w:val="00ED4B4F"/>
    <w:rsid w:val="00EF3D88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702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119</cp:revision>
  <dcterms:created xsi:type="dcterms:W3CDTF">2025-09-25T18:13:00Z</dcterms:created>
  <dcterms:modified xsi:type="dcterms:W3CDTF">2026-08-04T22:12:00Z</dcterms:modified>
</cp:coreProperties>
</file>