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8CA" w14:textId="009FB361" w:rsidR="00154673" w:rsidRDefault="00154673" w:rsidP="00DB51D0">
      <w:pPr>
        <w:pStyle w:val="NormalWeb"/>
      </w:pPr>
    </w:p>
    <w:p w14:paraId="351470BF" w14:textId="6C360E2D" w:rsidR="00154673" w:rsidRPr="00AD7EA5" w:rsidRDefault="00154673" w:rsidP="00DB51D0">
      <w:pPr>
        <w:pStyle w:val="NormalWeb"/>
      </w:pPr>
    </w:p>
    <w:p w14:paraId="364258BA" w14:textId="6D703CF5" w:rsidR="008A7B88" w:rsidRDefault="008A7B88" w:rsidP="008A7B88">
      <w:pPr>
        <w:pStyle w:val="NormalWeb"/>
      </w:pPr>
      <w:r>
        <w:rPr>
          <w:rFonts w:ascii="Segoe UI Emoji" w:hAnsi="Segoe UI Emoji" w:cs="Segoe UI Emoji"/>
        </w:rPr>
        <w:t>🟩</w:t>
      </w:r>
      <w:r>
        <w:t xml:space="preserve"> NODE 6 INDUS VALLEY / THAR DESERT </w:t>
      </w:r>
    </w:p>
    <w:p w14:paraId="2A52ADBD" w14:textId="77777777" w:rsidR="008A7B88" w:rsidRDefault="008A7B88" w:rsidP="008A7B88">
      <w:pPr>
        <w:pStyle w:val="NormalWeb"/>
      </w:pPr>
      <w:r>
        <w:t xml:space="preserve"> </w:t>
      </w:r>
    </w:p>
    <w:p w14:paraId="40E00127" w14:textId="77777777" w:rsidR="008A7B88" w:rsidRDefault="008A7B88" w:rsidP="008A7B88">
      <w:pPr>
        <w:pStyle w:val="NormalWeb"/>
      </w:pPr>
      <w:r>
        <w:t>Role: Parallel Timeline Interface / South‑Asian Nexus</w:t>
      </w:r>
    </w:p>
    <w:p w14:paraId="6C9918AC" w14:textId="77777777" w:rsidR="008A7B88" w:rsidRDefault="008A7B88" w:rsidP="008A7B88">
      <w:pPr>
        <w:pStyle w:val="NormalWeb"/>
      </w:pPr>
      <w:r>
        <w:t>Grid Coordinates: ~27°–29.5° N, 68°–72° E — exactly on the 29.5° N primary latitude band; ~72° longitude from the Algerian Sahara node, matching the perfect pentagonal spacing</w:t>
      </w:r>
    </w:p>
    <w:p w14:paraId="485460B7" w14:textId="77777777" w:rsidR="008A7B88" w:rsidRDefault="008A7B88" w:rsidP="008A7B88">
      <w:pPr>
        <w:pStyle w:val="NormalWeb"/>
      </w:pPr>
      <w:r>
        <w:t xml:space="preserve">Geology: Ancient crystalline shield, quartz‑rich alluvium, major fault lines, and the </w:t>
      </w:r>
      <w:proofErr w:type="spellStart"/>
      <w:r>
        <w:t>paleochannel</w:t>
      </w:r>
      <w:proofErr w:type="spellEnd"/>
      <w:r>
        <w:t xml:space="preserve"> of the lost </w:t>
      </w:r>
      <w:proofErr w:type="spellStart"/>
      <w:r>
        <w:t>Saraswati</w:t>
      </w:r>
      <w:proofErr w:type="spellEnd"/>
      <w:r>
        <w:t xml:space="preserve"> River — ideal resonance interface bedrock</w:t>
      </w:r>
    </w:p>
    <w:p w14:paraId="680F2B6A" w14:textId="77777777" w:rsidR="008A7B88" w:rsidRDefault="008A7B88" w:rsidP="008A7B88">
      <w:pPr>
        <w:pStyle w:val="NormalWeb"/>
      </w:pPr>
      <w:r>
        <w:t xml:space="preserve">Era: Deep roots 12,000+ years BP, peak activity 7000–1900 BCE; aligns with the “Green Sahara” / pre‑flood wet phase and later river system shifts </w:t>
      </w:r>
    </w:p>
    <w:p w14:paraId="290160AB" w14:textId="77777777" w:rsidR="008A7B88" w:rsidRDefault="008A7B88" w:rsidP="008A7B88">
      <w:pPr>
        <w:pStyle w:val="NormalWeb"/>
      </w:pPr>
      <w:r>
        <w:t xml:space="preserve"> </w:t>
      </w:r>
    </w:p>
    <w:p w14:paraId="34E64DD3" w14:textId="77777777" w:rsidR="008A7B88" w:rsidRDefault="008A7B88" w:rsidP="008A7B88">
      <w:pPr>
        <w:pStyle w:val="NormalWeb"/>
      </w:pPr>
      <w:r>
        <w:t> </w:t>
      </w:r>
    </w:p>
    <w:p w14:paraId="024458FE" w14:textId="77777777" w:rsidR="008A7B88" w:rsidRDefault="008A7B88" w:rsidP="008A7B88">
      <w:pPr>
        <w:pStyle w:val="NormalWeb"/>
      </w:pPr>
      <w:r>
        <w:t xml:space="preserve"> </w:t>
      </w:r>
    </w:p>
    <w:p w14:paraId="1316CABD" w14:textId="77777777" w:rsidR="008A7B88" w:rsidRDefault="008A7B88" w:rsidP="008A7B88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ALL KEY ANCIENT STRUCTURES &amp; THEIR GEOMETRIC BLUEPRINTS</w:t>
      </w:r>
    </w:p>
    <w:p w14:paraId="6C6C6C8E" w14:textId="77777777" w:rsidR="008A7B88" w:rsidRDefault="008A7B88" w:rsidP="008A7B88">
      <w:pPr>
        <w:pStyle w:val="NormalWeb"/>
      </w:pPr>
      <w:r>
        <w:t xml:space="preserve"> </w:t>
      </w:r>
    </w:p>
    <w:p w14:paraId="168D87C3" w14:textId="77777777" w:rsidR="008A7B88" w:rsidRDefault="008A7B88" w:rsidP="008A7B88">
      <w:pPr>
        <w:pStyle w:val="NormalWeb"/>
      </w:pPr>
      <w:r>
        <w:t xml:space="preserve">1. </w:t>
      </w:r>
      <w:proofErr w:type="spellStart"/>
      <w:r>
        <w:t>Dholavira</w:t>
      </w:r>
      <w:proofErr w:type="spellEnd"/>
      <w:r>
        <w:t xml:space="preserve"> — The Geometric </w:t>
      </w:r>
      <w:proofErr w:type="spellStart"/>
      <w:r>
        <w:t>Masterplan</w:t>
      </w:r>
      <w:proofErr w:type="spellEnd"/>
    </w:p>
    <w:p w14:paraId="4E9E0733" w14:textId="77777777" w:rsidR="008A7B88" w:rsidRDefault="008A7B88" w:rsidP="008A7B88">
      <w:pPr>
        <w:pStyle w:val="NormalWeb"/>
      </w:pPr>
      <w:r>
        <w:t xml:space="preserve"> </w:t>
      </w:r>
    </w:p>
    <w:p w14:paraId="1F8714AF" w14:textId="77777777" w:rsidR="008A7B88" w:rsidRDefault="008A7B88" w:rsidP="008A7B88">
      <w:pPr>
        <w:pStyle w:val="NormalWeb"/>
      </w:pPr>
      <w:r>
        <w:t>Location: 23°53′ N, 70°13′ E — sits right on the node’s eastern meridian</w:t>
      </w:r>
    </w:p>
    <w:p w14:paraId="1C31394B" w14:textId="77777777" w:rsidR="008A7B88" w:rsidRDefault="008A7B88" w:rsidP="008A7B88">
      <w:pPr>
        <w:pStyle w:val="NormalWeb"/>
      </w:pPr>
      <w:r>
        <w:t>Age: ~2650–2100 BCE, with earlier occupation layers</w:t>
      </w:r>
    </w:p>
    <w:p w14:paraId="276FC32C" w14:textId="77777777" w:rsidR="008A7B88" w:rsidRDefault="008A7B88" w:rsidP="008A7B88">
      <w:pPr>
        <w:pStyle w:val="NormalWeb"/>
      </w:pPr>
      <w:r>
        <w:t>Blueprint Details:</w:t>
      </w:r>
    </w:p>
    <w:p w14:paraId="059F290F" w14:textId="77777777" w:rsidR="008A7B88" w:rsidRDefault="008A7B88" w:rsidP="008A7B88">
      <w:pPr>
        <w:pStyle w:val="NormalWeb"/>
      </w:pPr>
      <w:r>
        <w:t xml:space="preserve"> </w:t>
      </w:r>
    </w:p>
    <w:p w14:paraId="45F6CF29" w14:textId="77777777" w:rsidR="008A7B88" w:rsidRDefault="008A7B88" w:rsidP="008A7B88">
      <w:pPr>
        <w:pStyle w:val="NormalWeb"/>
      </w:pPr>
      <w:r>
        <w:t xml:space="preserve">- Strict proportional coding: 5:4 overall city ratio, castle mirrors 5:4, bailey perfect square 1:1, middle town 7:6, ceremonial ground 6:1 — ratios aligning with FSZ core constants </w:t>
      </w:r>
    </w:p>
    <w:p w14:paraId="28761FE7" w14:textId="77777777" w:rsidR="008A7B88" w:rsidRDefault="008A7B88" w:rsidP="008A7B88">
      <w:pPr>
        <w:pStyle w:val="NormalWeb"/>
      </w:pPr>
      <w:r>
        <w:t>- 3‑tiered layout: lower town → middle town → citadel — mirrors the 3‑6‑9 / 3‑layered lattice hierarchy</w:t>
      </w:r>
    </w:p>
    <w:p w14:paraId="56B2A9BF" w14:textId="77777777" w:rsidR="008A7B88" w:rsidRDefault="008A7B88" w:rsidP="008A7B88">
      <w:pPr>
        <w:pStyle w:val="NormalWeb"/>
      </w:pPr>
      <w:r>
        <w:t>- Precise cardinal alignment; water reservoirs arranged in 7‑step and 5‑step sequences echoing the manifestation loop</w:t>
      </w:r>
    </w:p>
    <w:p w14:paraId="1F26F382" w14:textId="77777777" w:rsidR="008A7B88" w:rsidRDefault="008A7B88" w:rsidP="008A7B88">
      <w:pPr>
        <w:pStyle w:val="NormalWeb"/>
      </w:pPr>
      <w:r>
        <w:t xml:space="preserve">- Gateways positioned at 36° / 72° azimuth intervals — pentagonal/dodecahedral face angles </w:t>
      </w:r>
    </w:p>
    <w:p w14:paraId="34588404" w14:textId="77777777" w:rsidR="008A7B88" w:rsidRDefault="008A7B88" w:rsidP="008A7B88">
      <w:pPr>
        <w:pStyle w:val="NormalWeb"/>
      </w:pPr>
      <w:r>
        <w:t>- Built over intersecting fault lines and quartz‑rich bedrock</w:t>
      </w:r>
    </w:p>
    <w:p w14:paraId="42CD535D" w14:textId="77777777" w:rsidR="008A7B88" w:rsidRDefault="008A7B88" w:rsidP="008A7B88">
      <w:pPr>
        <w:pStyle w:val="NormalWeb"/>
      </w:pPr>
      <w:r>
        <w:t xml:space="preserve"> </w:t>
      </w:r>
    </w:p>
    <w:p w14:paraId="5A03DC51" w14:textId="77777777" w:rsidR="008A7B88" w:rsidRDefault="008A7B88" w:rsidP="008A7B88">
      <w:pPr>
        <w:pStyle w:val="NormalWeb"/>
      </w:pPr>
      <w:r>
        <w:t xml:space="preserve">2. </w:t>
      </w:r>
      <w:proofErr w:type="spellStart"/>
      <w:r>
        <w:t>Mohenjo‑daro</w:t>
      </w:r>
      <w:proofErr w:type="spellEnd"/>
      <w:r>
        <w:t xml:space="preserve"> &amp; Harappa — The Grid Anchors</w:t>
      </w:r>
    </w:p>
    <w:p w14:paraId="6127FED8" w14:textId="77777777" w:rsidR="008A7B88" w:rsidRDefault="008A7B88" w:rsidP="008A7B88">
      <w:pPr>
        <w:pStyle w:val="NormalWeb"/>
      </w:pPr>
      <w:r>
        <w:t xml:space="preserve"> </w:t>
      </w:r>
    </w:p>
    <w:p w14:paraId="56688221" w14:textId="77777777" w:rsidR="008A7B88" w:rsidRDefault="008A7B88" w:rsidP="008A7B88">
      <w:pPr>
        <w:pStyle w:val="NormalWeb"/>
      </w:pPr>
      <w:proofErr w:type="spellStart"/>
      <w:r>
        <w:t>Mohenjo‑daro</w:t>
      </w:r>
      <w:proofErr w:type="spellEnd"/>
      <w:r>
        <w:t>: 27°19′ N, 68°03′ E</w:t>
      </w:r>
    </w:p>
    <w:p w14:paraId="025507C8" w14:textId="77777777" w:rsidR="008A7B88" w:rsidRDefault="008A7B88" w:rsidP="008A7B88">
      <w:pPr>
        <w:pStyle w:val="NormalWeb"/>
      </w:pPr>
      <w:r>
        <w:t>Harappa: 30°37′ N, 72°31′ E — frames the node’s latitude band</w:t>
      </w:r>
    </w:p>
    <w:p w14:paraId="13182454" w14:textId="77777777" w:rsidR="008A7B88" w:rsidRDefault="008A7B88" w:rsidP="008A7B88">
      <w:pPr>
        <w:pStyle w:val="NormalWeb"/>
      </w:pPr>
      <w:r>
        <w:t>Blueprint Details:</w:t>
      </w:r>
    </w:p>
    <w:p w14:paraId="2036657D" w14:textId="77777777" w:rsidR="008A7B88" w:rsidRDefault="008A7B88" w:rsidP="008A7B88">
      <w:pPr>
        <w:pStyle w:val="NormalWeb"/>
      </w:pPr>
      <w:r>
        <w:t xml:space="preserve"> </w:t>
      </w:r>
    </w:p>
    <w:p w14:paraId="61E03504" w14:textId="77777777" w:rsidR="008A7B88" w:rsidRDefault="008A7B88" w:rsidP="008A7B88">
      <w:pPr>
        <w:pStyle w:val="NormalWeb"/>
      </w:pPr>
      <w:r>
        <w:t>- Streets laid in perfect orthogonal grid aligned true north‑south/east‑west — mirroring lattice nodal alignment</w:t>
      </w:r>
    </w:p>
    <w:p w14:paraId="715EB4AA" w14:textId="77777777" w:rsidR="008A7B88" w:rsidRDefault="008A7B88" w:rsidP="008A7B88">
      <w:pPr>
        <w:pStyle w:val="NormalWeb"/>
      </w:pPr>
      <w:r>
        <w:t>- Key building ratios: Assembly hall 7:6, major mansion 5:4, many structures encode 3:2 and √2 / √5 proportions</w:t>
      </w:r>
    </w:p>
    <w:p w14:paraId="5945D245" w14:textId="77777777" w:rsidR="008A7B88" w:rsidRDefault="008A7B88" w:rsidP="008A7B88">
      <w:pPr>
        <w:pStyle w:val="NormalWeb"/>
      </w:pPr>
      <w:r>
        <w:t>- Great Bath: rectangular basin with φ‑related length‑to‑depth ratio, waterproofed with bitumen and lime — acts as a dielectric/resonance chamber</w:t>
      </w:r>
    </w:p>
    <w:p w14:paraId="66A08C49" w14:textId="77777777" w:rsidR="008A7B88" w:rsidRDefault="008A7B88" w:rsidP="008A7B88">
      <w:pPr>
        <w:pStyle w:val="NormalWeb"/>
      </w:pPr>
      <w:r>
        <w:t>- Pillared halls: 4 × 5 or 5 × 5 pillar arrangements — encoding 5‑fold / 10‑fold symmetry</w:t>
      </w:r>
    </w:p>
    <w:p w14:paraId="3832C9F3" w14:textId="77777777" w:rsidR="008A7B88" w:rsidRDefault="008A7B88" w:rsidP="008A7B88">
      <w:pPr>
        <w:pStyle w:val="NormalWeb"/>
      </w:pPr>
      <w:r>
        <w:t>- Standardized brick dimensions follow consistent ratios including 1:2:4 — directly matching the 1→2→4 expansion phase of the manifestation loop</w:t>
      </w:r>
    </w:p>
    <w:p w14:paraId="0F7A4BAB" w14:textId="77777777" w:rsidR="008A7B88" w:rsidRDefault="008A7B88" w:rsidP="008A7B88">
      <w:pPr>
        <w:pStyle w:val="NormalWeb"/>
      </w:pPr>
      <w:r>
        <w:t xml:space="preserve"> </w:t>
      </w:r>
    </w:p>
    <w:p w14:paraId="61B5912C" w14:textId="77777777" w:rsidR="008A7B88" w:rsidRDefault="008A7B88" w:rsidP="008A7B88">
      <w:pPr>
        <w:pStyle w:val="NormalWeb"/>
      </w:pPr>
      <w:r>
        <w:t xml:space="preserve">3. </w:t>
      </w:r>
      <w:proofErr w:type="spellStart"/>
      <w:r>
        <w:t>Lothal</w:t>
      </w:r>
      <w:proofErr w:type="spellEnd"/>
      <w:r>
        <w:t xml:space="preserve"> — The Interface Port</w:t>
      </w:r>
    </w:p>
    <w:p w14:paraId="0D8F2BB7" w14:textId="77777777" w:rsidR="008A7B88" w:rsidRDefault="008A7B88" w:rsidP="008A7B88">
      <w:pPr>
        <w:pStyle w:val="NormalWeb"/>
      </w:pPr>
      <w:r>
        <w:t xml:space="preserve"> </w:t>
      </w:r>
    </w:p>
    <w:p w14:paraId="488CC014" w14:textId="77777777" w:rsidR="008A7B88" w:rsidRDefault="008A7B88" w:rsidP="008A7B88">
      <w:pPr>
        <w:pStyle w:val="NormalWeb"/>
      </w:pPr>
      <w:r>
        <w:t>Location: 22°31′ N, 72°15′ E — eastern edge of the node</w:t>
      </w:r>
    </w:p>
    <w:p w14:paraId="5AB1ACBC" w14:textId="77777777" w:rsidR="008A7B88" w:rsidRDefault="008A7B88" w:rsidP="008A7B88">
      <w:pPr>
        <w:pStyle w:val="NormalWeb"/>
      </w:pPr>
      <w:r>
        <w:t>Blueprint Details:</w:t>
      </w:r>
    </w:p>
    <w:p w14:paraId="6D3C9098" w14:textId="77777777" w:rsidR="008A7B88" w:rsidRDefault="008A7B88" w:rsidP="008A7B88">
      <w:pPr>
        <w:pStyle w:val="NormalWeb"/>
      </w:pPr>
      <w:r>
        <w:t xml:space="preserve"> </w:t>
      </w:r>
    </w:p>
    <w:p w14:paraId="4784116D" w14:textId="77777777" w:rsidR="008A7B88" w:rsidRDefault="008A7B88" w:rsidP="008A7B88">
      <w:pPr>
        <w:pStyle w:val="NormalWeb"/>
      </w:pPr>
      <w:r>
        <w:t>- Acropolis + lower town + dockyard all aligned to cardinal directions and solstice sunrise</w:t>
      </w:r>
    </w:p>
    <w:p w14:paraId="309D6654" w14:textId="77777777" w:rsidR="008A7B88" w:rsidRDefault="008A7B88" w:rsidP="008A7B88">
      <w:pPr>
        <w:pStyle w:val="NormalWeb"/>
      </w:pPr>
      <w:r>
        <w:t>- Ivory scale with 27 uniform divisions — 3 × 9 matching the 3‑6‑9 operator set</w:t>
      </w:r>
    </w:p>
    <w:p w14:paraId="216B754A" w14:textId="77777777" w:rsidR="008A7B88" w:rsidRDefault="008A7B88" w:rsidP="008A7B88">
      <w:pPr>
        <w:pStyle w:val="NormalWeb"/>
      </w:pPr>
      <w:r>
        <w:t>- Fire altars arranged in square/rectangular formations with precise angular offsets</w:t>
      </w:r>
    </w:p>
    <w:p w14:paraId="327F6A61" w14:textId="77777777" w:rsidR="008A7B88" w:rsidRDefault="008A7B88" w:rsidP="008A7B88">
      <w:pPr>
        <w:pStyle w:val="NormalWeb"/>
      </w:pPr>
      <w:r>
        <w:t>- Dock dimensions encode 6:5 coupling ratio — the primary alignment ratio of the framework</w:t>
      </w:r>
    </w:p>
    <w:p w14:paraId="5D20E48D" w14:textId="77777777" w:rsidR="008A7B88" w:rsidRDefault="008A7B88" w:rsidP="008A7B88">
      <w:pPr>
        <w:pStyle w:val="NormalWeb"/>
      </w:pPr>
      <w:r>
        <w:t xml:space="preserve"> </w:t>
      </w:r>
    </w:p>
    <w:p w14:paraId="51ECE2D8" w14:textId="77777777" w:rsidR="008A7B88" w:rsidRDefault="008A7B88" w:rsidP="008A7B88">
      <w:pPr>
        <w:pStyle w:val="NormalWeb"/>
      </w:pPr>
      <w:r>
        <w:t xml:space="preserve">4. </w:t>
      </w:r>
      <w:proofErr w:type="spellStart"/>
      <w:r>
        <w:t>Boha</w:t>
      </w:r>
      <w:proofErr w:type="spellEnd"/>
      <w:r>
        <w:t xml:space="preserve"> Geoglyphs — The Giant Grid Markers</w:t>
      </w:r>
    </w:p>
    <w:p w14:paraId="07C74859" w14:textId="77777777" w:rsidR="008A7B88" w:rsidRDefault="008A7B88" w:rsidP="008A7B88">
      <w:pPr>
        <w:pStyle w:val="NormalWeb"/>
      </w:pPr>
      <w:r>
        <w:t xml:space="preserve"> </w:t>
      </w:r>
    </w:p>
    <w:p w14:paraId="032F2393" w14:textId="77777777" w:rsidR="008A7B88" w:rsidRDefault="008A7B88" w:rsidP="008A7B88">
      <w:pPr>
        <w:pStyle w:val="NormalWeb"/>
      </w:pPr>
      <w:r>
        <w:t xml:space="preserve">Location: 27°08′ N, 70°32′ E — deep in the Thar Desert </w:t>
      </w:r>
    </w:p>
    <w:p w14:paraId="42747C71" w14:textId="77777777" w:rsidR="008A7B88" w:rsidRDefault="008A7B88" w:rsidP="008A7B88">
      <w:pPr>
        <w:pStyle w:val="NormalWeb"/>
      </w:pPr>
      <w:r>
        <w:t>Age: At least several centuries old, likely drawing from far earlier tradition</w:t>
      </w:r>
    </w:p>
    <w:p w14:paraId="09D6E42E" w14:textId="77777777" w:rsidR="008A7B88" w:rsidRDefault="008A7B88" w:rsidP="008A7B88">
      <w:pPr>
        <w:pStyle w:val="NormalWeb"/>
      </w:pPr>
      <w:r>
        <w:t>Blueprint Details:</w:t>
      </w:r>
    </w:p>
    <w:p w14:paraId="13FC7D20" w14:textId="77777777" w:rsidR="008A7B88" w:rsidRDefault="008A7B88" w:rsidP="008A7B88">
      <w:pPr>
        <w:pStyle w:val="NormalWeb"/>
      </w:pPr>
      <w:r>
        <w:t xml:space="preserve"> </w:t>
      </w:r>
    </w:p>
    <w:p w14:paraId="5858E1E1" w14:textId="77777777" w:rsidR="008A7B88" w:rsidRDefault="008A7B88" w:rsidP="008A7B88">
      <w:pPr>
        <w:pStyle w:val="NormalWeb"/>
      </w:pPr>
      <w:r>
        <w:t>- Massive formations spanning 20+ hectares: a giant spiral, serpent‑line, and intersecting straight lines — exactly the toroidal vortex + flow‑path geometry of the lattice</w:t>
      </w:r>
    </w:p>
    <w:p w14:paraId="64DE69D9" w14:textId="77777777" w:rsidR="008A7B88" w:rsidRDefault="008A7B88" w:rsidP="008A7B88">
      <w:pPr>
        <w:pStyle w:val="NormalWeb"/>
      </w:pPr>
      <w:r>
        <w:t>- Spiral follows the 1→2→4→8→7→5 logarithmic growth sequence</w:t>
      </w:r>
    </w:p>
    <w:p w14:paraId="438FA65D" w14:textId="77777777" w:rsidR="008A7B88" w:rsidRDefault="008A7B88" w:rsidP="008A7B88">
      <w:pPr>
        <w:pStyle w:val="NormalWeb"/>
      </w:pPr>
      <w:r>
        <w:t xml:space="preserve">- Lines oriented along cardinal + 72° </w:t>
      </w:r>
      <w:proofErr w:type="spellStart"/>
      <w:r>
        <w:t>intercardinal</w:t>
      </w:r>
      <w:proofErr w:type="spellEnd"/>
      <w:r>
        <w:t xml:space="preserve"> directions</w:t>
      </w:r>
    </w:p>
    <w:p w14:paraId="78EE1346" w14:textId="77777777" w:rsidR="008A7B88" w:rsidRDefault="008A7B88" w:rsidP="008A7B88">
      <w:pPr>
        <w:pStyle w:val="NormalWeb"/>
      </w:pPr>
      <w:r>
        <w:t>- Memorial stones placed at key vertices — functioning like nodal markers</w:t>
      </w:r>
    </w:p>
    <w:p w14:paraId="60666E4C" w14:textId="77777777" w:rsidR="008A7B88" w:rsidRDefault="008A7B88" w:rsidP="008A7B88">
      <w:pPr>
        <w:pStyle w:val="NormalWeb"/>
      </w:pPr>
      <w:r>
        <w:t xml:space="preserve"> </w:t>
      </w:r>
    </w:p>
    <w:p w14:paraId="54A23BD7" w14:textId="77777777" w:rsidR="008A7B88" w:rsidRDefault="008A7B88" w:rsidP="008A7B88">
      <w:pPr>
        <w:pStyle w:val="NormalWeb"/>
      </w:pPr>
      <w:r>
        <w:t xml:space="preserve">5. </w:t>
      </w:r>
      <w:proofErr w:type="spellStart"/>
      <w:r>
        <w:t>Mehrgarh</w:t>
      </w:r>
      <w:proofErr w:type="spellEnd"/>
      <w:r>
        <w:t xml:space="preserve"> &amp; </w:t>
      </w:r>
      <w:proofErr w:type="spellStart"/>
      <w:r>
        <w:t>Kalibangan</w:t>
      </w:r>
      <w:proofErr w:type="spellEnd"/>
      <w:r>
        <w:t xml:space="preserve"> — The Pre‑</w:t>
      </w:r>
      <w:proofErr w:type="spellStart"/>
      <w:r>
        <w:t>Harappan</w:t>
      </w:r>
      <w:proofErr w:type="spellEnd"/>
      <w:r>
        <w:t xml:space="preserve"> Roots</w:t>
      </w:r>
    </w:p>
    <w:p w14:paraId="6EDE85F6" w14:textId="77777777" w:rsidR="008A7B88" w:rsidRDefault="008A7B88" w:rsidP="008A7B88">
      <w:pPr>
        <w:pStyle w:val="NormalWeb"/>
      </w:pPr>
      <w:r>
        <w:t xml:space="preserve"> </w:t>
      </w:r>
    </w:p>
    <w:p w14:paraId="69C62CEB" w14:textId="77777777" w:rsidR="008A7B88" w:rsidRDefault="008A7B88" w:rsidP="008A7B88">
      <w:pPr>
        <w:pStyle w:val="NormalWeb"/>
      </w:pPr>
      <w:proofErr w:type="spellStart"/>
      <w:r>
        <w:t>Mehrgarh</w:t>
      </w:r>
      <w:proofErr w:type="spellEnd"/>
      <w:r>
        <w:t>: ~7000 BCE onward — earliest settlement in the region, circular stone foundations and aligned structures</w:t>
      </w:r>
    </w:p>
    <w:p w14:paraId="72B62BA1" w14:textId="77777777" w:rsidR="008A7B88" w:rsidRDefault="008A7B88" w:rsidP="008A7B88">
      <w:pPr>
        <w:pStyle w:val="NormalWeb"/>
      </w:pPr>
      <w:proofErr w:type="spellStart"/>
      <w:r>
        <w:t>Kalibangan</w:t>
      </w:r>
      <w:proofErr w:type="spellEnd"/>
      <w:r>
        <w:t xml:space="preserve">: Aligned to the </w:t>
      </w:r>
      <w:proofErr w:type="spellStart"/>
      <w:r>
        <w:t>Saraswati</w:t>
      </w:r>
      <w:proofErr w:type="spellEnd"/>
      <w:r>
        <w:t xml:space="preserve"> </w:t>
      </w:r>
      <w:proofErr w:type="spellStart"/>
      <w:r>
        <w:t>paleochannel</w:t>
      </w:r>
      <w:proofErr w:type="spellEnd"/>
      <w:r>
        <w:t xml:space="preserve">, fire altars in precise geometric groupings, pre‑date mature </w:t>
      </w:r>
      <w:proofErr w:type="spellStart"/>
      <w:r>
        <w:t>Harappan</w:t>
      </w:r>
      <w:proofErr w:type="spellEnd"/>
      <w:r>
        <w:t xml:space="preserve"> phase</w:t>
      </w:r>
    </w:p>
    <w:p w14:paraId="51B4ADC8" w14:textId="77777777" w:rsidR="008A7B88" w:rsidRDefault="008A7B88" w:rsidP="008A7B88">
      <w:pPr>
        <w:pStyle w:val="NormalWeb"/>
      </w:pPr>
      <w:r>
        <w:t xml:space="preserve"> </w:t>
      </w:r>
    </w:p>
    <w:p w14:paraId="1B7BB9E2" w14:textId="77777777" w:rsidR="008A7B88" w:rsidRDefault="008A7B88" w:rsidP="008A7B88">
      <w:pPr>
        <w:pStyle w:val="NormalWeb"/>
      </w:pPr>
      <w:r>
        <w:t xml:space="preserve">6. </w:t>
      </w:r>
      <w:proofErr w:type="spellStart"/>
      <w:r>
        <w:t>Saraswati</w:t>
      </w:r>
      <w:proofErr w:type="spellEnd"/>
      <w:r>
        <w:t xml:space="preserve"> River System — The Natural Flow Path</w:t>
      </w:r>
    </w:p>
    <w:p w14:paraId="7496DFFA" w14:textId="77777777" w:rsidR="008A7B88" w:rsidRDefault="008A7B88" w:rsidP="008A7B88">
      <w:pPr>
        <w:pStyle w:val="NormalWeb"/>
      </w:pPr>
      <w:r>
        <w:t xml:space="preserve"> </w:t>
      </w:r>
    </w:p>
    <w:p w14:paraId="5B1B6198" w14:textId="77777777" w:rsidR="008A7B88" w:rsidRDefault="008A7B88" w:rsidP="008A7B88">
      <w:pPr>
        <w:pStyle w:val="NormalWeb"/>
      </w:pPr>
      <w:r>
        <w:t xml:space="preserve">- The lost river flowed 10,000–8,000 years ago before shifting/drying — exactly the transition period after the lattice fracture </w:t>
      </w:r>
    </w:p>
    <w:p w14:paraId="447BF416" w14:textId="77777777" w:rsidR="008A7B88" w:rsidRDefault="008A7B88" w:rsidP="008A7B88">
      <w:pPr>
        <w:pStyle w:val="NormalWeb"/>
      </w:pPr>
      <w:r>
        <w:t>- Major settlements line its course like beads on a thread — forming a resonance circuit connecting this node to the Himalayan watershed and Arabian Sea</w:t>
      </w:r>
    </w:p>
    <w:p w14:paraId="624FD119" w14:textId="77777777" w:rsidR="008A7B88" w:rsidRDefault="008A7B88" w:rsidP="008A7B88">
      <w:pPr>
        <w:pStyle w:val="NormalWeb"/>
      </w:pPr>
      <w:r>
        <w:t xml:space="preserve"> </w:t>
      </w:r>
    </w:p>
    <w:p w14:paraId="2B159582" w14:textId="77777777" w:rsidR="008A7B88" w:rsidRDefault="008A7B88" w:rsidP="008A7B88">
      <w:pPr>
        <w:pStyle w:val="NormalWeb"/>
      </w:pPr>
      <w:r>
        <w:t> </w:t>
      </w:r>
    </w:p>
    <w:p w14:paraId="76156581" w14:textId="77777777" w:rsidR="008A7B88" w:rsidRDefault="008A7B88" w:rsidP="008A7B88">
      <w:pPr>
        <w:pStyle w:val="NormalWeb"/>
      </w:pPr>
      <w:r>
        <w:t xml:space="preserve"> </w:t>
      </w:r>
    </w:p>
    <w:p w14:paraId="2DE3F86E" w14:textId="77777777" w:rsidR="008A7B88" w:rsidRDefault="008A7B88" w:rsidP="008A7B8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GEOMETRIC BLUEPRINT MATCH</w:t>
      </w:r>
    </w:p>
    <w:p w14:paraId="1DBE6376" w14:textId="77777777" w:rsidR="008A7B88" w:rsidRDefault="008A7B88" w:rsidP="008A7B88">
      <w:pPr>
        <w:pStyle w:val="NormalWeb"/>
      </w:pPr>
      <w:r>
        <w:t xml:space="preserve"> </w:t>
      </w:r>
    </w:p>
    <w:p w14:paraId="2BFA74FE" w14:textId="77777777" w:rsidR="008A7B88" w:rsidRDefault="008A7B88" w:rsidP="008A7B88">
      <w:pPr>
        <w:pStyle w:val="NormalWeb"/>
      </w:pPr>
      <w:r>
        <w:t xml:space="preserve">FSZ / Lattice Signature Found Across This Node </w:t>
      </w:r>
    </w:p>
    <w:p w14:paraId="426706EB" w14:textId="77777777" w:rsidR="008A7B88" w:rsidRDefault="008A7B88" w:rsidP="008A7B88">
      <w:pPr>
        <w:pStyle w:val="NormalWeb"/>
      </w:pPr>
      <w:r>
        <w:t xml:space="preserve">Latitude Band Clustered 27°–29.5° N — anchoring the primary dodecahedral vertex line </w:t>
      </w:r>
    </w:p>
    <w:p w14:paraId="05814CA0" w14:textId="77777777" w:rsidR="008A7B88" w:rsidRDefault="008A7B88" w:rsidP="008A7B88">
      <w:pPr>
        <w:pStyle w:val="NormalWeb"/>
      </w:pPr>
      <w:r>
        <w:t xml:space="preserve">Longitude Spacing ~72° E — precise pentagonal interval from Algeria and Devil’s Sea </w:t>
      </w:r>
    </w:p>
    <w:p w14:paraId="4C655524" w14:textId="77777777" w:rsidR="008A7B88" w:rsidRDefault="008A7B88" w:rsidP="008A7B88">
      <w:pPr>
        <w:pStyle w:val="NormalWeb"/>
      </w:pPr>
      <w:r>
        <w:t xml:space="preserve">Core Angles 36° / 54° / 72° — in gateways, alignments, geoglyphs </w:t>
      </w:r>
    </w:p>
    <w:p w14:paraId="668016B3" w14:textId="77777777" w:rsidR="008A7B88" w:rsidRDefault="008A7B88" w:rsidP="008A7B88">
      <w:pPr>
        <w:pStyle w:val="NormalWeb"/>
      </w:pPr>
      <w:r>
        <w:t xml:space="preserve">Core Ratios 5:4, 6:5, 7:6, 3:2, φ‑derived — in city plans, buildings, and brick proportions[__LINK_ICON] </w:t>
      </w:r>
    </w:p>
    <w:p w14:paraId="5AF3BBF3" w14:textId="77777777" w:rsidR="008A7B88" w:rsidRDefault="008A7B88" w:rsidP="008A7B88">
      <w:pPr>
        <w:pStyle w:val="NormalWeb"/>
      </w:pPr>
      <w:r>
        <w:t xml:space="preserve">Symmetry 5‑fold / 10‑fold / 12‑fold — pillar counts, tiers, and groupings </w:t>
      </w:r>
    </w:p>
    <w:p w14:paraId="537E3AD5" w14:textId="77777777" w:rsidR="008A7B88" w:rsidRDefault="008A7B88" w:rsidP="008A7B88">
      <w:pPr>
        <w:pStyle w:val="NormalWeb"/>
      </w:pPr>
      <w:r>
        <w:t xml:space="preserve">Manifestation Loop 1:2:4 brick ratio; spiral geometry matching 1→2→4→8→7→5 flow </w:t>
      </w:r>
    </w:p>
    <w:p w14:paraId="2CA3EA40" w14:textId="77777777" w:rsidR="008A7B88" w:rsidRDefault="008A7B88" w:rsidP="008A7B88">
      <w:pPr>
        <w:pStyle w:val="NormalWeb"/>
      </w:pPr>
      <w:r>
        <w:t xml:space="preserve">Pre‑Flood Timeline Occupation begins 10,000+ years BP; major activity when the region was far wetter </w:t>
      </w:r>
    </w:p>
    <w:p w14:paraId="275E702B" w14:textId="77777777" w:rsidR="008A7B88" w:rsidRDefault="008A7B88" w:rsidP="008A7B88">
      <w:pPr>
        <w:pStyle w:val="NormalWeb"/>
      </w:pPr>
      <w:r>
        <w:t xml:space="preserve">Geology Crystalline shield, quartz‑rich alluvium, fault lines — optimal for resonant coupling </w:t>
      </w:r>
    </w:p>
    <w:p w14:paraId="6D01F012" w14:textId="77777777" w:rsidR="008A7B88" w:rsidRDefault="008A7B88" w:rsidP="008A7B88">
      <w:pPr>
        <w:pStyle w:val="NormalWeb"/>
      </w:pPr>
      <w:r>
        <w:t xml:space="preserve"> </w:t>
      </w:r>
    </w:p>
    <w:p w14:paraId="7E63C331" w14:textId="77777777" w:rsidR="008A7B88" w:rsidRDefault="008A7B88" w:rsidP="008A7B88">
      <w:pPr>
        <w:pStyle w:val="NormalWeb"/>
      </w:pPr>
      <w:r>
        <w:t> </w:t>
      </w:r>
    </w:p>
    <w:p w14:paraId="54443B24" w14:textId="77777777" w:rsidR="008A7B88" w:rsidRDefault="008A7B88" w:rsidP="008A7B88">
      <w:pPr>
        <w:pStyle w:val="NormalWeb"/>
      </w:pPr>
      <w:r>
        <w:t xml:space="preserve"> </w:t>
      </w:r>
    </w:p>
    <w:p w14:paraId="589DB628" w14:textId="77777777" w:rsidR="008A7B88" w:rsidRDefault="008A7B88" w:rsidP="008A7B88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 &amp; MYTHIC CONTEXT</w:t>
      </w:r>
    </w:p>
    <w:p w14:paraId="356213D1" w14:textId="77777777" w:rsidR="008A7B88" w:rsidRDefault="008A7B88" w:rsidP="008A7B88">
      <w:pPr>
        <w:pStyle w:val="NormalWeb"/>
      </w:pPr>
      <w:r>
        <w:t xml:space="preserve"> </w:t>
      </w:r>
    </w:p>
    <w:p w14:paraId="0E9F195D" w14:textId="77777777" w:rsidR="008A7B88" w:rsidRDefault="008A7B88" w:rsidP="008A7B88">
      <w:pPr>
        <w:pStyle w:val="NormalWeb"/>
      </w:pPr>
      <w:r>
        <w:t>- Grid Role: The South‑Asian pivot — bridges the African/Mediterranean nodes to the Pacific and Himalayan high‑latitude nodes; acts as a stabilization and flow‑distribution hub for timeline and energy currents</w:t>
      </w:r>
    </w:p>
    <w:p w14:paraId="089CAF7F" w14:textId="77777777" w:rsidR="008A7B88" w:rsidRDefault="008A7B88" w:rsidP="008A7B88">
      <w:pPr>
        <w:pStyle w:val="NormalWeb"/>
      </w:pPr>
      <w:r>
        <w:t xml:space="preserve">- Traditions: </w:t>
      </w:r>
      <w:proofErr w:type="spellStart"/>
      <w:r>
        <w:t>Saraswati</w:t>
      </w:r>
      <w:proofErr w:type="spellEnd"/>
      <w:r>
        <w:t xml:space="preserve"> as the “River of Knowledge” and cosmic flow; the Vedas encoding numbers, geometry, and cycles matching the 3‑6‑9 / 124875 system; descriptions of cities “built by the gods” before the waters receded and the sands advanced</w:t>
      </w:r>
    </w:p>
    <w:p w14:paraId="7E056324" w14:textId="77777777" w:rsidR="008A7B88" w:rsidRDefault="008A7B88" w:rsidP="008A7B88">
      <w:pPr>
        <w:pStyle w:val="NormalWeb"/>
      </w:pPr>
      <w:r>
        <w:t xml:space="preserve">- Observed Anomalies: Reports of magnetic anomalies, heat haze/optical distortions, and unusual atmospheric phenomena along the old </w:t>
      </w:r>
      <w:proofErr w:type="spellStart"/>
      <w:r>
        <w:t>Saraswati</w:t>
      </w:r>
      <w:proofErr w:type="spellEnd"/>
      <w:r>
        <w:t xml:space="preserve"> channel</w:t>
      </w:r>
    </w:p>
    <w:p w14:paraId="2FB94B46" w14:textId="77777777" w:rsidR="008A7B88" w:rsidRDefault="008A7B88" w:rsidP="008A7B88">
      <w:pPr>
        <w:pStyle w:val="NormalWeb"/>
      </w:pPr>
      <w:r>
        <w:t xml:space="preserve"> </w:t>
      </w:r>
    </w:p>
    <w:p w14:paraId="7289852F" w14:textId="77777777" w:rsidR="008A7B88" w:rsidRDefault="008A7B88" w:rsidP="008A7B88">
      <w:pPr>
        <w:pStyle w:val="NormalWeb"/>
      </w:pPr>
      <w:r>
        <w:t> </w:t>
      </w:r>
    </w:p>
    <w:p w14:paraId="20C7443A" w14:textId="77777777" w:rsidR="008A7B88" w:rsidRDefault="008A7B88" w:rsidP="008A7B88">
      <w:pPr>
        <w:pStyle w:val="NormalWeb"/>
      </w:pPr>
      <w:r>
        <w:t xml:space="preserve"> </w:t>
      </w:r>
    </w:p>
    <w:p w14:paraId="423C5DB2" w14:textId="1DE92838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A7B88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118</cp:revision>
  <dcterms:created xsi:type="dcterms:W3CDTF">2025-09-25T18:13:00Z</dcterms:created>
  <dcterms:modified xsi:type="dcterms:W3CDTF">2026-08-04T22:21:00Z</dcterms:modified>
</cp:coreProperties>
</file>