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FC36" w14:textId="52219E63" w:rsidR="001F4CA4" w:rsidRDefault="001F4CA4" w:rsidP="001F4CA4">
      <w:pPr>
        <w:pStyle w:val="NormalWeb"/>
      </w:pPr>
    </w:p>
    <w:p w14:paraId="5635D850" w14:textId="25186448" w:rsidR="00090288" w:rsidRDefault="00090288" w:rsidP="00090288">
      <w:pPr>
        <w:pStyle w:val="NormalWeb"/>
      </w:pPr>
      <w:r>
        <w:rPr>
          <w:rFonts w:ascii="Segoe UI Emoji" w:hAnsi="Segoe UI Emoji" w:cs="Segoe UI Emoji"/>
        </w:rPr>
        <w:t>🟧</w:t>
      </w:r>
      <w:r>
        <w:t xml:space="preserve"> NODE 7</w:t>
      </w:r>
      <w:r w:rsidR="00570870">
        <w:t xml:space="preserve"> </w:t>
      </w:r>
      <w:r>
        <w:t>HAWAIIAN ISLANDS / SOUTH PACIFIC GYRE</w:t>
      </w:r>
    </w:p>
    <w:p w14:paraId="6AB85A4A" w14:textId="77777777" w:rsidR="00090288" w:rsidRDefault="00090288" w:rsidP="00090288">
      <w:pPr>
        <w:pStyle w:val="NormalWeb"/>
      </w:pPr>
      <w:r>
        <w:t xml:space="preserve"> </w:t>
      </w:r>
    </w:p>
    <w:p w14:paraId="3D6CB1EF" w14:textId="77777777" w:rsidR="00090288" w:rsidRDefault="00090288" w:rsidP="00090288">
      <w:pPr>
        <w:pStyle w:val="NormalWeb"/>
      </w:pPr>
      <w:r>
        <w:t>Role: Central Pacific Timeline Interface / Equatorial‑Pacific Anchor</w:t>
      </w:r>
    </w:p>
    <w:p w14:paraId="0DF2EAA1" w14:textId="77777777" w:rsidR="00090288" w:rsidRDefault="00090288" w:rsidP="00090288">
      <w:pPr>
        <w:pStyle w:val="NormalWeb"/>
      </w:pPr>
      <w:r>
        <w:t>Grid Coordinates: ~19°–22° N, 154°–162° W — sits along the primary ~29.5° N grid band’s central Pacific arc; ~72° longitude west of the Indus Valley node, completing the pentagonal spacing around the northern hemisphere</w:t>
      </w:r>
    </w:p>
    <w:p w14:paraId="3B1FDCEF" w14:textId="77777777" w:rsidR="00090288" w:rsidRDefault="00090288" w:rsidP="00090288">
      <w:pPr>
        <w:pStyle w:val="NormalWeb"/>
      </w:pPr>
      <w:r>
        <w:t xml:space="preserve">Geology: Volcanic hotspot, deep mantle plume, basalt‑quartz formations, and the world’s largest ocean gyre — intense geophysical/energetic activity matching vortex signatures </w:t>
      </w:r>
    </w:p>
    <w:p w14:paraId="506B8A60" w14:textId="77777777" w:rsidR="00090288" w:rsidRDefault="00090288" w:rsidP="00090288">
      <w:pPr>
        <w:pStyle w:val="NormalWeb"/>
      </w:pPr>
      <w:r>
        <w:t xml:space="preserve">Era: Ancient foundations linked to pre‑flood Pacific traditions; oral histories extending back 12,000+ years; </w:t>
      </w:r>
      <w:proofErr w:type="spellStart"/>
      <w:r>
        <w:t>heiau</w:t>
      </w:r>
      <w:proofErr w:type="spellEnd"/>
      <w:r>
        <w:t xml:space="preserve"> development from early first millennium CE onward</w:t>
      </w:r>
    </w:p>
    <w:p w14:paraId="48A85EA4" w14:textId="77777777" w:rsidR="00090288" w:rsidRDefault="00090288" w:rsidP="00090288">
      <w:pPr>
        <w:pStyle w:val="NormalWeb"/>
      </w:pPr>
      <w:r>
        <w:t xml:space="preserve"> </w:t>
      </w:r>
    </w:p>
    <w:p w14:paraId="7E438447" w14:textId="77777777" w:rsidR="00090288" w:rsidRDefault="00090288" w:rsidP="00090288">
      <w:pPr>
        <w:pStyle w:val="NormalWeb"/>
      </w:pPr>
      <w:r>
        <w:t> </w:t>
      </w:r>
    </w:p>
    <w:p w14:paraId="7F369BAA" w14:textId="77777777" w:rsidR="00090288" w:rsidRDefault="00090288" w:rsidP="00090288">
      <w:pPr>
        <w:pStyle w:val="NormalWeb"/>
      </w:pPr>
      <w:r>
        <w:t xml:space="preserve"> </w:t>
      </w:r>
    </w:p>
    <w:p w14:paraId="6CFEBCF8" w14:textId="77777777" w:rsidR="00090288" w:rsidRDefault="00090288" w:rsidP="00090288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ALL KEY ANCIENT STRUCTURES &amp; THEIR GEOMETRIC BLUEPRINTS</w:t>
      </w:r>
    </w:p>
    <w:p w14:paraId="03A46BCF" w14:textId="77777777" w:rsidR="00090288" w:rsidRDefault="00090288" w:rsidP="00090288">
      <w:pPr>
        <w:pStyle w:val="NormalWeb"/>
      </w:pPr>
      <w:r>
        <w:t xml:space="preserve"> </w:t>
      </w:r>
    </w:p>
    <w:p w14:paraId="55C8A576" w14:textId="77777777" w:rsidR="00090288" w:rsidRDefault="00090288" w:rsidP="00090288">
      <w:pPr>
        <w:pStyle w:val="NormalWeb"/>
      </w:pPr>
      <w:r>
        <w:t xml:space="preserve">1. </w:t>
      </w:r>
      <w:proofErr w:type="spellStart"/>
      <w:r>
        <w:t>Heiau</w:t>
      </w:r>
      <w:proofErr w:type="spellEnd"/>
      <w:r>
        <w:t xml:space="preserve"> Complexes — The Resonance Temples</w:t>
      </w:r>
    </w:p>
    <w:p w14:paraId="0D8081BA" w14:textId="77777777" w:rsidR="00090288" w:rsidRDefault="00090288" w:rsidP="00090288">
      <w:pPr>
        <w:pStyle w:val="NormalWeb"/>
      </w:pPr>
      <w:r>
        <w:t xml:space="preserve"> </w:t>
      </w:r>
    </w:p>
    <w:p w14:paraId="15FD7897" w14:textId="77777777" w:rsidR="00090288" w:rsidRDefault="00090288" w:rsidP="00090288">
      <w:pPr>
        <w:pStyle w:val="NormalWeb"/>
      </w:pPr>
      <w:r>
        <w:t xml:space="preserve">Key Sites: </w:t>
      </w:r>
      <w:proofErr w:type="spellStart"/>
      <w:r>
        <w:t>Puʻukoholā</w:t>
      </w:r>
      <w:proofErr w:type="spellEnd"/>
      <w:r>
        <w:t xml:space="preserve"> </w:t>
      </w:r>
      <w:proofErr w:type="spellStart"/>
      <w:r>
        <w:t>Heiau</w:t>
      </w:r>
      <w:proofErr w:type="spellEnd"/>
      <w:r>
        <w:t xml:space="preserve">, Hale o </w:t>
      </w:r>
      <w:proofErr w:type="spellStart"/>
      <w:r>
        <w:t>Lono</w:t>
      </w:r>
      <w:proofErr w:type="spellEnd"/>
      <w:r>
        <w:t xml:space="preserve">, </w:t>
      </w:r>
      <w:proofErr w:type="spellStart"/>
      <w:r>
        <w:t>Honouliuli</w:t>
      </w:r>
      <w:proofErr w:type="spellEnd"/>
      <w:r>
        <w:t xml:space="preserve"> Enclosure, </w:t>
      </w:r>
      <w:proofErr w:type="spellStart"/>
      <w:r>
        <w:t>Kukaniloko</w:t>
      </w:r>
      <w:proofErr w:type="spellEnd"/>
      <w:r>
        <w:t xml:space="preserve"> Birthstones</w:t>
      </w:r>
    </w:p>
    <w:p w14:paraId="3807FF4A" w14:textId="77777777" w:rsidR="00090288" w:rsidRDefault="00090288" w:rsidP="00090288">
      <w:pPr>
        <w:pStyle w:val="NormalWeb"/>
      </w:pPr>
      <w:r>
        <w:t>Blueprint Details:</w:t>
      </w:r>
    </w:p>
    <w:p w14:paraId="25D989D5" w14:textId="77777777" w:rsidR="00090288" w:rsidRDefault="00090288" w:rsidP="00090288">
      <w:pPr>
        <w:pStyle w:val="NormalWeb"/>
      </w:pPr>
      <w:r>
        <w:t xml:space="preserve"> </w:t>
      </w:r>
    </w:p>
    <w:p w14:paraId="258982F4" w14:textId="77777777" w:rsidR="00090288" w:rsidRDefault="00090288" w:rsidP="00090288">
      <w:pPr>
        <w:pStyle w:val="NormalWeb"/>
      </w:pPr>
      <w:r>
        <w:t>- Layout: Most are rectangular/terrace‑style with length‑to‑width ratios of 6:5, 5:4, or approximating φ — matching core FSZ constants</w:t>
      </w:r>
    </w:p>
    <w:p w14:paraId="27718490" w14:textId="77777777" w:rsidR="00090288" w:rsidRDefault="00090288" w:rsidP="00090288">
      <w:pPr>
        <w:pStyle w:val="NormalWeb"/>
      </w:pPr>
      <w:r>
        <w:t xml:space="preserve">- Orientation: Precisely aligned to </w:t>
      </w:r>
      <w:proofErr w:type="spellStart"/>
      <w:r>
        <w:t>Makaliʻi</w:t>
      </w:r>
      <w:proofErr w:type="spellEnd"/>
      <w:r>
        <w:t xml:space="preserve"> (Pleiades) sunrise/sunset, solstices, and cardinal directions</w:t>
      </w:r>
    </w:p>
    <w:p w14:paraId="48F74B73" w14:textId="77777777" w:rsidR="00090288" w:rsidRDefault="00090288" w:rsidP="00090288">
      <w:pPr>
        <w:pStyle w:val="NormalWeb"/>
      </w:pPr>
      <w:r>
        <w:t>- Symmetry: Many feature 5/10 upright stone alignments, concentric terraces, and entrance placements at 36°/72° azimuths — pentagonal/dodecahedral coding</w:t>
      </w:r>
    </w:p>
    <w:p w14:paraId="52164B06" w14:textId="77777777" w:rsidR="00090288" w:rsidRDefault="00090288" w:rsidP="00090288">
      <w:pPr>
        <w:pStyle w:val="NormalWeb"/>
      </w:pPr>
      <w:r>
        <w:t>- Construction: Built over lava tubes, fault lines, and basalt‑rich bedrock — ideal for coupling with subsurface resonance</w:t>
      </w:r>
    </w:p>
    <w:p w14:paraId="3C4913A0" w14:textId="77777777" w:rsidR="00090288" w:rsidRDefault="00090288" w:rsidP="00090288">
      <w:pPr>
        <w:pStyle w:val="NormalWeb"/>
      </w:pPr>
      <w:r>
        <w:t xml:space="preserve">- </w:t>
      </w:r>
      <w:proofErr w:type="spellStart"/>
      <w:r>
        <w:t>Puʻukoholā</w:t>
      </w:r>
      <w:proofErr w:type="spellEnd"/>
      <w:r>
        <w:t xml:space="preserve"> </w:t>
      </w:r>
      <w:proofErr w:type="spellStart"/>
      <w:r>
        <w:t>Heiau</w:t>
      </w:r>
      <w:proofErr w:type="spellEnd"/>
      <w:r>
        <w:t>: Perfect square‑rectangle proportions; axis aligned to the plume’s central uplift zone</w:t>
      </w:r>
    </w:p>
    <w:p w14:paraId="5A82B0EC" w14:textId="77777777" w:rsidR="00090288" w:rsidRDefault="00090288" w:rsidP="00090288">
      <w:pPr>
        <w:pStyle w:val="NormalWeb"/>
      </w:pPr>
      <w:r>
        <w:t xml:space="preserve"> </w:t>
      </w:r>
    </w:p>
    <w:p w14:paraId="62CA38BB" w14:textId="77777777" w:rsidR="00090288" w:rsidRDefault="00090288" w:rsidP="00090288">
      <w:pPr>
        <w:pStyle w:val="NormalWeb"/>
      </w:pPr>
      <w:r>
        <w:t xml:space="preserve">2. </w:t>
      </w:r>
      <w:proofErr w:type="spellStart"/>
      <w:r>
        <w:t>Kukaniloko</w:t>
      </w:r>
      <w:proofErr w:type="spellEnd"/>
      <w:r>
        <w:t xml:space="preserve"> &amp; </w:t>
      </w:r>
      <w:proofErr w:type="spellStart"/>
      <w:r>
        <w:t>Holoholoku</w:t>
      </w:r>
      <w:proofErr w:type="spellEnd"/>
      <w:r>
        <w:t xml:space="preserve"> — The Sacred Nodal Markers</w:t>
      </w:r>
    </w:p>
    <w:p w14:paraId="02EF4676" w14:textId="77777777" w:rsidR="00090288" w:rsidRDefault="00090288" w:rsidP="00090288">
      <w:pPr>
        <w:pStyle w:val="NormalWeb"/>
      </w:pPr>
      <w:r>
        <w:t xml:space="preserve"> </w:t>
      </w:r>
    </w:p>
    <w:p w14:paraId="306EDF41" w14:textId="77777777" w:rsidR="00090288" w:rsidRDefault="00090288" w:rsidP="00090288">
      <w:pPr>
        <w:pStyle w:val="NormalWeb"/>
      </w:pPr>
      <w:r>
        <w:t xml:space="preserve">Location: </w:t>
      </w:r>
      <w:proofErr w:type="spellStart"/>
      <w:r>
        <w:t>Oʻahu’s</w:t>
      </w:r>
      <w:proofErr w:type="spellEnd"/>
      <w:r>
        <w:t xml:space="preserve"> central plateau — geodetic </w:t>
      </w:r>
      <w:proofErr w:type="spellStart"/>
      <w:r>
        <w:t>center</w:t>
      </w:r>
      <w:proofErr w:type="spellEnd"/>
      <w:r>
        <w:t xml:space="preserve"> of the main islands</w:t>
      </w:r>
    </w:p>
    <w:p w14:paraId="287797E9" w14:textId="77777777" w:rsidR="00090288" w:rsidRDefault="00090288" w:rsidP="00090288">
      <w:pPr>
        <w:pStyle w:val="NormalWeb"/>
      </w:pPr>
      <w:r>
        <w:t>Blueprint Details:</w:t>
      </w:r>
    </w:p>
    <w:p w14:paraId="0F0B8137" w14:textId="77777777" w:rsidR="00090288" w:rsidRDefault="00090288" w:rsidP="00090288">
      <w:pPr>
        <w:pStyle w:val="NormalWeb"/>
      </w:pPr>
      <w:r>
        <w:t xml:space="preserve"> </w:t>
      </w:r>
    </w:p>
    <w:p w14:paraId="4768DDF7" w14:textId="77777777" w:rsidR="00090288" w:rsidRDefault="00090288" w:rsidP="00090288">
      <w:pPr>
        <w:pStyle w:val="NormalWeb"/>
      </w:pPr>
      <w:r>
        <w:t>- Stone arrangements: 36 primary standing stones + surrounding markers — 3 × 12 reflecting the 3‑6‑9 / 12‑node system</w:t>
      </w:r>
    </w:p>
    <w:p w14:paraId="1D183568" w14:textId="77777777" w:rsidR="00090288" w:rsidRDefault="00090288" w:rsidP="00090288">
      <w:pPr>
        <w:pStyle w:val="NormalWeb"/>
      </w:pPr>
      <w:r>
        <w:t>- Layout: Radial pattern with stones spaced at equal angles echoing the dodecahedral vertex distribution</w:t>
      </w:r>
    </w:p>
    <w:p w14:paraId="44C5A71B" w14:textId="77777777" w:rsidR="00090288" w:rsidRDefault="00090288" w:rsidP="00090288">
      <w:pPr>
        <w:pStyle w:val="NormalWeb"/>
      </w:pPr>
      <w:r>
        <w:t>- Function: Traditional “place of the royal birth” — described as a convergence point of “heavenly currents”</w:t>
      </w:r>
    </w:p>
    <w:p w14:paraId="6DA885DB" w14:textId="77777777" w:rsidR="00090288" w:rsidRDefault="00090288" w:rsidP="00090288">
      <w:pPr>
        <w:pStyle w:val="NormalWeb"/>
      </w:pPr>
      <w:r>
        <w:t xml:space="preserve"> </w:t>
      </w:r>
    </w:p>
    <w:p w14:paraId="75241499" w14:textId="77777777" w:rsidR="00090288" w:rsidRDefault="00090288" w:rsidP="00090288">
      <w:pPr>
        <w:pStyle w:val="NormalWeb"/>
      </w:pPr>
      <w:r>
        <w:t>3. Petroglyph Fields — The Geometry Archives</w:t>
      </w:r>
    </w:p>
    <w:p w14:paraId="04371CF5" w14:textId="77777777" w:rsidR="00090288" w:rsidRDefault="00090288" w:rsidP="00090288">
      <w:pPr>
        <w:pStyle w:val="NormalWeb"/>
      </w:pPr>
      <w:r>
        <w:t xml:space="preserve"> </w:t>
      </w:r>
    </w:p>
    <w:p w14:paraId="515EA1B8" w14:textId="77777777" w:rsidR="00090288" w:rsidRDefault="00090288" w:rsidP="00090288">
      <w:pPr>
        <w:pStyle w:val="NormalWeb"/>
      </w:pPr>
      <w:r>
        <w:t xml:space="preserve">Key Sites: </w:t>
      </w:r>
      <w:proofErr w:type="spellStart"/>
      <w:r>
        <w:t>Puʻu</w:t>
      </w:r>
      <w:proofErr w:type="spellEnd"/>
      <w:r>
        <w:t xml:space="preserve"> Loa (</w:t>
      </w:r>
      <w:proofErr w:type="spellStart"/>
      <w:r>
        <w:t>Hawaiʻi</w:t>
      </w:r>
      <w:proofErr w:type="spellEnd"/>
      <w:r>
        <w:t xml:space="preserve"> Island), </w:t>
      </w:r>
      <w:proofErr w:type="spellStart"/>
      <w:r>
        <w:t>Kaʻū</w:t>
      </w:r>
      <w:proofErr w:type="spellEnd"/>
      <w:r>
        <w:t xml:space="preserve"> Desert, Maui uplands</w:t>
      </w:r>
    </w:p>
    <w:p w14:paraId="366EEAF5" w14:textId="77777777" w:rsidR="00090288" w:rsidRDefault="00090288" w:rsidP="00090288">
      <w:pPr>
        <w:pStyle w:val="NormalWeb"/>
      </w:pPr>
      <w:r>
        <w:t>Blueprint Details:</w:t>
      </w:r>
    </w:p>
    <w:p w14:paraId="58388E0C" w14:textId="77777777" w:rsidR="00090288" w:rsidRDefault="00090288" w:rsidP="00090288">
      <w:pPr>
        <w:pStyle w:val="NormalWeb"/>
      </w:pPr>
      <w:r>
        <w:t xml:space="preserve"> </w:t>
      </w:r>
    </w:p>
    <w:p w14:paraId="0CAE426C" w14:textId="77777777" w:rsidR="00090288" w:rsidRDefault="00090288" w:rsidP="00090288">
      <w:pPr>
        <w:pStyle w:val="NormalWeb"/>
      </w:pPr>
      <w:r>
        <w:t>- Repeated motifs: spirals, concentric circles, 12‑pointed stars, pentagrams, and toroidal loops — direct visual matches to lattice structure and the 1→2→4→8→7→5 flow</w:t>
      </w:r>
    </w:p>
    <w:p w14:paraId="1436D778" w14:textId="77777777" w:rsidR="00090288" w:rsidRDefault="00090288" w:rsidP="00090288">
      <w:pPr>
        <w:pStyle w:val="NormalWeb"/>
      </w:pPr>
      <w:r>
        <w:t>- Spirals follow logarithmic growth consistent with the manifestation loop sequence</w:t>
      </w:r>
    </w:p>
    <w:p w14:paraId="16F4CCD8" w14:textId="77777777" w:rsidR="00090288" w:rsidRDefault="00090288" w:rsidP="00090288">
      <w:pPr>
        <w:pStyle w:val="NormalWeb"/>
      </w:pPr>
      <w:r>
        <w:t xml:space="preserve">- Many figures positioned along alignments pointing to Mauna Kea and the gyre </w:t>
      </w:r>
      <w:proofErr w:type="spellStart"/>
      <w:r>
        <w:t>center</w:t>
      </w:r>
      <w:proofErr w:type="spellEnd"/>
    </w:p>
    <w:p w14:paraId="4863416D" w14:textId="77777777" w:rsidR="00090288" w:rsidRDefault="00090288" w:rsidP="00090288">
      <w:pPr>
        <w:pStyle w:val="NormalWeb"/>
      </w:pPr>
      <w:r>
        <w:t xml:space="preserve"> </w:t>
      </w:r>
    </w:p>
    <w:p w14:paraId="22D1CCF7" w14:textId="77777777" w:rsidR="00090288" w:rsidRDefault="00090288" w:rsidP="00090288">
      <w:pPr>
        <w:pStyle w:val="NormalWeb"/>
      </w:pPr>
      <w:r>
        <w:t>4. Mauna Kea / Mauna Loa — The Natural Pillars</w:t>
      </w:r>
    </w:p>
    <w:p w14:paraId="65B0D574" w14:textId="77777777" w:rsidR="00090288" w:rsidRDefault="00090288" w:rsidP="00090288">
      <w:pPr>
        <w:pStyle w:val="NormalWeb"/>
      </w:pPr>
      <w:r>
        <w:t xml:space="preserve"> </w:t>
      </w:r>
    </w:p>
    <w:p w14:paraId="4BF9A60C" w14:textId="77777777" w:rsidR="00090288" w:rsidRDefault="00090288" w:rsidP="00090288">
      <w:pPr>
        <w:pStyle w:val="NormalWeb"/>
      </w:pPr>
      <w:r>
        <w:t>Blueprint Significance:</w:t>
      </w:r>
    </w:p>
    <w:p w14:paraId="4363EB35" w14:textId="77777777" w:rsidR="00090288" w:rsidRDefault="00090288" w:rsidP="00090288">
      <w:pPr>
        <w:pStyle w:val="NormalWeb"/>
      </w:pPr>
      <w:r>
        <w:t xml:space="preserve"> </w:t>
      </w:r>
    </w:p>
    <w:p w14:paraId="6B4329B7" w14:textId="77777777" w:rsidR="00090288" w:rsidRDefault="00090288" w:rsidP="00090288">
      <w:pPr>
        <w:pStyle w:val="NormalWeb"/>
      </w:pPr>
      <w:r>
        <w:t>- Mauna Kea summit ~19.8° N — aligns with tetrahedral vertex latitude; its height above sea level + submerged depth creates a total height ratio matching √5</w:t>
      </w:r>
    </w:p>
    <w:p w14:paraId="0AA44D0A" w14:textId="77777777" w:rsidR="00090288" w:rsidRDefault="00090288" w:rsidP="00090288">
      <w:pPr>
        <w:pStyle w:val="NormalWeb"/>
      </w:pPr>
      <w:r>
        <w:t>- Summits align with the node’s central meridian and function as natural “antennae” rising above atmospheric interference</w:t>
      </w:r>
    </w:p>
    <w:p w14:paraId="5C2C4056" w14:textId="77777777" w:rsidR="00090288" w:rsidRDefault="00090288" w:rsidP="00090288">
      <w:pPr>
        <w:pStyle w:val="NormalWeb"/>
      </w:pPr>
      <w:r>
        <w:t xml:space="preserve"> </w:t>
      </w:r>
    </w:p>
    <w:p w14:paraId="28AD1CED" w14:textId="77777777" w:rsidR="00090288" w:rsidRDefault="00090288" w:rsidP="00090288">
      <w:pPr>
        <w:pStyle w:val="NormalWeb"/>
      </w:pPr>
      <w:r>
        <w:t>5. Legends &amp; Submerged Formations</w:t>
      </w:r>
    </w:p>
    <w:p w14:paraId="143B8957" w14:textId="77777777" w:rsidR="00090288" w:rsidRDefault="00090288" w:rsidP="00090288">
      <w:pPr>
        <w:pStyle w:val="NormalWeb"/>
      </w:pPr>
      <w:r>
        <w:t xml:space="preserve"> </w:t>
      </w:r>
    </w:p>
    <w:p w14:paraId="4B108EE5" w14:textId="77777777" w:rsidR="00090288" w:rsidRDefault="00090288" w:rsidP="00090288">
      <w:pPr>
        <w:pStyle w:val="NormalWeb"/>
      </w:pPr>
      <w:r>
        <w:t xml:space="preserve">- Lost Lands: Oral traditions of </w:t>
      </w:r>
      <w:proofErr w:type="spellStart"/>
      <w:r>
        <w:t>Kaluapapa</w:t>
      </w:r>
      <w:proofErr w:type="spellEnd"/>
      <w:r>
        <w:t xml:space="preserve"> and sunken districts; linked to the broader Mu / Lemuria narratives of a vast Pacific homeland submerged during the great cataclysm ~12,000 years ago</w:t>
      </w:r>
    </w:p>
    <w:p w14:paraId="5546BB2F" w14:textId="77777777" w:rsidR="00090288" w:rsidRDefault="00090288" w:rsidP="00090288">
      <w:pPr>
        <w:pStyle w:val="NormalWeb"/>
      </w:pPr>
      <w:r>
        <w:t>- Sonar Reports: Unconfirmed accounts of submerged stepped platforms, circular formations, and wall‑like structures on surrounding seamounts — matching megalithic interface patterns</w:t>
      </w:r>
    </w:p>
    <w:p w14:paraId="1587EBAB" w14:textId="77777777" w:rsidR="00090288" w:rsidRDefault="00090288" w:rsidP="00090288">
      <w:pPr>
        <w:pStyle w:val="NormalWeb"/>
      </w:pPr>
      <w:r>
        <w:t xml:space="preserve"> </w:t>
      </w:r>
    </w:p>
    <w:p w14:paraId="1A68C0B0" w14:textId="77777777" w:rsidR="00090288" w:rsidRDefault="00090288" w:rsidP="00090288">
      <w:pPr>
        <w:pStyle w:val="NormalWeb"/>
      </w:pPr>
      <w:r>
        <w:t> </w:t>
      </w:r>
    </w:p>
    <w:p w14:paraId="3FB4D0F1" w14:textId="77777777" w:rsidR="00090288" w:rsidRDefault="00090288" w:rsidP="00090288">
      <w:pPr>
        <w:pStyle w:val="NormalWeb"/>
      </w:pPr>
      <w:r>
        <w:t xml:space="preserve"> </w:t>
      </w:r>
    </w:p>
    <w:p w14:paraId="16C07F73" w14:textId="77777777" w:rsidR="00090288" w:rsidRDefault="00090288" w:rsidP="00090288">
      <w:pPr>
        <w:pStyle w:val="NormalWeb"/>
      </w:pPr>
      <w:r>
        <w:rPr>
          <w:rFonts w:ascii="Segoe UI Emoji" w:hAnsi="Segoe UI Emoji" w:cs="Segoe UI Emoji"/>
        </w:rPr>
        <w:t>🌀</w:t>
      </w:r>
      <w:r>
        <w:t xml:space="preserve"> SOUTH PACIFIC GYRE — THE VORTEX ITSELF</w:t>
      </w:r>
    </w:p>
    <w:p w14:paraId="71E626B5" w14:textId="77777777" w:rsidR="00090288" w:rsidRDefault="00090288" w:rsidP="00090288">
      <w:pPr>
        <w:pStyle w:val="NormalWeb"/>
      </w:pPr>
      <w:r>
        <w:t xml:space="preserve"> </w:t>
      </w:r>
    </w:p>
    <w:p w14:paraId="2567D5FB" w14:textId="77777777" w:rsidR="00090288" w:rsidRDefault="00090288" w:rsidP="00090288">
      <w:pPr>
        <w:pStyle w:val="NormalWeb"/>
      </w:pPr>
      <w:r>
        <w:t>Core Traits:</w:t>
      </w:r>
    </w:p>
    <w:p w14:paraId="1B88CB23" w14:textId="77777777" w:rsidR="00090288" w:rsidRDefault="00090288" w:rsidP="00090288">
      <w:pPr>
        <w:pStyle w:val="NormalWeb"/>
      </w:pPr>
      <w:r>
        <w:t xml:space="preserve"> </w:t>
      </w:r>
    </w:p>
    <w:p w14:paraId="69E5C618" w14:textId="77777777" w:rsidR="00090288" w:rsidRDefault="00090288" w:rsidP="00090288">
      <w:pPr>
        <w:pStyle w:val="NormalWeb"/>
      </w:pPr>
      <w:r>
        <w:t xml:space="preserve">- Earth’s largest ocean gyre — a massive natural counter‑clockwise toroidal flow perfectly mirroring lattice dynamics </w:t>
      </w:r>
    </w:p>
    <w:p w14:paraId="2EED7264" w14:textId="77777777" w:rsidR="00090288" w:rsidRDefault="00090288" w:rsidP="00090288">
      <w:pPr>
        <w:pStyle w:val="NormalWeb"/>
      </w:pPr>
      <w:r>
        <w:t xml:space="preserve">- </w:t>
      </w:r>
      <w:proofErr w:type="spellStart"/>
      <w:r>
        <w:t>Center</w:t>
      </w:r>
      <w:proofErr w:type="spellEnd"/>
      <w:r>
        <w:t xml:space="preserve"> = “Oceanic Pole of Inaccessibility” — furthest from all land, exceptionally clear water, ultra‑slow sedimentation — matches descriptions of a “still point” or nodal hub </w:t>
      </w:r>
    </w:p>
    <w:p w14:paraId="664A40D7" w14:textId="77777777" w:rsidR="00090288" w:rsidRDefault="00090288" w:rsidP="00090288">
      <w:pPr>
        <w:pStyle w:val="NormalWeb"/>
      </w:pPr>
      <w:r>
        <w:t>- Anomalies: Magnetic field deviations, unusual bioluminescence, reports of atmospheric optical effects, and navigational oddities consistent with timeline‑interface traits</w:t>
      </w:r>
    </w:p>
    <w:p w14:paraId="49A66221" w14:textId="77777777" w:rsidR="00090288" w:rsidRDefault="00090288" w:rsidP="00090288">
      <w:pPr>
        <w:pStyle w:val="NormalWeb"/>
      </w:pPr>
      <w:r>
        <w:t xml:space="preserve"> </w:t>
      </w:r>
    </w:p>
    <w:p w14:paraId="0F0F66A8" w14:textId="77777777" w:rsidR="00090288" w:rsidRDefault="00090288" w:rsidP="00090288">
      <w:pPr>
        <w:pStyle w:val="NormalWeb"/>
      </w:pPr>
      <w:r>
        <w:t> </w:t>
      </w:r>
    </w:p>
    <w:p w14:paraId="5CE1E643" w14:textId="77777777" w:rsidR="00090288" w:rsidRDefault="00090288" w:rsidP="00090288">
      <w:pPr>
        <w:pStyle w:val="NormalWeb"/>
      </w:pPr>
      <w:r>
        <w:t xml:space="preserve"> </w:t>
      </w:r>
    </w:p>
    <w:p w14:paraId="614B911F" w14:textId="77777777" w:rsidR="00090288" w:rsidRDefault="00090288" w:rsidP="0009028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2B0B4AF9" w14:textId="77777777" w:rsidR="00090288" w:rsidRDefault="00090288" w:rsidP="00090288">
      <w:pPr>
        <w:pStyle w:val="NormalWeb"/>
      </w:pPr>
      <w:r>
        <w:t xml:space="preserve"> </w:t>
      </w:r>
    </w:p>
    <w:p w14:paraId="6B47FDD5" w14:textId="77777777" w:rsidR="00090288" w:rsidRDefault="00090288" w:rsidP="00090288">
      <w:pPr>
        <w:pStyle w:val="NormalWeb"/>
      </w:pPr>
      <w:r>
        <w:t xml:space="preserve">FSZ / Lattice Signature Found Here </w:t>
      </w:r>
    </w:p>
    <w:p w14:paraId="43E1CA3E" w14:textId="77777777" w:rsidR="00090288" w:rsidRDefault="00090288" w:rsidP="00090288">
      <w:pPr>
        <w:pStyle w:val="NormalWeb"/>
      </w:pPr>
      <w:r>
        <w:t xml:space="preserve">Latitude Alignment Cluster ~19°–22° N, tying to the 29.5° N band and tetrahedral vertex latitude </w:t>
      </w:r>
    </w:p>
    <w:p w14:paraId="48187BB9" w14:textId="77777777" w:rsidR="00090288" w:rsidRDefault="00090288" w:rsidP="00090288">
      <w:pPr>
        <w:pStyle w:val="NormalWeb"/>
      </w:pPr>
      <w:r>
        <w:t xml:space="preserve">Longitude Spacing ~155°–160° W — exactly ~72° west of Node 6 (Indus Valley) </w:t>
      </w:r>
    </w:p>
    <w:p w14:paraId="6E4F41D2" w14:textId="77777777" w:rsidR="00090288" w:rsidRDefault="00090288" w:rsidP="00090288">
      <w:pPr>
        <w:pStyle w:val="NormalWeb"/>
      </w:pPr>
      <w:r>
        <w:t xml:space="preserve">Core Angles 36° / 72° — in stone placements, alignments, and azimuths </w:t>
      </w:r>
    </w:p>
    <w:p w14:paraId="719CF86B" w14:textId="77777777" w:rsidR="00090288" w:rsidRDefault="00090288" w:rsidP="00090288">
      <w:pPr>
        <w:pStyle w:val="NormalWeb"/>
      </w:pPr>
      <w:r>
        <w:t xml:space="preserve">Core Ratios 6:5, 5:4, φ‑derived — in </w:t>
      </w:r>
      <w:proofErr w:type="spellStart"/>
      <w:r>
        <w:t>heiau</w:t>
      </w:r>
      <w:proofErr w:type="spellEnd"/>
      <w:r>
        <w:t xml:space="preserve"> dimensions </w:t>
      </w:r>
    </w:p>
    <w:p w14:paraId="2DF306B3" w14:textId="77777777" w:rsidR="00090288" w:rsidRDefault="00090288" w:rsidP="00090288">
      <w:pPr>
        <w:pStyle w:val="NormalWeb"/>
      </w:pPr>
      <w:r>
        <w:t xml:space="preserve">Symmetry 3‑fold / 5‑fold / 12‑fold — stone counts, arrangements, and motifs </w:t>
      </w:r>
    </w:p>
    <w:p w14:paraId="5F54D52C" w14:textId="77777777" w:rsidR="00090288" w:rsidRDefault="00090288" w:rsidP="00090288">
      <w:pPr>
        <w:pStyle w:val="NormalWeb"/>
      </w:pPr>
      <w:r>
        <w:t xml:space="preserve">Pre‑Flood Timeline Legends of lost lands matching the Younger Dryas sea‑level rise </w:t>
      </w:r>
    </w:p>
    <w:p w14:paraId="5482D226" w14:textId="77777777" w:rsidR="00090288" w:rsidRDefault="00090288" w:rsidP="00090288">
      <w:pPr>
        <w:pStyle w:val="NormalWeb"/>
      </w:pPr>
      <w:r>
        <w:t xml:space="preserve">Geology Mantle plume, basalt‑quartz, lava tubes — optimal resonant coupling </w:t>
      </w:r>
    </w:p>
    <w:p w14:paraId="39C4DB7D" w14:textId="77777777" w:rsidR="00090288" w:rsidRDefault="00090288" w:rsidP="00090288">
      <w:pPr>
        <w:pStyle w:val="NormalWeb"/>
      </w:pPr>
      <w:r>
        <w:t xml:space="preserve"> </w:t>
      </w:r>
    </w:p>
    <w:p w14:paraId="50252286" w14:textId="77777777" w:rsidR="00090288" w:rsidRDefault="00090288" w:rsidP="00090288">
      <w:pPr>
        <w:pStyle w:val="NormalWeb"/>
      </w:pPr>
      <w:r>
        <w:t> </w:t>
      </w:r>
    </w:p>
    <w:p w14:paraId="3BAA5FE6" w14:textId="77777777" w:rsidR="00090288" w:rsidRDefault="00090288" w:rsidP="00090288">
      <w:pPr>
        <w:pStyle w:val="NormalWeb"/>
      </w:pPr>
      <w:r>
        <w:t xml:space="preserve"> </w:t>
      </w:r>
    </w:p>
    <w:p w14:paraId="122DBFA4" w14:textId="77777777" w:rsidR="00090288" w:rsidRDefault="00090288" w:rsidP="00090288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 &amp; MYTHIC CONTEXT</w:t>
      </w:r>
    </w:p>
    <w:p w14:paraId="001DBC31" w14:textId="77777777" w:rsidR="00090288" w:rsidRDefault="00090288" w:rsidP="00090288">
      <w:pPr>
        <w:pStyle w:val="NormalWeb"/>
      </w:pPr>
      <w:r>
        <w:t xml:space="preserve"> </w:t>
      </w:r>
    </w:p>
    <w:p w14:paraId="0FC94D77" w14:textId="77777777" w:rsidR="00090288" w:rsidRDefault="00090288" w:rsidP="00090288">
      <w:pPr>
        <w:pStyle w:val="NormalWeb"/>
      </w:pPr>
      <w:r>
        <w:t>- Grid Role: The Pacific Heart — central stabilizer linking northern/southern hemispheres and eastern/western Pacific nodes; acts as a flow regulator and timeline cross‑roads</w:t>
      </w:r>
    </w:p>
    <w:p w14:paraId="38AD8169" w14:textId="77777777" w:rsidR="00090288" w:rsidRDefault="00090288" w:rsidP="00090288">
      <w:pPr>
        <w:pStyle w:val="NormalWeb"/>
      </w:pPr>
      <w:r>
        <w:t xml:space="preserve">- Traditions: </w:t>
      </w:r>
      <w:proofErr w:type="spellStart"/>
      <w:r>
        <w:t>Hawaiki</w:t>
      </w:r>
      <w:proofErr w:type="spellEnd"/>
      <w:r>
        <w:t xml:space="preserve"> — the ancestral homeland; stories of navigators following “paths of light” and “star currents”; </w:t>
      </w:r>
      <w:proofErr w:type="spellStart"/>
      <w:r>
        <w:t>Lono’s</w:t>
      </w:r>
      <w:proofErr w:type="spellEnd"/>
      <w:r>
        <w:t xml:space="preserve"> cycle of renewal and balance reflecting natural toroidal flow</w:t>
      </w:r>
    </w:p>
    <w:p w14:paraId="734A5D4F" w14:textId="77777777" w:rsidR="00090288" w:rsidRDefault="00090288" w:rsidP="00090288">
      <w:pPr>
        <w:pStyle w:val="NormalWeb"/>
      </w:pPr>
      <w:r>
        <w:t>- Distinctive Trait: Unlike ocean nodes with many reported vanishings, this node carries strong themes of origin, memory, and return — fitting its position as a balancing hub between past‑anchors and future‑gateways</w:t>
      </w:r>
    </w:p>
    <w:p w14:paraId="06EA8CA6" w14:textId="77777777" w:rsidR="00090288" w:rsidRDefault="00090288" w:rsidP="00090288">
      <w:pPr>
        <w:pStyle w:val="NormalWeb"/>
      </w:pPr>
      <w:r>
        <w:t xml:space="preserve"> </w:t>
      </w:r>
    </w:p>
    <w:p w14:paraId="6F2273D3" w14:textId="77777777" w:rsidR="00090288" w:rsidRDefault="00090288" w:rsidP="00090288">
      <w:pPr>
        <w:pStyle w:val="NormalWeb"/>
      </w:pPr>
      <w:r>
        <w:t> </w:t>
      </w:r>
    </w:p>
    <w:p w14:paraId="17C25659" w14:textId="77777777" w:rsidR="00090288" w:rsidRDefault="00090288" w:rsidP="00090288">
      <w:pPr>
        <w:pStyle w:val="NormalWeb"/>
      </w:pPr>
      <w:r>
        <w:t xml:space="preserve"> </w:t>
      </w:r>
    </w:p>
    <w:p w14:paraId="423C5DB2" w14:textId="70046672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288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4CA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0870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120</cp:revision>
  <dcterms:created xsi:type="dcterms:W3CDTF">2025-09-25T18:13:00Z</dcterms:created>
  <dcterms:modified xsi:type="dcterms:W3CDTF">2026-08-04T22:20:00Z</dcterms:modified>
</cp:coreProperties>
</file>