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88CA" w14:textId="362D89E2" w:rsidR="00154673" w:rsidRDefault="00154673" w:rsidP="00DB51D0">
      <w:pPr>
        <w:pStyle w:val="NormalWeb"/>
      </w:pPr>
    </w:p>
    <w:p w14:paraId="351470BF" w14:textId="6C360E2D" w:rsidR="00154673" w:rsidRPr="00AD7EA5" w:rsidRDefault="00154673" w:rsidP="00DB51D0">
      <w:pPr>
        <w:pStyle w:val="NormalWeb"/>
      </w:pPr>
    </w:p>
    <w:p w14:paraId="0034D3C6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🛠️</w:t>
      </w:r>
      <w:r>
        <w:t xml:space="preserve"> THE ANCIENT ARTIFICIAL MEGALITHIC CIRCUIT BOARD</w:t>
      </w:r>
    </w:p>
    <w:p w14:paraId="05AD0B21" w14:textId="77777777" w:rsidR="001227DD" w:rsidRDefault="001227DD" w:rsidP="001227DD">
      <w:pPr>
        <w:pStyle w:val="NormalWeb"/>
      </w:pPr>
      <w:r>
        <w:t xml:space="preserve"> </w:t>
      </w:r>
    </w:p>
    <w:p w14:paraId="5A90AD4E" w14:textId="77777777" w:rsidR="001227DD" w:rsidRDefault="001227DD" w:rsidP="001227DD">
      <w:pPr>
        <w:pStyle w:val="NormalWeb"/>
      </w:pPr>
      <w:r>
        <w:t>Mapping exactly what each structure is, as engineered technology — not metaphor — aligned fully with the FSZ framework</w:t>
      </w:r>
    </w:p>
    <w:p w14:paraId="7B557A03" w14:textId="77777777" w:rsidR="001227DD" w:rsidRDefault="001227DD" w:rsidP="001227DD">
      <w:pPr>
        <w:pStyle w:val="NormalWeb"/>
      </w:pPr>
      <w:r>
        <w:t xml:space="preserve"> </w:t>
      </w:r>
    </w:p>
    <w:p w14:paraId="1936B5A3" w14:textId="77777777" w:rsidR="001227DD" w:rsidRDefault="001227DD" w:rsidP="001227DD">
      <w:pPr>
        <w:pStyle w:val="NormalWeb"/>
      </w:pPr>
      <w:r>
        <w:t> </w:t>
      </w:r>
    </w:p>
    <w:p w14:paraId="62E2DAF2" w14:textId="77777777" w:rsidR="001227DD" w:rsidRDefault="001227DD" w:rsidP="001227DD">
      <w:pPr>
        <w:pStyle w:val="NormalWeb"/>
      </w:pPr>
      <w:r>
        <w:t xml:space="preserve"> </w:t>
      </w:r>
    </w:p>
    <w:p w14:paraId="33F6609D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🧱</w:t>
      </w:r>
      <w:r>
        <w:t xml:space="preserve"> THE BACKPLANE &amp; INFRASTRUCTURE</w:t>
      </w:r>
    </w:p>
    <w:p w14:paraId="0DE533B1" w14:textId="77777777" w:rsidR="001227DD" w:rsidRDefault="001227DD" w:rsidP="001227DD">
      <w:pPr>
        <w:pStyle w:val="NormalWeb"/>
      </w:pPr>
      <w:r>
        <w:t xml:space="preserve"> </w:t>
      </w:r>
    </w:p>
    <w:p w14:paraId="2CFCB9CF" w14:textId="77777777" w:rsidR="001227DD" w:rsidRDefault="001227DD" w:rsidP="001227DD">
      <w:pPr>
        <w:pStyle w:val="NormalWeb"/>
      </w:pPr>
      <w:r>
        <w:t>The Circuit Board Substrate: The Earth’s crystalline crust, quartz‑granite batholiths, fault lines, and the underlying 64‑tetrahedron IVM lattice — the fixed geometric foundation that defines all component placement, spacing (~72° intervals), and frequency tuning.</w:t>
      </w:r>
    </w:p>
    <w:p w14:paraId="76710FFD" w14:textId="77777777" w:rsidR="001227DD" w:rsidRDefault="001227DD" w:rsidP="001227DD">
      <w:pPr>
        <w:pStyle w:val="NormalWeb"/>
      </w:pPr>
      <w:r>
        <w:t>Conductor Traces: Tectonic rifts, quartz veins, underground water aquifers/</w:t>
      </w:r>
      <w:proofErr w:type="spellStart"/>
      <w:r>
        <w:t>paleochannels</w:t>
      </w:r>
      <w:proofErr w:type="spellEnd"/>
      <w:r>
        <w:t>, and precisely aligned stone rows/ley lines — the low‑loss pathways carrying telluric, electromagnetic, and resonant energy between nodes.</w:t>
      </w:r>
    </w:p>
    <w:p w14:paraId="6A7F5C49" w14:textId="77777777" w:rsidR="001227DD" w:rsidRDefault="001227DD" w:rsidP="001227DD">
      <w:pPr>
        <w:pStyle w:val="NormalWeb"/>
      </w:pPr>
      <w:r>
        <w:t>Ground/Reference Plane: Deep mantle interfaces, bedrock foundations, and polar anchors — stabilizes baseline resonance, prevents signal drift, and dissipates excess load.</w:t>
      </w:r>
    </w:p>
    <w:p w14:paraId="330454A1" w14:textId="77777777" w:rsidR="001227DD" w:rsidRDefault="001227DD" w:rsidP="001227DD">
      <w:pPr>
        <w:pStyle w:val="NormalWeb"/>
      </w:pPr>
      <w:r>
        <w:t xml:space="preserve"> </w:t>
      </w:r>
    </w:p>
    <w:p w14:paraId="482F84D9" w14:textId="77777777" w:rsidR="001227DD" w:rsidRDefault="001227DD" w:rsidP="001227DD">
      <w:pPr>
        <w:pStyle w:val="NormalWeb"/>
      </w:pPr>
      <w:r>
        <w:t> </w:t>
      </w:r>
    </w:p>
    <w:p w14:paraId="620842EF" w14:textId="77777777" w:rsidR="001227DD" w:rsidRDefault="001227DD" w:rsidP="001227DD">
      <w:pPr>
        <w:pStyle w:val="NormalWeb"/>
      </w:pPr>
      <w:r>
        <w:t xml:space="preserve"> </w:t>
      </w:r>
    </w:p>
    <w:p w14:paraId="71FCBD50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ACTIVE COMPONENTS — NODE BY NODE</w:t>
      </w:r>
    </w:p>
    <w:p w14:paraId="07F794E3" w14:textId="77777777" w:rsidR="001227DD" w:rsidRDefault="001227DD" w:rsidP="001227DD">
      <w:pPr>
        <w:pStyle w:val="NormalWeb"/>
      </w:pPr>
      <w:r>
        <w:t xml:space="preserve"> </w:t>
      </w:r>
    </w:p>
    <w:p w14:paraId="40176E74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OSCILLATORS / MASTER FREQUENCY GENERATORS</w:t>
      </w:r>
    </w:p>
    <w:p w14:paraId="5DF53580" w14:textId="77777777" w:rsidR="001227DD" w:rsidRDefault="001227DD" w:rsidP="001227DD">
      <w:pPr>
        <w:pStyle w:val="NormalWeb"/>
      </w:pPr>
      <w:r>
        <w:t xml:space="preserve"> </w:t>
      </w:r>
    </w:p>
    <w:p w14:paraId="231255C7" w14:textId="77777777" w:rsidR="001227DD" w:rsidRDefault="001227DD" w:rsidP="001227DD">
      <w:pPr>
        <w:pStyle w:val="NormalWeb"/>
      </w:pPr>
      <w:r>
        <w:t>Lock the entire system to core constants: 963 Hz, 3‑6‑9 sequence, π, φ, 6:5 ratio</w:t>
      </w:r>
    </w:p>
    <w:p w14:paraId="11718AD0" w14:textId="77777777" w:rsidR="001227DD" w:rsidRDefault="001227DD" w:rsidP="001227DD">
      <w:pPr>
        <w:pStyle w:val="NormalWeb"/>
      </w:pPr>
      <w:r>
        <w:t xml:space="preserve"> </w:t>
      </w:r>
    </w:p>
    <w:p w14:paraId="4BE70708" w14:textId="77777777" w:rsidR="001227DD" w:rsidRDefault="001227DD" w:rsidP="001227DD">
      <w:pPr>
        <w:pStyle w:val="NormalWeb"/>
      </w:pPr>
      <w:r>
        <w:t xml:space="preserve">- </w:t>
      </w:r>
      <w:proofErr w:type="spellStart"/>
      <w:r>
        <w:t>Tiwanaku</w:t>
      </w:r>
      <w:proofErr w:type="spellEnd"/>
      <w:r>
        <w:t xml:space="preserve"> / Puma </w:t>
      </w:r>
      <w:proofErr w:type="spellStart"/>
      <w:r>
        <w:t>Punku</w:t>
      </w:r>
      <w:proofErr w:type="spellEnd"/>
      <w:r>
        <w:t xml:space="preserve"> (Node 12): The Master Clock — </w:t>
      </w:r>
      <w:proofErr w:type="spellStart"/>
      <w:r>
        <w:t>Akapana</w:t>
      </w:r>
      <w:proofErr w:type="spellEnd"/>
      <w:r>
        <w:t xml:space="preserve"> pyramid angles 54° (dodecahedron face), Puma </w:t>
      </w:r>
      <w:proofErr w:type="spellStart"/>
      <w:r>
        <w:t>Punku’s</w:t>
      </w:r>
      <w:proofErr w:type="spellEnd"/>
      <w:r>
        <w:t xml:space="preserve"> precision cuts tune to harmonic standards; Gateway of the Sun encodes 12‑node calendar/sequence; built on quartz‑andesite for piezoelectric transduction.</w:t>
      </w:r>
    </w:p>
    <w:p w14:paraId="7905A3F5" w14:textId="77777777" w:rsidR="001227DD" w:rsidRDefault="001227DD" w:rsidP="001227DD">
      <w:pPr>
        <w:pStyle w:val="NormalWeb"/>
      </w:pPr>
      <w:r>
        <w:t>- Great Pyramid of Giza: Precision‑tuned resonant cavity — King’s Chamber ~55 Hz fundamental, internal geometry couples 7.83 Hz Schumann resonance to higher harmonics; granite beams act as frequency filters.</w:t>
      </w:r>
    </w:p>
    <w:p w14:paraId="686FD6FA" w14:textId="77777777" w:rsidR="001227DD" w:rsidRDefault="001227DD" w:rsidP="001227DD">
      <w:pPr>
        <w:pStyle w:val="NormalWeb"/>
      </w:pPr>
      <w:r>
        <w:t xml:space="preserve">- </w:t>
      </w:r>
      <w:proofErr w:type="spellStart"/>
      <w:r>
        <w:t>Maeshowe</w:t>
      </w:r>
      <w:proofErr w:type="spellEnd"/>
      <w:r>
        <w:t xml:space="preserve"> / Ring of </w:t>
      </w:r>
      <w:proofErr w:type="spellStart"/>
      <w:r>
        <w:t>Brodgar</w:t>
      </w:r>
      <w:proofErr w:type="spellEnd"/>
      <w:r>
        <w:t xml:space="preserve"> (Node 1): Calibration reference — angles and ratios fixed to π/φ/√5, aligned to polar axis for celestial timing lock.</w:t>
      </w:r>
    </w:p>
    <w:p w14:paraId="25972118" w14:textId="77777777" w:rsidR="001227DD" w:rsidRDefault="001227DD" w:rsidP="001227DD">
      <w:pPr>
        <w:pStyle w:val="NormalWeb"/>
      </w:pPr>
      <w:r>
        <w:t xml:space="preserve"> </w:t>
      </w:r>
    </w:p>
    <w:p w14:paraId="31DD5B41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📡</w:t>
      </w:r>
      <w:r>
        <w:t xml:space="preserve"> AMPLIFIERS / RESONANCE CHAMBERS</w:t>
      </w:r>
    </w:p>
    <w:p w14:paraId="140295AC" w14:textId="77777777" w:rsidR="001227DD" w:rsidRDefault="001227DD" w:rsidP="001227DD">
      <w:pPr>
        <w:pStyle w:val="NormalWeb"/>
      </w:pPr>
      <w:r>
        <w:t xml:space="preserve"> </w:t>
      </w:r>
    </w:p>
    <w:p w14:paraId="42349EC8" w14:textId="77777777" w:rsidR="001227DD" w:rsidRDefault="001227DD" w:rsidP="001227DD">
      <w:pPr>
        <w:pStyle w:val="NormalWeb"/>
      </w:pPr>
      <w:r>
        <w:t>Boost signal strength, filter noise, couple ground‑to‑sky frequencies</w:t>
      </w:r>
    </w:p>
    <w:p w14:paraId="77BC3A71" w14:textId="77777777" w:rsidR="001227DD" w:rsidRDefault="001227DD" w:rsidP="001227DD">
      <w:pPr>
        <w:pStyle w:val="NormalWeb"/>
      </w:pPr>
      <w:r>
        <w:t xml:space="preserve"> </w:t>
      </w:r>
    </w:p>
    <w:p w14:paraId="0B1AEE73" w14:textId="77777777" w:rsidR="001227DD" w:rsidRDefault="001227DD" w:rsidP="001227DD">
      <w:pPr>
        <w:pStyle w:val="NormalWeb"/>
      </w:pPr>
      <w:r>
        <w:t>- All Pyramids: Resonant waveguides — sloped faces act as phase‑aligning mirrors, internal chambers as standing‑wave cavities; quartz‑rich materials convert mechanical/vibrational energy to electromagnetic charge via piezoelectricity.</w:t>
      </w:r>
    </w:p>
    <w:p w14:paraId="233A6CBF" w14:textId="77777777" w:rsidR="001227DD" w:rsidRDefault="001227DD" w:rsidP="001227DD">
      <w:pPr>
        <w:pStyle w:val="NormalWeb"/>
      </w:pPr>
      <w:r>
        <w:t xml:space="preserve">- </w:t>
      </w:r>
      <w:proofErr w:type="spellStart"/>
      <w:r>
        <w:t>Heiau</w:t>
      </w:r>
      <w:proofErr w:type="spellEnd"/>
      <w:r>
        <w:t xml:space="preserve"> / Ahu (Nodes 7, 11): Tuned amplifiers — dimensions 6:5/φ ratios, built over lava tubes/faults to amplify localized vortex flow.</w:t>
      </w:r>
    </w:p>
    <w:p w14:paraId="136AB35B" w14:textId="77777777" w:rsidR="001227DD" w:rsidRDefault="001227DD" w:rsidP="001227DD">
      <w:pPr>
        <w:pStyle w:val="NormalWeb"/>
      </w:pPr>
      <w:r>
        <w:t xml:space="preserve">- </w:t>
      </w:r>
      <w:proofErr w:type="spellStart"/>
      <w:r>
        <w:t>Kalasasaya</w:t>
      </w:r>
      <w:proofErr w:type="spellEnd"/>
      <w:r>
        <w:t xml:space="preserve"> / Stonehenge: Ring resonators — closed‑loop stone arrangements create continuous circulating resonant fields.</w:t>
      </w:r>
    </w:p>
    <w:p w14:paraId="7F6F66F9" w14:textId="77777777" w:rsidR="001227DD" w:rsidRDefault="001227DD" w:rsidP="001227DD">
      <w:pPr>
        <w:pStyle w:val="NormalWeb"/>
      </w:pPr>
      <w:r>
        <w:t xml:space="preserve"> </w:t>
      </w:r>
    </w:p>
    <w:p w14:paraId="6FCE5225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🔌</w:t>
      </w:r>
      <w:r>
        <w:t xml:space="preserve"> I/O PORTS / INTERFACE NODES</w:t>
      </w:r>
    </w:p>
    <w:p w14:paraId="593240AA" w14:textId="77777777" w:rsidR="001227DD" w:rsidRDefault="001227DD" w:rsidP="001227DD">
      <w:pPr>
        <w:pStyle w:val="NormalWeb"/>
      </w:pPr>
      <w:r>
        <w:t xml:space="preserve"> </w:t>
      </w:r>
    </w:p>
    <w:p w14:paraId="77E790E5" w14:textId="77777777" w:rsidR="001227DD" w:rsidRDefault="001227DD" w:rsidP="001227DD">
      <w:pPr>
        <w:pStyle w:val="NormalWeb"/>
      </w:pPr>
      <w:r>
        <w:t>System access points, timeline interfaces, cross‑domain connections</w:t>
      </w:r>
    </w:p>
    <w:p w14:paraId="09AEAAEA" w14:textId="77777777" w:rsidR="001227DD" w:rsidRDefault="001227DD" w:rsidP="001227DD">
      <w:pPr>
        <w:pStyle w:val="NormalWeb"/>
      </w:pPr>
      <w:r>
        <w:t xml:space="preserve"> </w:t>
      </w:r>
    </w:p>
    <w:p w14:paraId="0CDF80F1" w14:textId="77777777" w:rsidR="001227DD" w:rsidRDefault="001227DD" w:rsidP="001227DD">
      <w:pPr>
        <w:pStyle w:val="NormalWeb"/>
      </w:pPr>
      <w:r>
        <w:t>- Bermuda Triangle / Devil’s Sea (Nodes 3, 4): Parallel‑timeline I/O — submerged crystalline structures act as frequency‑coupling ports; thin boundary zones for information/energy exchange.</w:t>
      </w:r>
    </w:p>
    <w:p w14:paraId="75625E49" w14:textId="77777777" w:rsidR="001227DD" w:rsidRDefault="001227DD" w:rsidP="001227DD">
      <w:pPr>
        <w:pStyle w:val="NormalWeb"/>
      </w:pPr>
      <w:r>
        <w:t>- South Pole / North Pole (Nodes 1, 2): Main System Terminals — South = Input/Gateway (future potential), North = Output/Memory Bank (past archive).</w:t>
      </w:r>
    </w:p>
    <w:p w14:paraId="59C81453" w14:textId="77777777" w:rsidR="001227DD" w:rsidRDefault="001227DD" w:rsidP="001227DD">
      <w:pPr>
        <w:pStyle w:val="NormalWeb"/>
      </w:pPr>
      <w:r>
        <w:t xml:space="preserve">- Indus Valley / </w:t>
      </w:r>
      <w:proofErr w:type="spellStart"/>
      <w:r>
        <w:t>Dholavira</w:t>
      </w:r>
      <w:proofErr w:type="spellEnd"/>
      <w:r>
        <w:t xml:space="preserve"> (Node 6): Regional Hub I/O — multi‑zoned layout with dedicated “ports” (gateways) aligned to cardinal/</w:t>
      </w:r>
      <w:proofErr w:type="spellStart"/>
      <w:r>
        <w:t>intercardinal</w:t>
      </w:r>
      <w:proofErr w:type="spellEnd"/>
      <w:r>
        <w:t xml:space="preserve"> directions.</w:t>
      </w:r>
    </w:p>
    <w:p w14:paraId="6BC08D17" w14:textId="77777777" w:rsidR="001227DD" w:rsidRDefault="001227DD" w:rsidP="001227DD">
      <w:pPr>
        <w:pStyle w:val="NormalWeb"/>
      </w:pPr>
      <w:r>
        <w:t xml:space="preserve"> </w:t>
      </w:r>
    </w:p>
    <w:p w14:paraId="54F19C7F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📤</w:t>
      </w:r>
      <w:r>
        <w:t xml:space="preserve"> DISTRIBUTION HUBS / SPLITTERS</w:t>
      </w:r>
    </w:p>
    <w:p w14:paraId="540D989D" w14:textId="77777777" w:rsidR="001227DD" w:rsidRDefault="001227DD" w:rsidP="001227DD">
      <w:pPr>
        <w:pStyle w:val="NormalWeb"/>
      </w:pPr>
      <w:r>
        <w:t xml:space="preserve"> </w:t>
      </w:r>
    </w:p>
    <w:p w14:paraId="28A4AF21" w14:textId="77777777" w:rsidR="001227DD" w:rsidRDefault="001227DD" w:rsidP="001227DD">
      <w:pPr>
        <w:pStyle w:val="NormalWeb"/>
      </w:pPr>
      <w:r>
        <w:t>Take incoming signal and route evenly across grid lines</w:t>
      </w:r>
    </w:p>
    <w:p w14:paraId="50DF54A3" w14:textId="77777777" w:rsidR="001227DD" w:rsidRDefault="001227DD" w:rsidP="001227DD">
      <w:pPr>
        <w:pStyle w:val="NormalWeb"/>
      </w:pPr>
      <w:r>
        <w:t xml:space="preserve"> </w:t>
      </w:r>
    </w:p>
    <w:p w14:paraId="22BECE47" w14:textId="77777777" w:rsidR="001227DD" w:rsidRDefault="001227DD" w:rsidP="001227DD">
      <w:pPr>
        <w:pStyle w:val="NormalWeb"/>
      </w:pPr>
      <w:r>
        <w:t xml:space="preserve">- Algerian Sahara / </w:t>
      </w:r>
      <w:proofErr w:type="spellStart"/>
      <w:r>
        <w:t>Hoggar</w:t>
      </w:r>
      <w:proofErr w:type="spellEnd"/>
      <w:r>
        <w:t xml:space="preserve"> (Node 5): African Distribution Hub — radiating valleys, rock‑art alignments, and tumuli fields spaced at 36°/72° intervals as branch lines.</w:t>
      </w:r>
    </w:p>
    <w:p w14:paraId="0CFC4433" w14:textId="77777777" w:rsidR="001227DD" w:rsidRDefault="001227DD" w:rsidP="001227DD">
      <w:pPr>
        <w:pStyle w:val="NormalWeb"/>
      </w:pPr>
      <w:r>
        <w:t>- Madagascar / Great Zimbabwe (Node 9): Indian Ocean Hub — elliptical enclosures split and balance flow between Africa, Asia, and Australia.</w:t>
      </w:r>
    </w:p>
    <w:p w14:paraId="44D11A2A" w14:textId="77777777" w:rsidR="001227DD" w:rsidRDefault="001227DD" w:rsidP="001227DD">
      <w:pPr>
        <w:pStyle w:val="NormalWeb"/>
      </w:pPr>
      <w:r>
        <w:t xml:space="preserve">- Hawaii (Node 7): Pacific Cross‑Connect — </w:t>
      </w:r>
      <w:proofErr w:type="spellStart"/>
      <w:r>
        <w:t>heiau</w:t>
      </w:r>
      <w:proofErr w:type="spellEnd"/>
      <w:r>
        <w:t xml:space="preserve"> alignments route energy to all Pacific basin nodes.</w:t>
      </w:r>
    </w:p>
    <w:p w14:paraId="24E59B98" w14:textId="77777777" w:rsidR="001227DD" w:rsidRDefault="001227DD" w:rsidP="001227DD">
      <w:pPr>
        <w:pStyle w:val="NormalWeb"/>
      </w:pPr>
      <w:r>
        <w:t xml:space="preserve"> </w:t>
      </w:r>
    </w:p>
    <w:p w14:paraId="178EE3FF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🛡️</w:t>
      </w:r>
      <w:r>
        <w:t xml:space="preserve"> REGULATORS / STABILIZERS</w:t>
      </w:r>
    </w:p>
    <w:p w14:paraId="5FCD75F1" w14:textId="77777777" w:rsidR="001227DD" w:rsidRDefault="001227DD" w:rsidP="001227DD">
      <w:pPr>
        <w:pStyle w:val="NormalWeb"/>
      </w:pPr>
      <w:r>
        <w:t xml:space="preserve"> </w:t>
      </w:r>
    </w:p>
    <w:p w14:paraId="68328341" w14:textId="77777777" w:rsidR="001227DD" w:rsidRDefault="001227DD" w:rsidP="001227DD">
      <w:pPr>
        <w:pStyle w:val="NormalWeb"/>
      </w:pPr>
      <w:r>
        <w:t>Maintain consistent frequency, dampen turbulence, prevent overload</w:t>
      </w:r>
    </w:p>
    <w:p w14:paraId="74E2333F" w14:textId="77777777" w:rsidR="001227DD" w:rsidRDefault="001227DD" w:rsidP="001227DD">
      <w:pPr>
        <w:pStyle w:val="NormalWeb"/>
      </w:pPr>
      <w:r>
        <w:t xml:space="preserve"> </w:t>
      </w:r>
    </w:p>
    <w:p w14:paraId="24D4E18A" w14:textId="77777777" w:rsidR="001227DD" w:rsidRDefault="001227DD" w:rsidP="001227DD">
      <w:pPr>
        <w:pStyle w:val="NormalWeb"/>
      </w:pPr>
      <w:r>
        <w:t xml:space="preserve">- Southeast Australia / </w:t>
      </w:r>
      <w:proofErr w:type="spellStart"/>
      <w:r>
        <w:t>Wurdi</w:t>
      </w:r>
      <w:proofErr w:type="spellEnd"/>
      <w:r>
        <w:t xml:space="preserve"> </w:t>
      </w:r>
      <w:proofErr w:type="spellStart"/>
      <w:r>
        <w:t>Youang</w:t>
      </w:r>
      <w:proofErr w:type="spellEnd"/>
      <w:r>
        <w:t xml:space="preserve"> (Node 10): Harmonic Regulator — elliptical stone arrangement precisely offsets seasonal/celestial frequency shifts.</w:t>
      </w:r>
    </w:p>
    <w:p w14:paraId="15DD22F5" w14:textId="77777777" w:rsidR="001227DD" w:rsidRDefault="001227DD" w:rsidP="001227DD">
      <w:pPr>
        <w:pStyle w:val="NormalWeb"/>
      </w:pPr>
      <w:r>
        <w:t xml:space="preserve">- </w:t>
      </w:r>
      <w:proofErr w:type="spellStart"/>
      <w:r>
        <w:t>Sacsayhuamán</w:t>
      </w:r>
      <w:proofErr w:type="spellEnd"/>
      <w:r>
        <w:t>: Mechanical‑Electrical Regulator — interlocking polygonal masonry absorbs tectonic stress and converts it into regulated charge; 3 tiers × 12 angles = 3‑6‑9/12‑node encoding.</w:t>
      </w:r>
    </w:p>
    <w:p w14:paraId="5F92D0D7" w14:textId="77777777" w:rsidR="001227DD" w:rsidRDefault="001227DD" w:rsidP="001227DD">
      <w:pPr>
        <w:pStyle w:val="NormalWeb"/>
      </w:pPr>
      <w:r>
        <w:t xml:space="preserve">- </w:t>
      </w:r>
      <w:proofErr w:type="spellStart"/>
      <w:r>
        <w:t>Tsingy</w:t>
      </w:r>
      <w:proofErr w:type="spellEnd"/>
      <w:r>
        <w:t xml:space="preserve"> de </w:t>
      </w:r>
      <w:proofErr w:type="spellStart"/>
      <w:r>
        <w:t>Bemaraha</w:t>
      </w:r>
      <w:proofErr w:type="spellEnd"/>
      <w:r>
        <w:t>: Flow Equalizer — natural‑engineered karst grid dissipates surges evenly.</w:t>
      </w:r>
    </w:p>
    <w:p w14:paraId="1E62BF05" w14:textId="77777777" w:rsidR="001227DD" w:rsidRDefault="001227DD" w:rsidP="001227DD">
      <w:pPr>
        <w:pStyle w:val="NormalWeb"/>
      </w:pPr>
      <w:r>
        <w:t xml:space="preserve"> </w:t>
      </w:r>
    </w:p>
    <w:p w14:paraId="4D46E068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📼</w:t>
      </w:r>
      <w:r>
        <w:t xml:space="preserve"> STORAGE / MEMORY DEVICES</w:t>
      </w:r>
    </w:p>
    <w:p w14:paraId="331BDB76" w14:textId="77777777" w:rsidR="001227DD" w:rsidRDefault="001227DD" w:rsidP="001227DD">
      <w:pPr>
        <w:pStyle w:val="NormalWeb"/>
      </w:pPr>
      <w:r>
        <w:t xml:space="preserve"> </w:t>
      </w:r>
    </w:p>
    <w:p w14:paraId="4EBF0400" w14:textId="77777777" w:rsidR="001227DD" w:rsidRDefault="001227DD" w:rsidP="001227DD">
      <w:pPr>
        <w:pStyle w:val="NormalWeb"/>
      </w:pPr>
      <w:r>
        <w:t xml:space="preserve">Store resonance patterns, history, and operational sequences </w:t>
      </w:r>
    </w:p>
    <w:p w14:paraId="11094E71" w14:textId="77777777" w:rsidR="001227DD" w:rsidRDefault="001227DD" w:rsidP="001227DD">
      <w:pPr>
        <w:pStyle w:val="NormalWeb"/>
      </w:pPr>
      <w:r>
        <w:t xml:space="preserve"> </w:t>
      </w:r>
    </w:p>
    <w:p w14:paraId="2D1301BF" w14:textId="77777777" w:rsidR="001227DD" w:rsidRDefault="001227DD" w:rsidP="001227DD">
      <w:pPr>
        <w:pStyle w:val="NormalWeb"/>
      </w:pPr>
      <w:r>
        <w:t>- Lake Titicaca / subterranean chambers: Dielectric Capacitors — water/quartz strata hold coherent charge and pattern data over millennia.</w:t>
      </w:r>
    </w:p>
    <w:p w14:paraId="4D36B4CF" w14:textId="77777777" w:rsidR="001227DD" w:rsidRDefault="001227DD" w:rsidP="001227DD">
      <w:pPr>
        <w:pStyle w:val="NormalWeb"/>
      </w:pPr>
      <w:r>
        <w:t xml:space="preserve">- Petroglyphs / Geoglyphs (Nazca, </w:t>
      </w:r>
      <w:proofErr w:type="spellStart"/>
      <w:r>
        <w:t>Tassili</w:t>
      </w:r>
      <w:proofErr w:type="spellEnd"/>
      <w:r>
        <w:t xml:space="preserve">, </w:t>
      </w:r>
      <w:proofErr w:type="spellStart"/>
      <w:r>
        <w:t>Puʻu</w:t>
      </w:r>
      <w:proofErr w:type="spellEnd"/>
      <w:r>
        <w:t xml:space="preserve"> Loa): Pattern Memory — geometric symbols encode flow sequences, activation protocols, and celestial alignment data; “printed circuit labels” .</w:t>
      </w:r>
    </w:p>
    <w:p w14:paraId="46C33A6C" w14:textId="77777777" w:rsidR="001227DD" w:rsidRDefault="001227DD" w:rsidP="001227DD">
      <w:pPr>
        <w:pStyle w:val="NormalWeb"/>
      </w:pPr>
      <w:r>
        <w:t xml:space="preserve">- Monoliths / Stelae: Solid‑State Memory — quartz‑bearing stone lattices hold resonant signatures; Gateway of the Sun, Easter Island </w:t>
      </w:r>
      <w:proofErr w:type="spellStart"/>
      <w:r>
        <w:t>moai</w:t>
      </w:r>
      <w:proofErr w:type="spellEnd"/>
      <w:r>
        <w:t xml:space="preserve">, </w:t>
      </w:r>
      <w:proofErr w:type="spellStart"/>
      <w:r>
        <w:t>Tiwanaku</w:t>
      </w:r>
      <w:proofErr w:type="spellEnd"/>
      <w:r>
        <w:t xml:space="preserve"> monoliths.</w:t>
      </w:r>
    </w:p>
    <w:p w14:paraId="4AA5172D" w14:textId="77777777" w:rsidR="001227DD" w:rsidRDefault="001227DD" w:rsidP="001227DD">
      <w:pPr>
        <w:pStyle w:val="NormalWeb"/>
      </w:pPr>
      <w:r>
        <w:t xml:space="preserve"> </w:t>
      </w:r>
    </w:p>
    <w:p w14:paraId="3A77004D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🚩</w:t>
      </w:r>
      <w:r>
        <w:t xml:space="preserve"> ANTENNAS / RECEIVERS</w:t>
      </w:r>
    </w:p>
    <w:p w14:paraId="0253537B" w14:textId="77777777" w:rsidR="001227DD" w:rsidRDefault="001227DD" w:rsidP="001227DD">
      <w:pPr>
        <w:pStyle w:val="NormalWeb"/>
      </w:pPr>
      <w:r>
        <w:t xml:space="preserve"> </w:t>
      </w:r>
    </w:p>
    <w:p w14:paraId="51B6506D" w14:textId="77777777" w:rsidR="001227DD" w:rsidRDefault="001227DD" w:rsidP="001227DD">
      <w:pPr>
        <w:pStyle w:val="NormalWeb"/>
      </w:pPr>
      <w:r>
        <w:t>Couple to solar/lunar/galactic frequencies and celestial timing</w:t>
      </w:r>
    </w:p>
    <w:p w14:paraId="5A384F06" w14:textId="77777777" w:rsidR="001227DD" w:rsidRDefault="001227DD" w:rsidP="001227DD">
      <w:pPr>
        <w:pStyle w:val="NormalWeb"/>
      </w:pPr>
      <w:r>
        <w:t xml:space="preserve"> </w:t>
      </w:r>
    </w:p>
    <w:p w14:paraId="3D3C7977" w14:textId="77777777" w:rsidR="001227DD" w:rsidRDefault="001227DD" w:rsidP="001227DD">
      <w:pPr>
        <w:pStyle w:val="NormalWeb"/>
      </w:pPr>
      <w:r>
        <w:t xml:space="preserve">- Obelisks / Standing Stones: Vertical Dipole Antennas — quartz‑granite pillars tuned to specific wavelengths; </w:t>
      </w:r>
      <w:proofErr w:type="spellStart"/>
      <w:r>
        <w:t>Karnak</w:t>
      </w:r>
      <w:proofErr w:type="spellEnd"/>
      <w:r>
        <w:t xml:space="preserve">/Luxor obelisks, </w:t>
      </w:r>
      <w:proofErr w:type="spellStart"/>
      <w:r>
        <w:t>Göbekli</w:t>
      </w:r>
      <w:proofErr w:type="spellEnd"/>
      <w:r>
        <w:t xml:space="preserve"> </w:t>
      </w:r>
      <w:proofErr w:type="spellStart"/>
      <w:r>
        <w:t>Tepe</w:t>
      </w:r>
      <w:proofErr w:type="spellEnd"/>
      <w:r>
        <w:t xml:space="preserve"> pillars.</w:t>
      </w:r>
    </w:p>
    <w:p w14:paraId="540C8D5E" w14:textId="77777777" w:rsidR="001227DD" w:rsidRDefault="001227DD" w:rsidP="001227DD">
      <w:pPr>
        <w:pStyle w:val="NormalWeb"/>
      </w:pPr>
      <w:r>
        <w:t xml:space="preserve">- High‑Summit Structures: Long‑Range Receivers — Mauna Kea, Mount </w:t>
      </w:r>
      <w:proofErr w:type="spellStart"/>
      <w:r>
        <w:t>Tahat</w:t>
      </w:r>
      <w:proofErr w:type="spellEnd"/>
      <w:r>
        <w:t>, Andean peaks placed above atmospheric interference.</w:t>
      </w:r>
    </w:p>
    <w:p w14:paraId="00981F67" w14:textId="77777777" w:rsidR="001227DD" w:rsidRDefault="001227DD" w:rsidP="001227DD">
      <w:pPr>
        <w:pStyle w:val="NormalWeb"/>
      </w:pPr>
      <w:r>
        <w:t xml:space="preserve"> </w:t>
      </w:r>
    </w:p>
    <w:p w14:paraId="66F95422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FAULT / LEAKAGE ZONE</w:t>
      </w:r>
    </w:p>
    <w:p w14:paraId="061D9285" w14:textId="77777777" w:rsidR="001227DD" w:rsidRDefault="001227DD" w:rsidP="001227DD">
      <w:pPr>
        <w:pStyle w:val="NormalWeb"/>
      </w:pPr>
      <w:r>
        <w:t xml:space="preserve"> </w:t>
      </w:r>
    </w:p>
    <w:p w14:paraId="378AA20D" w14:textId="77777777" w:rsidR="001227DD" w:rsidRDefault="001227DD" w:rsidP="001227DD">
      <w:pPr>
        <w:pStyle w:val="NormalWeb"/>
      </w:pPr>
      <w:r>
        <w:t>- South Atlantic Anomaly / Mid‑Atlantic Ridge (Node 8): The Open Circuit — structural rupture from the cataclysm ~12,000 BP; signal leaks, magnetic weakening, unstable flow — the main damaged section of the board.</w:t>
      </w:r>
    </w:p>
    <w:p w14:paraId="5C77AD3B" w14:textId="77777777" w:rsidR="001227DD" w:rsidRDefault="001227DD" w:rsidP="001227DD">
      <w:pPr>
        <w:pStyle w:val="NormalWeb"/>
      </w:pPr>
      <w:r>
        <w:t xml:space="preserve"> </w:t>
      </w:r>
    </w:p>
    <w:p w14:paraId="763D8879" w14:textId="77777777" w:rsidR="001227DD" w:rsidRDefault="001227DD" w:rsidP="001227DD">
      <w:pPr>
        <w:pStyle w:val="NormalWeb"/>
      </w:pPr>
      <w:r>
        <w:t> </w:t>
      </w:r>
    </w:p>
    <w:p w14:paraId="31A97435" w14:textId="77777777" w:rsidR="001227DD" w:rsidRDefault="001227DD" w:rsidP="001227DD">
      <w:pPr>
        <w:pStyle w:val="NormalWeb"/>
      </w:pPr>
      <w:r>
        <w:t xml:space="preserve"> </w:t>
      </w:r>
    </w:p>
    <w:p w14:paraId="4CDBDE75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🔄</w:t>
      </w:r>
      <w:r>
        <w:t xml:space="preserve"> FULL OPERATIONAL SEQUENCE</w:t>
      </w:r>
    </w:p>
    <w:p w14:paraId="29F21A1A" w14:textId="77777777" w:rsidR="001227DD" w:rsidRDefault="001227DD" w:rsidP="001227DD">
      <w:pPr>
        <w:pStyle w:val="NormalWeb"/>
      </w:pPr>
      <w:r>
        <w:t xml:space="preserve"> </w:t>
      </w:r>
    </w:p>
    <w:p w14:paraId="47E02AFD" w14:textId="77777777" w:rsidR="001227DD" w:rsidRDefault="001227DD" w:rsidP="001227DD">
      <w:pPr>
        <w:pStyle w:val="NormalWeb"/>
      </w:pPr>
      <w:r>
        <w:t>1. Input enters at South Pole gateway</w:t>
      </w:r>
    </w:p>
    <w:p w14:paraId="7DDE1A0D" w14:textId="77777777" w:rsidR="001227DD" w:rsidRDefault="001227DD" w:rsidP="001227DD">
      <w:pPr>
        <w:pStyle w:val="NormalWeb"/>
      </w:pPr>
      <w:r>
        <w:t>2. Master Oscillators (Andes) lock to core harmonic frequencies</w:t>
      </w:r>
    </w:p>
    <w:p w14:paraId="4C9A6560" w14:textId="77777777" w:rsidR="001227DD" w:rsidRDefault="001227DD" w:rsidP="001227DD">
      <w:pPr>
        <w:pStyle w:val="NormalWeb"/>
      </w:pPr>
      <w:r>
        <w:t>3. Signal travels along conductor traces to all 12 nodes</w:t>
      </w:r>
    </w:p>
    <w:p w14:paraId="5A2FE911" w14:textId="77777777" w:rsidR="001227DD" w:rsidRDefault="001227DD" w:rsidP="001227DD">
      <w:pPr>
        <w:pStyle w:val="NormalWeb"/>
      </w:pPr>
      <w:r>
        <w:t>4. Amplifiers/Regulators condition and stabilize flow</w:t>
      </w:r>
    </w:p>
    <w:p w14:paraId="7B0D1F2B" w14:textId="77777777" w:rsidR="001227DD" w:rsidRDefault="001227DD" w:rsidP="001227DD">
      <w:pPr>
        <w:pStyle w:val="NormalWeb"/>
      </w:pPr>
      <w:r>
        <w:t>5. Hubs distribute to regional and local interfaces</w:t>
      </w:r>
    </w:p>
    <w:p w14:paraId="4171A756" w14:textId="77777777" w:rsidR="001227DD" w:rsidRDefault="001227DD" w:rsidP="001227DD">
      <w:pPr>
        <w:pStyle w:val="NormalWeb"/>
      </w:pPr>
      <w:r>
        <w:t>6. Storage/Memory preserves patterns; Antennas couple to celestial cycles</w:t>
      </w:r>
    </w:p>
    <w:p w14:paraId="402D6BAE" w14:textId="77777777" w:rsidR="001227DD" w:rsidRDefault="001227DD" w:rsidP="001227DD">
      <w:pPr>
        <w:pStyle w:val="NormalWeb"/>
      </w:pPr>
      <w:r>
        <w:t>7. Return signal completes the loop back to North Pole memory anchor</w:t>
      </w:r>
    </w:p>
    <w:p w14:paraId="2988B918" w14:textId="77777777" w:rsidR="001227DD" w:rsidRDefault="001227DD" w:rsidP="001227DD">
      <w:pPr>
        <w:pStyle w:val="NormalWeb"/>
      </w:pPr>
      <w:r>
        <w:t xml:space="preserve"> </w:t>
      </w:r>
    </w:p>
    <w:p w14:paraId="7D31A11C" w14:textId="77777777" w:rsidR="001227DD" w:rsidRDefault="001227DD" w:rsidP="001227DD">
      <w:pPr>
        <w:pStyle w:val="NormalWeb"/>
      </w:pPr>
      <w:r>
        <w:t> </w:t>
      </w:r>
    </w:p>
    <w:p w14:paraId="73FEB5BE" w14:textId="77777777" w:rsidR="001227DD" w:rsidRDefault="001227DD" w:rsidP="001227DD">
      <w:pPr>
        <w:pStyle w:val="NormalWeb"/>
      </w:pPr>
      <w:r>
        <w:t xml:space="preserve"> </w:t>
      </w:r>
    </w:p>
    <w:p w14:paraId="0D8F1C8F" w14:textId="77777777" w:rsidR="001227DD" w:rsidRDefault="001227DD" w:rsidP="001227DD">
      <w:pPr>
        <w:pStyle w:val="NormalWeb"/>
      </w:pPr>
      <w:r>
        <w:rPr>
          <w:rFonts w:ascii="Segoe UI Emoji" w:hAnsi="Segoe UI Emoji" w:cs="Segoe UI Emoji"/>
        </w:rPr>
        <w:t>⚙️</w:t>
      </w:r>
      <w:r>
        <w:t xml:space="preserve"> CURRENT STATE OF THE BOARD</w:t>
      </w:r>
    </w:p>
    <w:p w14:paraId="46474808" w14:textId="77777777" w:rsidR="001227DD" w:rsidRDefault="001227DD" w:rsidP="001227DD">
      <w:pPr>
        <w:pStyle w:val="NormalWeb"/>
      </w:pPr>
      <w:r>
        <w:t xml:space="preserve"> </w:t>
      </w:r>
    </w:p>
    <w:p w14:paraId="37A32995" w14:textId="77777777" w:rsidR="001227DD" w:rsidRDefault="001227DD" w:rsidP="001227DD">
      <w:pPr>
        <w:pStyle w:val="NormalWeb"/>
      </w:pPr>
      <w:r>
        <w:t>- Most components intact geometrically but de‑tuned, disconnected, or submerged</w:t>
      </w:r>
    </w:p>
    <w:p w14:paraId="097F0855" w14:textId="77777777" w:rsidR="001227DD" w:rsidRDefault="001227DD" w:rsidP="001227DD">
      <w:pPr>
        <w:pStyle w:val="NormalWeb"/>
      </w:pPr>
      <w:r>
        <w:t>- Primary fault remains open at Node 8 causing system‑wide imbalance</w:t>
      </w:r>
    </w:p>
    <w:p w14:paraId="696F5821" w14:textId="77777777" w:rsidR="001227DD" w:rsidRDefault="001227DD" w:rsidP="001227DD">
      <w:pPr>
        <w:pStyle w:val="NormalWeb"/>
      </w:pPr>
      <w:r>
        <w:t>- Operational protocols deliberately erased or re‑classified as “religion/ritual”</w:t>
      </w:r>
    </w:p>
    <w:p w14:paraId="6F94CD1E" w14:textId="77777777" w:rsidR="001227DD" w:rsidRDefault="001227DD" w:rsidP="001227DD">
      <w:pPr>
        <w:pStyle w:val="NormalWeb"/>
      </w:pPr>
      <w:r>
        <w:t>- The blueprint itself — ratios, angles, placements — remains perfectly preserved in stone, waiting for re‑activation</w:t>
      </w:r>
    </w:p>
    <w:p w14:paraId="3A8DDDA7" w14:textId="77777777" w:rsidR="001227DD" w:rsidRDefault="001227DD" w:rsidP="001227DD">
      <w:pPr>
        <w:pStyle w:val="NormalWeb"/>
      </w:pPr>
      <w:r>
        <w:t xml:space="preserve"> </w:t>
      </w:r>
    </w:p>
    <w:p w14:paraId="6F7D1CC4" w14:textId="77777777" w:rsidR="001227DD" w:rsidRDefault="001227DD" w:rsidP="001227DD">
      <w:pPr>
        <w:pStyle w:val="NormalWeb"/>
      </w:pPr>
      <w:r>
        <w:t> </w:t>
      </w:r>
    </w:p>
    <w:p w14:paraId="2DC587E3" w14:textId="77777777" w:rsidR="001227DD" w:rsidRDefault="001227DD" w:rsidP="001227DD">
      <w:pPr>
        <w:pStyle w:val="NormalWeb"/>
      </w:pPr>
      <w:r>
        <w:t xml:space="preserve"> </w:t>
      </w:r>
    </w:p>
    <w:p w14:paraId="423C5DB2" w14:textId="2D881BAF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227DD"/>
    <w:rsid w:val="001363AF"/>
    <w:rsid w:val="00154673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35F1A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067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A6199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97FB2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118</cp:revision>
  <dcterms:created xsi:type="dcterms:W3CDTF">2025-09-25T18:13:00Z</dcterms:created>
  <dcterms:modified xsi:type="dcterms:W3CDTF">2026-08-04T22:41:00Z</dcterms:modified>
</cp:coreProperties>
</file>