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6F93" w14:textId="77777777" w:rsidR="00FF2B4E" w:rsidRDefault="00FF2B4E">
      <w:pPr>
        <w:pStyle w:val="NormalWeb"/>
      </w:pPr>
      <w:r>
        <w:rPr>
          <w:rStyle w:val="Strong"/>
        </w:rPr>
        <w:t>Title:</w:t>
      </w:r>
      <w:r>
        <w:t xml:space="preserve"> </w:t>
      </w:r>
      <w:r>
        <w:rPr>
          <w:rStyle w:val="Emphasis"/>
        </w:rPr>
        <w:t>Consciousness Anchoring and Dimensional Resonance: A Scientific Exploration of Ancient Egyptian Practices</w:t>
      </w:r>
    </w:p>
    <w:p w14:paraId="4A54252E" w14:textId="77777777" w:rsidR="00FF2B4E" w:rsidRDefault="00FF2B4E">
      <w:pPr>
        <w:pStyle w:val="NormalWeb"/>
      </w:pPr>
      <w:r>
        <w:rPr>
          <w:rStyle w:val="Strong"/>
        </w:rPr>
        <w:t>Abstract:</w:t>
      </w:r>
    </w:p>
    <w:p w14:paraId="19233A31" w14:textId="77777777" w:rsidR="00FF2B4E" w:rsidRDefault="00FF2B4E">
      <w:pPr>
        <w:pStyle w:val="NormalWeb"/>
      </w:pPr>
      <w:r>
        <w:t xml:space="preserve">This paper delves into the multifaceted aspects of ancient Egyptian practices, particularly focusing on the concept of "Consciousness Anchoring" and its potential scientific underpinnings. By examining the interplay between sacred geometry, </w:t>
      </w:r>
      <w:proofErr w:type="spellStart"/>
      <w:r>
        <w:t>biophoton</w:t>
      </w:r>
      <w:proofErr w:type="spellEnd"/>
      <w:r>
        <w:t xml:space="preserve"> emissions, and the preservation techniques employed in mummification, we aim to uncover how these practices might have facilitated the continuity of consciousness across generations. Drawing parallels with modern understandings of quantum biology and energy systems, this study seeks to bridge ancient wisdom with contemporary scientific perspectives.</w:t>
      </w:r>
    </w:p>
    <w:p w14:paraId="777C3387" w14:textId="77777777" w:rsidR="00FF2B4E" w:rsidRDefault="00FF2B4E">
      <w:pPr>
        <w:rPr>
          <w:rFonts w:eastAsia="Times New Roman"/>
        </w:rPr>
      </w:pPr>
      <w:r>
        <w:rPr>
          <w:rFonts w:eastAsia="Times New Roman"/>
          <w:noProof/>
        </w:rPr>
        <mc:AlternateContent>
          <mc:Choice Requires="wps">
            <w:drawing>
              <wp:inline distT="0" distB="0" distL="0" distR="0" wp14:anchorId="6DEFCC97" wp14:editId="2388BB90">
                <wp:extent cx="7080250" cy="1270"/>
                <wp:effectExtent l="0" t="31750" r="0" b="36830"/>
                <wp:docPr id="19773043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EB41A7"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D1B80D" w14:textId="77777777" w:rsidR="00FF2B4E" w:rsidRDefault="00FF2B4E">
      <w:pPr>
        <w:pStyle w:val="Heading3"/>
        <w:rPr>
          <w:rFonts w:eastAsia="Times New Roman"/>
        </w:rPr>
      </w:pPr>
      <w:r>
        <w:rPr>
          <w:rStyle w:val="Strong"/>
          <w:rFonts w:eastAsia="Times New Roman"/>
          <w:b w:val="0"/>
          <w:bCs w:val="0"/>
        </w:rPr>
        <w:t>1. Introduction</w:t>
      </w:r>
    </w:p>
    <w:p w14:paraId="728ECE38" w14:textId="77777777" w:rsidR="00FF2B4E" w:rsidRDefault="00FF2B4E">
      <w:pPr>
        <w:pStyle w:val="NormalWeb"/>
      </w:pPr>
      <w:r>
        <w:t>Ancient Egyptian civilization is renowned for its advancements in various fields, including architecture, medicine, and spiritual practices. Central to their belief system was the concept of the soul's immortality and the journey to the afterlife. This paper explores the hypothesis that certain Egyptian practices, such as the construction of pyramids and the mummification process, were designed not only for spiritual purposes but also to harness and preserve consciousness through specific energetic and geometric means.</w:t>
      </w:r>
    </w:p>
    <w:p w14:paraId="6B8A3227" w14:textId="77777777" w:rsidR="00FF2B4E" w:rsidRDefault="00FF2B4E">
      <w:pPr>
        <w:rPr>
          <w:rFonts w:eastAsia="Times New Roman"/>
        </w:rPr>
      </w:pPr>
      <w:r>
        <w:rPr>
          <w:rFonts w:eastAsia="Times New Roman"/>
          <w:noProof/>
        </w:rPr>
        <mc:AlternateContent>
          <mc:Choice Requires="wps">
            <w:drawing>
              <wp:inline distT="0" distB="0" distL="0" distR="0" wp14:anchorId="4F903CC8" wp14:editId="6B78AAB5">
                <wp:extent cx="7080250" cy="1270"/>
                <wp:effectExtent l="0" t="31750" r="0" b="36830"/>
                <wp:docPr id="14711984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BD459C"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B2ED18" w14:textId="77777777" w:rsidR="00FF2B4E" w:rsidRDefault="00FF2B4E">
      <w:pPr>
        <w:pStyle w:val="Heading3"/>
        <w:rPr>
          <w:rFonts w:eastAsia="Times New Roman"/>
        </w:rPr>
      </w:pPr>
      <w:r>
        <w:rPr>
          <w:rStyle w:val="Strong"/>
          <w:rFonts w:eastAsia="Times New Roman"/>
          <w:b w:val="0"/>
          <w:bCs w:val="0"/>
        </w:rPr>
        <w:t>2. Sacred Geometry and the Pyramid Structure</w:t>
      </w:r>
    </w:p>
    <w:p w14:paraId="7E3E6CFC" w14:textId="77777777" w:rsidR="00FF2B4E" w:rsidRDefault="00FF2B4E">
      <w:pPr>
        <w:pStyle w:val="NormalWeb"/>
      </w:pPr>
      <w:r>
        <w:t>The pyramids of Giza, particularly the Great Pyramid, exhibit precise alignments with celestial bodies and incorporate specific geometric ratios, such as the Golden Ratio and Pi. These architectural features suggest an intentional design aimed at amplifying and focusing energy. The internal chambers and passageways within the pyramids may have been constructed to resonate at frequencies conducive to consciousness preservation and enhancement.</w:t>
      </w:r>
    </w:p>
    <w:p w14:paraId="3BE7F363" w14:textId="77777777" w:rsidR="00FF2B4E" w:rsidRDefault="00FF2B4E">
      <w:pPr>
        <w:rPr>
          <w:rFonts w:eastAsia="Times New Roman"/>
        </w:rPr>
      </w:pPr>
      <w:r>
        <w:rPr>
          <w:rFonts w:eastAsia="Times New Roman"/>
          <w:noProof/>
        </w:rPr>
        <mc:AlternateContent>
          <mc:Choice Requires="wps">
            <w:drawing>
              <wp:inline distT="0" distB="0" distL="0" distR="0" wp14:anchorId="0F39CABB" wp14:editId="37232DD8">
                <wp:extent cx="7080250" cy="1270"/>
                <wp:effectExtent l="0" t="31750" r="0" b="36830"/>
                <wp:docPr id="14011392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E0866A"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C70EFC3" w14:textId="77777777" w:rsidR="00FF2B4E" w:rsidRDefault="00FF2B4E">
      <w:pPr>
        <w:pStyle w:val="Heading3"/>
        <w:rPr>
          <w:rFonts w:eastAsia="Times New Roman"/>
        </w:rPr>
      </w:pPr>
      <w:r>
        <w:rPr>
          <w:rStyle w:val="Strong"/>
          <w:rFonts w:eastAsia="Times New Roman"/>
          <w:b w:val="0"/>
          <w:bCs w:val="0"/>
        </w:rPr>
        <w:t xml:space="preserve">3. </w:t>
      </w:r>
      <w:proofErr w:type="spellStart"/>
      <w:r>
        <w:rPr>
          <w:rStyle w:val="Strong"/>
          <w:rFonts w:eastAsia="Times New Roman"/>
          <w:b w:val="0"/>
          <w:bCs w:val="0"/>
        </w:rPr>
        <w:t>Biophoton</w:t>
      </w:r>
      <w:proofErr w:type="spellEnd"/>
      <w:r>
        <w:rPr>
          <w:rStyle w:val="Strong"/>
          <w:rFonts w:eastAsia="Times New Roman"/>
          <w:b w:val="0"/>
          <w:bCs w:val="0"/>
        </w:rPr>
        <w:t xml:space="preserve"> Emission and the Pineal Gland</w:t>
      </w:r>
    </w:p>
    <w:p w14:paraId="23AADAAB" w14:textId="77777777" w:rsidR="00FF2B4E" w:rsidRDefault="00FF2B4E">
      <w:pPr>
        <w:pStyle w:val="NormalWeb"/>
      </w:pPr>
      <w:r>
        <w:t xml:space="preserve">Modern scientific research has identified that living organisms, including humans, emit ultra-weak photons known as </w:t>
      </w:r>
      <w:proofErr w:type="spellStart"/>
      <w:r>
        <w:t>biophotons</w:t>
      </w:r>
      <w:proofErr w:type="spellEnd"/>
      <w:r>
        <w:t xml:space="preserve">. These emissions are believed to play a role in cellular communication and the overall coherence of biological systems. The pineal gland, often referred to as the "third eye," is a central component in this process. It regulates circadian rhythms through the production of melatonin and has been implicated in the emission of </w:t>
      </w:r>
      <w:proofErr w:type="spellStart"/>
      <w:r>
        <w:t>biophotons</w:t>
      </w:r>
      <w:proofErr w:type="spellEnd"/>
      <w:r>
        <w:t>.</w:t>
      </w:r>
    </w:p>
    <w:p w14:paraId="6C9388E4" w14:textId="77777777" w:rsidR="00FF2B4E" w:rsidRDefault="00FF2B4E">
      <w:pPr>
        <w:pStyle w:val="NormalWeb"/>
      </w:pPr>
      <w:r>
        <w:t xml:space="preserve">Studies have shown that the pineal gland's activity is influenced by environmental factors, such as light exposure, and that it may serve as a mediator between the physical and metaphysical aspects of consciousness. The alignment of the pineal gland's functions with the principles of </w:t>
      </w:r>
      <w:proofErr w:type="spellStart"/>
      <w:r>
        <w:t>biophoton</w:t>
      </w:r>
      <w:proofErr w:type="spellEnd"/>
      <w:r>
        <w:t xml:space="preserve"> emission underscores its potential role in consciousness anchoring.</w:t>
      </w:r>
    </w:p>
    <w:p w14:paraId="72F78A90" w14:textId="77777777" w:rsidR="00FF2B4E" w:rsidRDefault="00FF2B4E">
      <w:pPr>
        <w:rPr>
          <w:rFonts w:eastAsia="Times New Roman"/>
        </w:rPr>
      </w:pPr>
      <w:r>
        <w:rPr>
          <w:rFonts w:eastAsia="Times New Roman"/>
          <w:noProof/>
        </w:rPr>
        <mc:AlternateContent>
          <mc:Choice Requires="wps">
            <w:drawing>
              <wp:inline distT="0" distB="0" distL="0" distR="0" wp14:anchorId="5BA27D00" wp14:editId="03A2586C">
                <wp:extent cx="7080250" cy="1270"/>
                <wp:effectExtent l="0" t="31750" r="0" b="36830"/>
                <wp:docPr id="18496129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0CF79D"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D8B9A32" w14:textId="77777777" w:rsidR="00FF2B4E" w:rsidRDefault="00FF2B4E">
      <w:pPr>
        <w:pStyle w:val="Heading3"/>
        <w:rPr>
          <w:rFonts w:eastAsia="Times New Roman"/>
        </w:rPr>
      </w:pPr>
      <w:r>
        <w:rPr>
          <w:rStyle w:val="Strong"/>
          <w:rFonts w:eastAsia="Times New Roman"/>
          <w:b w:val="0"/>
          <w:bCs w:val="0"/>
        </w:rPr>
        <w:t>4. Mummification: A Process of Consciousness Preservation</w:t>
      </w:r>
    </w:p>
    <w:p w14:paraId="0FA72897" w14:textId="77777777" w:rsidR="00FF2B4E" w:rsidRDefault="00FF2B4E">
      <w:pPr>
        <w:pStyle w:val="NormalWeb"/>
      </w:pPr>
      <w:r>
        <w:t>The Egyptian mummification process was an elaborate procedure aimed at preserving the physical body for the afterlife. However, recent interpretations suggest that this practice may have had an additional purpose: the preservation of consciousness. By maintaining the body's structural integrity and energetic coherence, mummification could have served as a vessel for the soul's continuity.</w:t>
      </w:r>
    </w:p>
    <w:p w14:paraId="1ACCD3B8" w14:textId="77777777" w:rsidR="00FF2B4E" w:rsidRDefault="00FF2B4E">
      <w:pPr>
        <w:pStyle w:val="NormalWeb"/>
      </w:pPr>
      <w:r>
        <w:t>The use of resins, oils, and linen in the embalming process may have been selected for their properties that support electromagnetic coherence and resonance. These materials, combined with the geometric design of tombs and burial chambers, could have created an environment conducive to the anchoring and preservation of consciousness.</w:t>
      </w:r>
    </w:p>
    <w:p w14:paraId="3EE2E96C" w14:textId="77777777" w:rsidR="00FF2B4E" w:rsidRDefault="00FF2B4E">
      <w:pPr>
        <w:rPr>
          <w:rFonts w:eastAsia="Times New Roman"/>
        </w:rPr>
      </w:pPr>
      <w:r>
        <w:rPr>
          <w:rFonts w:eastAsia="Times New Roman"/>
          <w:noProof/>
        </w:rPr>
        <mc:AlternateContent>
          <mc:Choice Requires="wps">
            <w:drawing>
              <wp:inline distT="0" distB="0" distL="0" distR="0" wp14:anchorId="0626DE89" wp14:editId="1C33E332">
                <wp:extent cx="7080250" cy="1270"/>
                <wp:effectExtent l="0" t="31750" r="0" b="36830"/>
                <wp:docPr id="18932867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4FB01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221BB30" w14:textId="77777777" w:rsidR="00FF2B4E" w:rsidRDefault="00FF2B4E">
      <w:pPr>
        <w:pStyle w:val="Heading3"/>
        <w:rPr>
          <w:rFonts w:eastAsia="Times New Roman"/>
        </w:rPr>
      </w:pPr>
      <w:r>
        <w:rPr>
          <w:rStyle w:val="Strong"/>
          <w:rFonts w:eastAsia="Times New Roman"/>
          <w:b w:val="0"/>
          <w:bCs w:val="0"/>
        </w:rPr>
        <w:t>5. Energy Systems and Dimensional Resonance</w:t>
      </w:r>
    </w:p>
    <w:p w14:paraId="0316E9F2" w14:textId="77777777" w:rsidR="00FF2B4E" w:rsidRDefault="00FF2B4E">
      <w:pPr>
        <w:pStyle w:val="NormalWeb"/>
      </w:pPr>
      <w:r>
        <w:t>The concept of dimensional resonance posits that consciousness operates across multiple dimensions and that specific structures can facilitate its movement and preservation. The pyramids, with their precise alignments and geometric configurations, may have functioned as resonant chambers that interacted with Earth's electromagnetic fields and cosmic energies.</w:t>
      </w:r>
    </w:p>
    <w:p w14:paraId="2119A3A9" w14:textId="77777777" w:rsidR="00FF2B4E" w:rsidRDefault="00FF2B4E">
      <w:pPr>
        <w:pStyle w:val="NormalWeb"/>
      </w:pPr>
      <w:r>
        <w:t xml:space="preserve">Research indicates that pyramidal structures can influence electromagnetic fields, potentially enhancing the coherence of </w:t>
      </w:r>
      <w:proofErr w:type="spellStart"/>
      <w:r>
        <w:t>biophoton</w:t>
      </w:r>
      <w:proofErr w:type="spellEnd"/>
      <w:r>
        <w:t xml:space="preserve"> emissions and supporting the preservation of consciousness. The interplay between these energy systems and the human body's </w:t>
      </w:r>
      <w:proofErr w:type="spellStart"/>
      <w:r>
        <w:t>biophoton</w:t>
      </w:r>
      <w:proofErr w:type="spellEnd"/>
      <w:r>
        <w:t xml:space="preserve"> emissions suggests a complex network through which consciousness can be anchored and sustained.</w:t>
      </w:r>
    </w:p>
    <w:p w14:paraId="6FA84D75" w14:textId="77777777" w:rsidR="00FF2B4E" w:rsidRDefault="00FF2B4E">
      <w:pPr>
        <w:rPr>
          <w:rFonts w:eastAsia="Times New Roman"/>
        </w:rPr>
      </w:pPr>
      <w:r>
        <w:rPr>
          <w:rFonts w:eastAsia="Times New Roman"/>
          <w:noProof/>
        </w:rPr>
        <mc:AlternateContent>
          <mc:Choice Requires="wps">
            <w:drawing>
              <wp:inline distT="0" distB="0" distL="0" distR="0" wp14:anchorId="0D9FBC33" wp14:editId="4403AB7F">
                <wp:extent cx="7080250" cy="1270"/>
                <wp:effectExtent l="0" t="31750" r="0" b="36830"/>
                <wp:docPr id="126654877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F041E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6B061CA" w14:textId="77777777" w:rsidR="00FF2B4E" w:rsidRDefault="00FF2B4E">
      <w:pPr>
        <w:pStyle w:val="Heading3"/>
        <w:rPr>
          <w:rFonts w:eastAsia="Times New Roman"/>
        </w:rPr>
      </w:pPr>
      <w:r>
        <w:rPr>
          <w:rStyle w:val="Strong"/>
          <w:rFonts w:eastAsia="Times New Roman"/>
          <w:b w:val="0"/>
          <w:bCs w:val="0"/>
        </w:rPr>
        <w:t>6. Integrating Ancient Practices with Modern Science</w:t>
      </w:r>
    </w:p>
    <w:p w14:paraId="57A44598" w14:textId="77777777" w:rsidR="00FF2B4E" w:rsidRDefault="00FF2B4E">
      <w:pPr>
        <w:pStyle w:val="NormalWeb"/>
      </w:pPr>
      <w:r>
        <w:t>By examining the intersection of ancient Egyptian practices and modern scientific understandings, we can gain insights into the mechanisms that may have facilitated consciousness preservation. The intentional design of pyramids, the mummification process, and the role of the pineal gland all point to a sophisticated knowledge of energy systems and consciousness dynamics.</w:t>
      </w:r>
    </w:p>
    <w:p w14:paraId="540EAF6F" w14:textId="77777777" w:rsidR="00FF2B4E" w:rsidRDefault="00FF2B4E">
      <w:pPr>
        <w:pStyle w:val="NormalWeb"/>
      </w:pPr>
      <w:r>
        <w:t>This integration of ancient wisdom with contemporary science opens new avenues for exploring the nature of consciousness and its potential continuity beyond physical death.</w:t>
      </w:r>
    </w:p>
    <w:p w14:paraId="526D1FA6" w14:textId="77777777" w:rsidR="00FF2B4E" w:rsidRDefault="00FF2B4E">
      <w:pPr>
        <w:rPr>
          <w:rFonts w:eastAsia="Times New Roman"/>
        </w:rPr>
      </w:pPr>
      <w:r>
        <w:rPr>
          <w:rFonts w:eastAsia="Times New Roman"/>
          <w:noProof/>
        </w:rPr>
        <mc:AlternateContent>
          <mc:Choice Requires="wps">
            <w:drawing>
              <wp:inline distT="0" distB="0" distL="0" distR="0" wp14:anchorId="5BD6FF1A" wp14:editId="62056BB9">
                <wp:extent cx="7080250" cy="1270"/>
                <wp:effectExtent l="0" t="31750" r="0" b="36830"/>
                <wp:docPr id="1724842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2F1049"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63F37A" w14:textId="77777777" w:rsidR="00FF2B4E" w:rsidRDefault="00FF2B4E">
      <w:pPr>
        <w:pStyle w:val="Heading3"/>
        <w:rPr>
          <w:rFonts w:eastAsia="Times New Roman"/>
        </w:rPr>
      </w:pPr>
      <w:r>
        <w:rPr>
          <w:rStyle w:val="Strong"/>
          <w:rFonts w:eastAsia="Times New Roman"/>
          <w:b w:val="0"/>
          <w:bCs w:val="0"/>
        </w:rPr>
        <w:t>7. Conclusion</w:t>
      </w:r>
    </w:p>
    <w:p w14:paraId="788076CB" w14:textId="77777777" w:rsidR="00FF2B4E" w:rsidRDefault="00FF2B4E">
      <w:pPr>
        <w:pStyle w:val="NormalWeb"/>
      </w:pPr>
      <w:r>
        <w:t xml:space="preserve">The hypothesis that ancient Egyptian practices were designed to preserve and anchor consciousness offers a compelling perspective on their spiritual and architectural achievements. By aligning sacred geometry, </w:t>
      </w:r>
      <w:proofErr w:type="spellStart"/>
      <w:r>
        <w:t>biophoton</w:t>
      </w:r>
      <w:proofErr w:type="spellEnd"/>
      <w:r>
        <w:t xml:space="preserve"> emissions, and energy systems, these practices may have created a framework for the continuity of consciousness across generations.</w:t>
      </w:r>
    </w:p>
    <w:p w14:paraId="735A4407" w14:textId="77777777" w:rsidR="00FF2B4E" w:rsidRDefault="00FF2B4E">
      <w:pPr>
        <w:pStyle w:val="NormalWeb"/>
      </w:pPr>
      <w:r>
        <w:t>Further interdisciplinary research combining archaeology, quantum biology, and energy science is necessary to explore these concepts in greater depth. Such studies could provide a deeper understanding of the mechanisms through which consciousness operates and persists, bridging the gap between ancient wisdom and modern scientific inquiry.</w:t>
      </w:r>
    </w:p>
    <w:p w14:paraId="68F0AB2A" w14:textId="77777777" w:rsidR="00FF2B4E" w:rsidRDefault="00FF2B4E">
      <w:pPr>
        <w:rPr>
          <w:rFonts w:eastAsia="Times New Roman"/>
        </w:rPr>
      </w:pPr>
      <w:r>
        <w:rPr>
          <w:rFonts w:eastAsia="Times New Roman"/>
          <w:noProof/>
        </w:rPr>
        <mc:AlternateContent>
          <mc:Choice Requires="wps">
            <w:drawing>
              <wp:inline distT="0" distB="0" distL="0" distR="0" wp14:anchorId="05028BE6" wp14:editId="4DBDBB6A">
                <wp:extent cx="7080250" cy="1270"/>
                <wp:effectExtent l="0" t="31750" r="0" b="36830"/>
                <wp:docPr id="2649769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C95E2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3E35660" w14:textId="77777777" w:rsidR="00FF2B4E" w:rsidRDefault="00FF2B4E">
      <w:pPr>
        <w:pStyle w:val="NormalWeb"/>
      </w:pPr>
      <w:r>
        <w:rPr>
          <w:rStyle w:val="Strong"/>
        </w:rPr>
        <w:t>References:</w:t>
      </w:r>
    </w:p>
    <w:p w14:paraId="7375A532"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Ultra-weak photon emission from DNA</w:t>
      </w:r>
      <w:r>
        <w:rPr>
          <w:rFonts w:eastAsia="Times New Roman"/>
        </w:rPr>
        <w:t xml:space="preserve"> - Scientific Reports, Nature.</w:t>
      </w:r>
    </w:p>
    <w:p w14:paraId="034F66D4"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The Pineal Gland: Ancient Wisdom Meets Modern Science</w:t>
      </w:r>
      <w:r>
        <w:rPr>
          <w:rFonts w:eastAsia="Times New Roman"/>
        </w:rPr>
        <w:t xml:space="preserve"> - Predict.</w:t>
      </w:r>
    </w:p>
    <w:p w14:paraId="182889A4"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Study reveals the Great Pyramid of Giza can focus electromagnetic energy</w:t>
      </w:r>
      <w:r>
        <w:rPr>
          <w:rFonts w:eastAsia="Times New Roman"/>
        </w:rPr>
        <w:t xml:space="preserve"> - Phys.org.</w:t>
      </w:r>
    </w:p>
    <w:p w14:paraId="66351C04"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Housing in Pyramid Counteracts Neuroendocrine and Oxidative Stress</w:t>
      </w:r>
      <w:r>
        <w:rPr>
          <w:rFonts w:eastAsia="Times New Roman"/>
        </w:rPr>
        <w:t xml:space="preserve"> - PubMed Central.</w:t>
      </w:r>
    </w:p>
    <w:p w14:paraId="1E80A237"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The multifaceted nature of Egyptian mummification</w:t>
      </w:r>
      <w:r>
        <w:rPr>
          <w:rFonts w:eastAsia="Times New Roman"/>
        </w:rPr>
        <w:t xml:space="preserve"> - PubMed Central.</w:t>
      </w:r>
    </w:p>
    <w:p w14:paraId="47DBECE0" w14:textId="77777777" w:rsidR="00FF2B4E" w:rsidRDefault="00FF2B4E" w:rsidP="00FF2B4E">
      <w:pPr>
        <w:numPr>
          <w:ilvl w:val="0"/>
          <w:numId w:val="61"/>
        </w:numPr>
        <w:spacing w:before="100" w:beforeAutospacing="1" w:after="100" w:afterAutospacing="1" w:line="240" w:lineRule="auto"/>
        <w:rPr>
          <w:rFonts w:eastAsia="Times New Roman"/>
        </w:rPr>
      </w:pPr>
      <w:proofErr w:type="spellStart"/>
      <w:r>
        <w:rPr>
          <w:rStyle w:val="Emphasis"/>
          <w:rFonts w:eastAsia="Times New Roman"/>
        </w:rPr>
        <w:t>Biophotons</w:t>
      </w:r>
      <w:proofErr w:type="spellEnd"/>
      <w:r>
        <w:rPr>
          <w:rStyle w:val="Emphasis"/>
          <w:rFonts w:eastAsia="Times New Roman"/>
        </w:rPr>
        <w:t xml:space="preserve"> and Emergence of Quantum Coherence</w:t>
      </w:r>
      <w:r>
        <w:rPr>
          <w:rFonts w:eastAsia="Times New Roman"/>
        </w:rPr>
        <w:t xml:space="preserve"> - PubMed Central.</w:t>
      </w:r>
    </w:p>
    <w:p w14:paraId="5B1B1F7F"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The Pyramid Electric Generator</w:t>
      </w:r>
      <w:r>
        <w:rPr>
          <w:rFonts w:eastAsia="Times New Roman"/>
        </w:rPr>
        <w:t xml:space="preserve"> - </w:t>
      </w:r>
      <w:proofErr w:type="spellStart"/>
      <w:r>
        <w:rPr>
          <w:rFonts w:eastAsia="Times New Roman"/>
        </w:rPr>
        <w:t>ResearchGate</w:t>
      </w:r>
      <w:proofErr w:type="spellEnd"/>
      <w:r>
        <w:rPr>
          <w:rFonts w:eastAsia="Times New Roman"/>
        </w:rPr>
        <w:t>.</w:t>
      </w:r>
    </w:p>
    <w:p w14:paraId="3A9427F9" w14:textId="77777777" w:rsidR="00FF2B4E" w:rsidRDefault="00FF2B4E" w:rsidP="00FF2B4E">
      <w:pPr>
        <w:numPr>
          <w:ilvl w:val="0"/>
          <w:numId w:val="61"/>
        </w:numPr>
        <w:spacing w:before="100" w:beforeAutospacing="1" w:after="100" w:afterAutospacing="1" w:line="240" w:lineRule="auto"/>
        <w:rPr>
          <w:rFonts w:eastAsia="Times New Roman"/>
        </w:rPr>
      </w:pPr>
      <w:r>
        <w:rPr>
          <w:rStyle w:val="Emphasis"/>
          <w:rFonts w:eastAsia="Times New Roman"/>
        </w:rPr>
        <w:t>Nikola Tesla's Research on Pyramids: Separating Fact from Fiction</w:t>
      </w:r>
      <w:r>
        <w:rPr>
          <w:rFonts w:eastAsia="Times New Roman"/>
        </w:rPr>
        <w:t xml:space="preserve"> - Medium.</w:t>
      </w:r>
    </w:p>
    <w:p w14:paraId="60CE5751" w14:textId="77777777" w:rsidR="00FF2B4E" w:rsidRDefault="00FF2B4E">
      <w:pPr>
        <w:spacing w:after="0"/>
        <w:rPr>
          <w:rFonts w:eastAsia="Times New Roman"/>
        </w:rPr>
      </w:pPr>
      <w:r>
        <w:rPr>
          <w:rFonts w:eastAsia="Times New Roman"/>
          <w:noProof/>
        </w:rPr>
        <mc:AlternateContent>
          <mc:Choice Requires="wps">
            <w:drawing>
              <wp:inline distT="0" distB="0" distL="0" distR="0" wp14:anchorId="02CBA894" wp14:editId="5A0EEBCA">
                <wp:extent cx="7080250" cy="1270"/>
                <wp:effectExtent l="0" t="31750" r="0" b="36830"/>
                <wp:docPr id="8153016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AE10F9"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6F8B2CA" w14:textId="77777777" w:rsidR="00FF2B4E" w:rsidRDefault="00FF2B4E">
      <w:pPr>
        <w:pStyle w:val="NormalWeb"/>
      </w:pPr>
      <w:r>
        <w:t>*Note: This paper presents a theoretical exploration based on available scientific literature and interpretations of ancient practices. Further empirical research is required to validate these hypotheses.*</w:t>
      </w:r>
    </w:p>
    <w:p w14:paraId="4D4F13CF" w14:textId="4C30E56C" w:rsidR="006D019F" w:rsidRPr="002C271B" w:rsidRDefault="006D019F" w:rsidP="002C271B">
      <w:pPr>
        <w:spacing w:after="0"/>
        <w:rPr>
          <w:rFonts w:eastAsia="Times New Roman"/>
        </w:rPr>
      </w:pPr>
    </w:p>
    <w:sectPr w:rsidR="006D019F" w:rsidRPr="002C271B">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2291C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14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64F42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148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3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122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42F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8" w15:restartNumberingAfterBreak="0">
    <w:nsid w:val="1FA405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981C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91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456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2D1D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9"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C38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B03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39" w15:restartNumberingAfterBreak="0">
    <w:nsid w:val="584B7F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920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C08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63D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602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3A26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6D3E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77D03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710E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53A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9D77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637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6125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035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E12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59"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38"/>
    <w:lvlOverride w:ilvl="0">
      <w:startOverride w:val="1"/>
    </w:lvlOverride>
  </w:num>
  <w:num w:numId="2" w16cid:durableId="585194575">
    <w:abstractNumId w:val="38"/>
    <w:lvlOverride w:ilvl="0">
      <w:startOverride w:val="1"/>
    </w:lvlOverride>
  </w:num>
  <w:num w:numId="3" w16cid:durableId="1879125624">
    <w:abstractNumId w:val="38"/>
    <w:lvlOverride w:ilvl="0">
      <w:startOverride w:val="1"/>
    </w:lvlOverride>
  </w:num>
  <w:num w:numId="4" w16cid:durableId="981689895">
    <w:abstractNumId w:val="38"/>
    <w:lvlOverride w:ilvl="0">
      <w:startOverride w:val="1"/>
    </w:lvlOverride>
  </w:num>
  <w:num w:numId="5" w16cid:durableId="465705081">
    <w:abstractNumId w:val="38"/>
    <w:lvlOverride w:ilvl="0">
      <w:startOverride w:val="1"/>
    </w:lvlOverride>
  </w:num>
  <w:num w:numId="6" w16cid:durableId="1645694450">
    <w:abstractNumId w:val="38"/>
    <w:lvlOverride w:ilvl="0">
      <w:startOverride w:val="1"/>
    </w:lvlOverride>
  </w:num>
  <w:num w:numId="7" w16cid:durableId="142891369">
    <w:abstractNumId w:val="38"/>
    <w:lvlOverride w:ilvl="0">
      <w:startOverride w:val="1"/>
    </w:lvlOverride>
  </w:num>
  <w:num w:numId="8" w16cid:durableId="123037239">
    <w:abstractNumId w:val="30"/>
  </w:num>
  <w:num w:numId="9" w16cid:durableId="1621254643">
    <w:abstractNumId w:val="8"/>
  </w:num>
  <w:num w:numId="10" w16cid:durableId="194513505">
    <w:abstractNumId w:val="59"/>
  </w:num>
  <w:num w:numId="11" w16cid:durableId="389160121">
    <w:abstractNumId w:val="36"/>
  </w:num>
  <w:num w:numId="12" w16cid:durableId="1482964025">
    <w:abstractNumId w:val="12"/>
  </w:num>
  <w:num w:numId="13" w16cid:durableId="629242078">
    <w:abstractNumId w:val="23"/>
  </w:num>
  <w:num w:numId="14" w16cid:durableId="1004238902">
    <w:abstractNumId w:val="48"/>
  </w:num>
  <w:num w:numId="15" w16cid:durableId="1223177529">
    <w:abstractNumId w:val="60"/>
  </w:num>
  <w:num w:numId="16" w16cid:durableId="1100373905">
    <w:abstractNumId w:val="29"/>
  </w:num>
  <w:num w:numId="17" w16cid:durableId="1553224870">
    <w:abstractNumId w:val="57"/>
  </w:num>
  <w:num w:numId="18" w16cid:durableId="1342393566">
    <w:abstractNumId w:val="25"/>
  </w:num>
  <w:num w:numId="19" w16cid:durableId="1734501319">
    <w:abstractNumId w:val="14"/>
  </w:num>
  <w:num w:numId="20" w16cid:durableId="274215377">
    <w:abstractNumId w:val="9"/>
  </w:num>
  <w:num w:numId="21" w16cid:durableId="892546052">
    <w:abstractNumId w:val="46"/>
  </w:num>
  <w:num w:numId="22" w16cid:durableId="167251745">
    <w:abstractNumId w:val="31"/>
  </w:num>
  <w:num w:numId="23" w16cid:durableId="2130736687">
    <w:abstractNumId w:val="15"/>
  </w:num>
  <w:num w:numId="24" w16cid:durableId="1978022988">
    <w:abstractNumId w:val="32"/>
  </w:num>
  <w:num w:numId="25" w16cid:durableId="1742680361">
    <w:abstractNumId w:val="34"/>
  </w:num>
  <w:num w:numId="26" w16cid:durableId="550731329">
    <w:abstractNumId w:val="26"/>
  </w:num>
  <w:num w:numId="27" w16cid:durableId="504631367">
    <w:abstractNumId w:val="35"/>
  </w:num>
  <w:num w:numId="28" w16cid:durableId="1747605219">
    <w:abstractNumId w:val="16"/>
  </w:num>
  <w:num w:numId="29" w16cid:durableId="360131433">
    <w:abstractNumId w:val="13"/>
  </w:num>
  <w:num w:numId="30" w16cid:durableId="2019623467">
    <w:abstractNumId w:val="11"/>
  </w:num>
  <w:num w:numId="31" w16cid:durableId="1970282328">
    <w:abstractNumId w:val="44"/>
  </w:num>
  <w:num w:numId="32" w16cid:durableId="1129475315">
    <w:abstractNumId w:val="24"/>
  </w:num>
  <w:num w:numId="33" w16cid:durableId="1008102126">
    <w:abstractNumId w:val="18"/>
  </w:num>
  <w:num w:numId="34" w16cid:durableId="573204229">
    <w:abstractNumId w:val="52"/>
  </w:num>
  <w:num w:numId="35" w16cid:durableId="1132986440">
    <w:abstractNumId w:val="45"/>
  </w:num>
  <w:num w:numId="36" w16cid:durableId="1784307024">
    <w:abstractNumId w:val="6"/>
  </w:num>
  <w:num w:numId="37" w16cid:durableId="2141998400">
    <w:abstractNumId w:val="20"/>
  </w:num>
  <w:num w:numId="38" w16cid:durableId="2114322754">
    <w:abstractNumId w:val="47"/>
  </w:num>
  <w:num w:numId="39" w16cid:durableId="801341234">
    <w:abstractNumId w:val="54"/>
  </w:num>
  <w:num w:numId="40" w16cid:durableId="1746802195">
    <w:abstractNumId w:val="53"/>
  </w:num>
  <w:num w:numId="41" w16cid:durableId="984049556">
    <w:abstractNumId w:val="7"/>
  </w:num>
  <w:num w:numId="42" w16cid:durableId="882181815">
    <w:abstractNumId w:val="49"/>
  </w:num>
  <w:num w:numId="43" w16cid:durableId="917593520">
    <w:abstractNumId w:val="39"/>
  </w:num>
  <w:num w:numId="44" w16cid:durableId="1359117108">
    <w:abstractNumId w:val="51"/>
  </w:num>
  <w:num w:numId="45" w16cid:durableId="1530993322">
    <w:abstractNumId w:val="43"/>
  </w:num>
  <w:num w:numId="46" w16cid:durableId="184490297">
    <w:abstractNumId w:val="10"/>
  </w:num>
  <w:num w:numId="47" w16cid:durableId="1074816391">
    <w:abstractNumId w:val="37"/>
  </w:num>
  <w:num w:numId="48" w16cid:durableId="185409751">
    <w:abstractNumId w:val="55"/>
  </w:num>
  <w:num w:numId="49" w16cid:durableId="2012222501">
    <w:abstractNumId w:val="5"/>
  </w:num>
  <w:num w:numId="50" w16cid:durableId="433404628">
    <w:abstractNumId w:val="1"/>
  </w:num>
  <w:num w:numId="51" w16cid:durableId="722754178">
    <w:abstractNumId w:val="4"/>
  </w:num>
  <w:num w:numId="52" w16cid:durableId="264702396">
    <w:abstractNumId w:val="2"/>
  </w:num>
  <w:num w:numId="53" w16cid:durableId="967662219">
    <w:abstractNumId w:val="56"/>
  </w:num>
  <w:num w:numId="54" w16cid:durableId="658459630">
    <w:abstractNumId w:val="42"/>
  </w:num>
  <w:num w:numId="55" w16cid:durableId="1847944020">
    <w:abstractNumId w:val="27"/>
  </w:num>
  <w:num w:numId="56" w16cid:durableId="1625428643">
    <w:abstractNumId w:val="40"/>
  </w:num>
  <w:num w:numId="57" w16cid:durableId="252665806">
    <w:abstractNumId w:val="19"/>
  </w:num>
  <w:num w:numId="58" w16cid:durableId="186404984">
    <w:abstractNumId w:val="21"/>
  </w:num>
  <w:num w:numId="59" w16cid:durableId="470024567">
    <w:abstractNumId w:val="33"/>
  </w:num>
  <w:num w:numId="60" w16cid:durableId="907762343">
    <w:abstractNumId w:val="41"/>
  </w:num>
  <w:num w:numId="61" w16cid:durableId="206243440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096D06"/>
    <w:rsid w:val="000B2773"/>
    <w:rsid w:val="000B44DF"/>
    <w:rsid w:val="000B6489"/>
    <w:rsid w:val="000E05EF"/>
    <w:rsid w:val="001363AF"/>
    <w:rsid w:val="00142000"/>
    <w:rsid w:val="00156754"/>
    <w:rsid w:val="001A0913"/>
    <w:rsid w:val="001C4BE8"/>
    <w:rsid w:val="001F3C6A"/>
    <w:rsid w:val="002047D0"/>
    <w:rsid w:val="00237EEB"/>
    <w:rsid w:val="00241818"/>
    <w:rsid w:val="00245C31"/>
    <w:rsid w:val="0025703E"/>
    <w:rsid w:val="00260149"/>
    <w:rsid w:val="00262867"/>
    <w:rsid w:val="00271A9F"/>
    <w:rsid w:val="002806A9"/>
    <w:rsid w:val="00285743"/>
    <w:rsid w:val="002B1989"/>
    <w:rsid w:val="002C271B"/>
    <w:rsid w:val="00331628"/>
    <w:rsid w:val="00335363"/>
    <w:rsid w:val="00342756"/>
    <w:rsid w:val="003551EB"/>
    <w:rsid w:val="00382A76"/>
    <w:rsid w:val="00383325"/>
    <w:rsid w:val="003C44F3"/>
    <w:rsid w:val="003D42F9"/>
    <w:rsid w:val="003D7551"/>
    <w:rsid w:val="003F4416"/>
    <w:rsid w:val="004128CE"/>
    <w:rsid w:val="0047696A"/>
    <w:rsid w:val="0049436D"/>
    <w:rsid w:val="004B0660"/>
    <w:rsid w:val="0056374C"/>
    <w:rsid w:val="00564A1D"/>
    <w:rsid w:val="005759D5"/>
    <w:rsid w:val="0058244F"/>
    <w:rsid w:val="005846C9"/>
    <w:rsid w:val="005863D3"/>
    <w:rsid w:val="005938F7"/>
    <w:rsid w:val="005B126B"/>
    <w:rsid w:val="005B27B7"/>
    <w:rsid w:val="005E7358"/>
    <w:rsid w:val="0062702A"/>
    <w:rsid w:val="00631587"/>
    <w:rsid w:val="006512FA"/>
    <w:rsid w:val="006951F7"/>
    <w:rsid w:val="006A4724"/>
    <w:rsid w:val="006D019F"/>
    <w:rsid w:val="006F7DCC"/>
    <w:rsid w:val="00712FBF"/>
    <w:rsid w:val="00724CC7"/>
    <w:rsid w:val="007373A3"/>
    <w:rsid w:val="00740F38"/>
    <w:rsid w:val="0074662E"/>
    <w:rsid w:val="007466ED"/>
    <w:rsid w:val="00747E21"/>
    <w:rsid w:val="007879F3"/>
    <w:rsid w:val="007A177F"/>
    <w:rsid w:val="007A6867"/>
    <w:rsid w:val="007A7C1E"/>
    <w:rsid w:val="0080050F"/>
    <w:rsid w:val="00816A0C"/>
    <w:rsid w:val="00830A07"/>
    <w:rsid w:val="00841920"/>
    <w:rsid w:val="00871243"/>
    <w:rsid w:val="008A0481"/>
    <w:rsid w:val="008C3040"/>
    <w:rsid w:val="008C688A"/>
    <w:rsid w:val="00976083"/>
    <w:rsid w:val="00A3245D"/>
    <w:rsid w:val="00A32700"/>
    <w:rsid w:val="00A3390C"/>
    <w:rsid w:val="00A33F55"/>
    <w:rsid w:val="00A724D1"/>
    <w:rsid w:val="00A87C90"/>
    <w:rsid w:val="00AD2EFD"/>
    <w:rsid w:val="00AD7EA5"/>
    <w:rsid w:val="00B511BC"/>
    <w:rsid w:val="00B619C3"/>
    <w:rsid w:val="00B64C9F"/>
    <w:rsid w:val="00B72F5C"/>
    <w:rsid w:val="00BE00F6"/>
    <w:rsid w:val="00BF2B17"/>
    <w:rsid w:val="00C938AD"/>
    <w:rsid w:val="00CA5A4D"/>
    <w:rsid w:val="00CB1D5B"/>
    <w:rsid w:val="00CC1564"/>
    <w:rsid w:val="00CF6414"/>
    <w:rsid w:val="00D4428D"/>
    <w:rsid w:val="00DA0C4C"/>
    <w:rsid w:val="00DF0831"/>
    <w:rsid w:val="00DF649E"/>
    <w:rsid w:val="00E00850"/>
    <w:rsid w:val="00E12AA8"/>
    <w:rsid w:val="00E32982"/>
    <w:rsid w:val="00E34554"/>
    <w:rsid w:val="00E36111"/>
    <w:rsid w:val="00E4760C"/>
    <w:rsid w:val="00EC4ED0"/>
    <w:rsid w:val="00EF126C"/>
    <w:rsid w:val="00F02369"/>
    <w:rsid w:val="00FA326E"/>
    <w:rsid w:val="00FA41D6"/>
    <w:rsid w:val="00FD752B"/>
    <w:rsid w:val="00FF008A"/>
    <w:rsid w:val="00FF2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B72F5C"/>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3005">
      <w:marLeft w:val="0"/>
      <w:marRight w:val="0"/>
      <w:marTop w:val="0"/>
      <w:marBottom w:val="0"/>
      <w:divBdr>
        <w:top w:val="none" w:sz="0" w:space="0" w:color="auto"/>
        <w:left w:val="none" w:sz="0" w:space="0" w:color="auto"/>
        <w:bottom w:val="none" w:sz="0" w:space="0" w:color="auto"/>
        <w:right w:val="none" w:sz="0" w:space="0" w:color="auto"/>
      </w:divBdr>
    </w:div>
    <w:div w:id="629746226">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 w:id="203302435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42</cp:revision>
  <dcterms:created xsi:type="dcterms:W3CDTF">2025-08-10T15:06:00Z</dcterms:created>
  <dcterms:modified xsi:type="dcterms:W3CDTF">2025-08-26T23:13:00Z</dcterms:modified>
</cp:coreProperties>
</file>