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8B6E6" w14:textId="77777777" w:rsidR="00B260FE" w:rsidRDefault="00B260FE">
      <w:pPr>
        <w:pStyle w:val="NormalWeb"/>
      </w:pPr>
      <w:r>
        <w:rPr>
          <w:rStyle w:val="Strong"/>
        </w:rPr>
        <w:t>Title: The UAP Cover-Up: Black Programs, Breakaway Civilizations, and the Suppression of Consciousness-Based Technology</w:t>
      </w:r>
    </w:p>
    <w:p w14:paraId="198D5300" w14:textId="77777777" w:rsidR="00B260FE" w:rsidRDefault="00B260FE">
      <w:pPr>
        <w:rPr>
          <w:rFonts w:eastAsia="Times New Roman"/>
        </w:rPr>
      </w:pPr>
      <w:r>
        <w:rPr>
          <w:rFonts w:eastAsia="Times New Roman"/>
          <w:noProof/>
        </w:rPr>
        <mc:AlternateContent>
          <mc:Choice Requires="wps">
            <w:drawing>
              <wp:inline distT="0" distB="0" distL="0" distR="0" wp14:anchorId="362157A4" wp14:editId="382BFDEE">
                <wp:extent cx="7080250" cy="1270"/>
                <wp:effectExtent l="0" t="31750" r="0" b="36830"/>
                <wp:docPr id="12642171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45D5AE"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B5D860" w14:textId="77777777" w:rsidR="00B260FE" w:rsidRDefault="00B260FE">
      <w:pPr>
        <w:pStyle w:val="NormalWeb"/>
      </w:pPr>
      <w:r>
        <w:rPr>
          <w:rStyle w:val="Strong"/>
        </w:rPr>
        <w:t>Abstract</w:t>
      </w:r>
    </w:p>
    <w:p w14:paraId="243ACF9E" w14:textId="7496CABC" w:rsidR="00B260FE" w:rsidRDefault="00B260FE">
      <w:pPr>
        <w:pStyle w:val="NormalWeb"/>
      </w:pPr>
      <w:r>
        <w:t xml:space="preserve">This paper explores the emerging body of evidence pointing to a coordinated and decades-long cover-up by the U.S. Department of </w:t>
      </w:r>
      <w:proofErr w:type="spellStart"/>
      <w:r>
        <w:t>Defense</w:t>
      </w:r>
      <w:proofErr w:type="spellEnd"/>
      <w:r>
        <w:t xml:space="preserve"> and intelligence community regarding Unidentified Anomalous Phenomena (UAP). Drawing from recent congressional testimony, </w:t>
      </w:r>
      <w:proofErr w:type="spellStart"/>
      <w:r>
        <w:t>whistleblower</w:t>
      </w:r>
      <w:proofErr w:type="spellEnd"/>
      <w:r>
        <w:t xml:space="preserve"> accounts, and independent research, we examine claims of crash retrieval programs, reverse-engineering operations, and compartmentalized black budget projects. Central to these allegations is the notion that secrecy is maintained not to prevent public panic, but to preserve military and economic dominance</w:t>
      </w:r>
      <w:r w:rsidR="006755DB">
        <w:t xml:space="preserve"> </w:t>
      </w:r>
      <w:r>
        <w:t>and to suppress potentially transformative consciousness-based technologies. Finally, we consider the theory of a breakaway civilization: a group operating beyond public oversight with access to non-human technology and metaphysical knowledge.</w:t>
      </w:r>
    </w:p>
    <w:p w14:paraId="7F3B93B9" w14:textId="77777777" w:rsidR="00B260FE" w:rsidRDefault="00B260FE">
      <w:pPr>
        <w:rPr>
          <w:rFonts w:eastAsia="Times New Roman"/>
        </w:rPr>
      </w:pPr>
      <w:r>
        <w:rPr>
          <w:rFonts w:eastAsia="Times New Roman"/>
          <w:noProof/>
        </w:rPr>
        <mc:AlternateContent>
          <mc:Choice Requires="wps">
            <w:drawing>
              <wp:inline distT="0" distB="0" distL="0" distR="0" wp14:anchorId="0AB954A7" wp14:editId="02F13F32">
                <wp:extent cx="7080250" cy="1270"/>
                <wp:effectExtent l="0" t="31750" r="0" b="36830"/>
                <wp:docPr id="20699880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391141"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B9F0A4F" w14:textId="77777777" w:rsidR="00B260FE" w:rsidRDefault="00B260FE">
      <w:pPr>
        <w:pStyle w:val="NormalWeb"/>
      </w:pPr>
      <w:r>
        <w:rPr>
          <w:rStyle w:val="Strong"/>
        </w:rPr>
        <w:t>1. Introduction: The Threshold of Disclosure</w:t>
      </w:r>
    </w:p>
    <w:p w14:paraId="0F5B33F9" w14:textId="57B0B499" w:rsidR="00B260FE" w:rsidRDefault="00B260FE">
      <w:pPr>
        <w:pStyle w:val="NormalWeb"/>
      </w:pPr>
      <w:r>
        <w:t xml:space="preserve">In recent years, what was once relegated to the </w:t>
      </w:r>
      <w:r w:rsidR="00766B21">
        <w:t xml:space="preserve">Fringe </w:t>
      </w:r>
      <w:r>
        <w:t>UFOs, aliens, and government conspiracies</w:t>
      </w:r>
      <w:r w:rsidR="00766B21">
        <w:t xml:space="preserve"> </w:t>
      </w:r>
      <w:r>
        <w:t>has entered the halls of Congress. On multiple occasions between 2023 and 2024, U.S. lawmakers were presented with testimony asserting that not only does the U.S. government possess knowledge of UAPs, but that it has engaged in decades-long cover-ups involving non-human technology and biological entities. This paper seeks to consolidate the key evidence, claims, and implications of these revelations.</w:t>
      </w:r>
    </w:p>
    <w:p w14:paraId="38E57E92" w14:textId="77777777" w:rsidR="00B260FE" w:rsidRDefault="00B260FE">
      <w:pPr>
        <w:rPr>
          <w:rFonts w:eastAsia="Times New Roman"/>
        </w:rPr>
      </w:pPr>
      <w:r>
        <w:rPr>
          <w:rFonts w:eastAsia="Times New Roman"/>
          <w:noProof/>
        </w:rPr>
        <mc:AlternateContent>
          <mc:Choice Requires="wps">
            <w:drawing>
              <wp:inline distT="0" distB="0" distL="0" distR="0" wp14:anchorId="7C12214D" wp14:editId="5E947365">
                <wp:extent cx="7080250" cy="1270"/>
                <wp:effectExtent l="0" t="31750" r="0" b="36830"/>
                <wp:docPr id="20468544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C43C99"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3579D5" w14:textId="77777777" w:rsidR="00B260FE" w:rsidRDefault="00B260FE">
      <w:pPr>
        <w:pStyle w:val="NormalWeb"/>
      </w:pPr>
      <w:r>
        <w:rPr>
          <w:rStyle w:val="Strong"/>
        </w:rPr>
        <w:t xml:space="preserve">2. </w:t>
      </w:r>
      <w:proofErr w:type="spellStart"/>
      <w:r>
        <w:rPr>
          <w:rStyle w:val="Strong"/>
        </w:rPr>
        <w:t>Whistleblower</w:t>
      </w:r>
      <w:proofErr w:type="spellEnd"/>
      <w:r>
        <w:rPr>
          <w:rStyle w:val="Strong"/>
        </w:rPr>
        <w:t xml:space="preserve"> Testimony and Congressional Hearings</w:t>
      </w:r>
    </w:p>
    <w:p w14:paraId="398FD591" w14:textId="77777777" w:rsidR="00B260FE" w:rsidRDefault="00B260FE">
      <w:pPr>
        <w:pStyle w:val="NormalWeb"/>
      </w:pPr>
      <w:r>
        <w:rPr>
          <w:rStyle w:val="Strong"/>
        </w:rPr>
        <w:t xml:space="preserve">2.1 Michael </w:t>
      </w:r>
      <w:proofErr w:type="spellStart"/>
      <w:r>
        <w:rPr>
          <w:rStyle w:val="Strong"/>
        </w:rPr>
        <w:t>Shellenberger’s</w:t>
      </w:r>
      <w:proofErr w:type="spellEnd"/>
      <w:r>
        <w:rPr>
          <w:rStyle w:val="Strong"/>
        </w:rPr>
        <w:t xml:space="preserve"> 2024 Testimony</w:t>
      </w:r>
    </w:p>
    <w:p w14:paraId="5E00F8CF" w14:textId="77777777" w:rsidR="00B260FE" w:rsidRDefault="00B260FE">
      <w:pPr>
        <w:pStyle w:val="NormalWeb"/>
      </w:pPr>
      <w:r>
        <w:t xml:space="preserve">Journalist Michael </w:t>
      </w:r>
      <w:proofErr w:type="spellStart"/>
      <w:r>
        <w:t>Shellenberger</w:t>
      </w:r>
      <w:proofErr w:type="spellEnd"/>
      <w:r>
        <w:t xml:space="preserve"> submitted sworn testimony to Congress detailing allegations from more than 40 government insiders. Among the most striking claims is the existence of a classified program known as "Immaculate Constellation," an alleged Special Access Program (SAP) that aggregates sensor data on UAPs from satellites, radar systems, and naval sources. The program is said to operate without proper congressional oversight and may contain hundreds of classified videos, including one showing a white orb entering and exiting the ocean off Kuwait.</w:t>
      </w:r>
    </w:p>
    <w:p w14:paraId="665614EF" w14:textId="77777777" w:rsidR="00B260FE" w:rsidRDefault="00B260FE">
      <w:pPr>
        <w:pStyle w:val="NormalWeb"/>
      </w:pPr>
      <w:r>
        <w:rPr>
          <w:rStyle w:val="Strong"/>
        </w:rPr>
        <w:t xml:space="preserve">2.2 David </w:t>
      </w:r>
      <w:proofErr w:type="spellStart"/>
      <w:r>
        <w:rPr>
          <w:rStyle w:val="Strong"/>
        </w:rPr>
        <w:t>Grusch’s</w:t>
      </w:r>
      <w:proofErr w:type="spellEnd"/>
      <w:r>
        <w:rPr>
          <w:rStyle w:val="Strong"/>
        </w:rPr>
        <w:t xml:space="preserve"> </w:t>
      </w:r>
      <w:proofErr w:type="spellStart"/>
      <w:r>
        <w:rPr>
          <w:rStyle w:val="Strong"/>
        </w:rPr>
        <w:t>Whistleblower</w:t>
      </w:r>
      <w:proofErr w:type="spellEnd"/>
      <w:r>
        <w:rPr>
          <w:rStyle w:val="Strong"/>
        </w:rPr>
        <w:t xml:space="preserve"> Claims</w:t>
      </w:r>
    </w:p>
    <w:p w14:paraId="0F6DF8B5" w14:textId="77777777" w:rsidR="00B260FE" w:rsidRDefault="00B260FE">
      <w:pPr>
        <w:pStyle w:val="NormalWeb"/>
      </w:pPr>
      <w:r>
        <w:t xml:space="preserve">In 2023, David </w:t>
      </w:r>
      <w:proofErr w:type="spellStart"/>
      <w:r>
        <w:t>Grusch</w:t>
      </w:r>
      <w:proofErr w:type="spellEnd"/>
      <w:r>
        <w:t>, a former intelligence official, publicly stated that the U.S. has engaged in multi-decade crash retrieval and reverse engineering programs involving non-human craft and biologics. He claimed these operations were deeply compartmentalized, often managed by private contractors, and shielded from oversight through classification and intimidation tactics.</w:t>
      </w:r>
    </w:p>
    <w:p w14:paraId="08EAF01B" w14:textId="77777777" w:rsidR="00B260FE" w:rsidRDefault="00B260FE">
      <w:pPr>
        <w:pStyle w:val="NormalWeb"/>
      </w:pPr>
      <w:r>
        <w:rPr>
          <w:rStyle w:val="Strong"/>
        </w:rPr>
        <w:t>2.3 Luis Elizondo and the Legacy Programs</w:t>
      </w:r>
    </w:p>
    <w:p w14:paraId="3809DFB3" w14:textId="77777777" w:rsidR="00B260FE" w:rsidRDefault="00B260FE">
      <w:pPr>
        <w:pStyle w:val="NormalWeb"/>
      </w:pPr>
      <w:r>
        <w:t>Former head of the Advanced Aerospace Threat Identification Program (AATIP), Luis Elizondo, described black programs so secret that even high-ranking government officials are unaware of their existence. Elizondo has stated that non-human materials and consciousness-reactive technologies are being studied, hinting at the metaphysical dimensions of the phenomenon.</w:t>
      </w:r>
    </w:p>
    <w:p w14:paraId="6DD7B017" w14:textId="77777777" w:rsidR="00B260FE" w:rsidRDefault="00B260FE">
      <w:pPr>
        <w:rPr>
          <w:rFonts w:eastAsia="Times New Roman"/>
        </w:rPr>
      </w:pPr>
      <w:r>
        <w:rPr>
          <w:rFonts w:eastAsia="Times New Roman"/>
          <w:noProof/>
        </w:rPr>
        <mc:AlternateContent>
          <mc:Choice Requires="wps">
            <w:drawing>
              <wp:inline distT="0" distB="0" distL="0" distR="0" wp14:anchorId="001BD42B" wp14:editId="46A72D5E">
                <wp:extent cx="7080250" cy="1270"/>
                <wp:effectExtent l="0" t="31750" r="0" b="36830"/>
                <wp:docPr id="20236728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F80E0D"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68B48F0" w14:textId="77777777" w:rsidR="00B260FE" w:rsidRDefault="00B260FE">
      <w:pPr>
        <w:pStyle w:val="NormalWeb"/>
      </w:pPr>
      <w:r>
        <w:rPr>
          <w:rStyle w:val="Strong"/>
        </w:rPr>
        <w:t>3. Black Programs and Special Access Projects</w:t>
      </w:r>
    </w:p>
    <w:p w14:paraId="2879C5ED" w14:textId="77777777" w:rsidR="00B260FE" w:rsidRDefault="00B260FE">
      <w:pPr>
        <w:pStyle w:val="NormalWeb"/>
      </w:pPr>
      <w:r>
        <w:t>SAPs and USAPs are highly compartmentalized programs often conducted under military-industrial contractor umbrellas. Alleged examples include:</w:t>
      </w:r>
    </w:p>
    <w:p w14:paraId="62AAEB6A" w14:textId="77777777" w:rsidR="00B260FE" w:rsidRDefault="00B260FE" w:rsidP="00B260FE">
      <w:pPr>
        <w:numPr>
          <w:ilvl w:val="0"/>
          <w:numId w:val="1"/>
        </w:numPr>
        <w:spacing w:before="100" w:beforeAutospacing="1" w:after="100" w:afterAutospacing="1" w:line="240" w:lineRule="auto"/>
        <w:rPr>
          <w:rFonts w:eastAsia="Times New Roman"/>
        </w:rPr>
      </w:pPr>
      <w:r>
        <w:rPr>
          <w:rFonts w:eastAsia="Times New Roman"/>
        </w:rPr>
        <w:t>Reverse engineering of crash materials</w:t>
      </w:r>
    </w:p>
    <w:p w14:paraId="521624F0" w14:textId="77777777" w:rsidR="00B260FE" w:rsidRDefault="00B260FE" w:rsidP="00B260FE">
      <w:pPr>
        <w:numPr>
          <w:ilvl w:val="0"/>
          <w:numId w:val="1"/>
        </w:numPr>
        <w:spacing w:before="100" w:beforeAutospacing="1" w:after="100" w:afterAutospacing="1" w:line="240" w:lineRule="auto"/>
        <w:rPr>
          <w:rFonts w:eastAsia="Times New Roman"/>
        </w:rPr>
      </w:pPr>
      <w:r>
        <w:rPr>
          <w:rFonts w:eastAsia="Times New Roman"/>
        </w:rPr>
        <w:t>Underground research facilities (e.g., NSWC Crane)</w:t>
      </w:r>
    </w:p>
    <w:p w14:paraId="3693E673" w14:textId="77777777" w:rsidR="00B260FE" w:rsidRDefault="00B260FE" w:rsidP="00B260FE">
      <w:pPr>
        <w:numPr>
          <w:ilvl w:val="0"/>
          <w:numId w:val="1"/>
        </w:numPr>
        <w:spacing w:before="100" w:beforeAutospacing="1" w:after="100" w:afterAutospacing="1" w:line="240" w:lineRule="auto"/>
        <w:rPr>
          <w:rFonts w:eastAsia="Times New Roman"/>
        </w:rPr>
      </w:pPr>
      <w:r>
        <w:rPr>
          <w:rFonts w:eastAsia="Times New Roman"/>
        </w:rPr>
        <w:t>Development of technology that interfaces with human consciousness</w:t>
      </w:r>
    </w:p>
    <w:p w14:paraId="62FCACC1" w14:textId="77777777" w:rsidR="00B260FE" w:rsidRDefault="00B260FE">
      <w:pPr>
        <w:pStyle w:val="NormalWeb"/>
      </w:pPr>
      <w:r>
        <w:t xml:space="preserve">These projects are typically exempt from standard congressional or presidential review due to loopholes in national security law, creating a legal </w:t>
      </w:r>
      <w:proofErr w:type="spellStart"/>
      <w:r>
        <w:t>gray</w:t>
      </w:r>
      <w:proofErr w:type="spellEnd"/>
      <w:r>
        <w:t xml:space="preserve"> zone for deeply classified operations.</w:t>
      </w:r>
    </w:p>
    <w:p w14:paraId="127C664C" w14:textId="77777777" w:rsidR="00B260FE" w:rsidRDefault="00B260FE">
      <w:pPr>
        <w:rPr>
          <w:rFonts w:eastAsia="Times New Roman"/>
        </w:rPr>
      </w:pPr>
      <w:r>
        <w:rPr>
          <w:rFonts w:eastAsia="Times New Roman"/>
          <w:noProof/>
        </w:rPr>
        <mc:AlternateContent>
          <mc:Choice Requires="wps">
            <w:drawing>
              <wp:inline distT="0" distB="0" distL="0" distR="0" wp14:anchorId="16844E63" wp14:editId="6CBFE8A8">
                <wp:extent cx="7080250" cy="1270"/>
                <wp:effectExtent l="0" t="31750" r="0" b="36830"/>
                <wp:docPr id="10603467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F8A020"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6D2097" w14:textId="77777777" w:rsidR="00B260FE" w:rsidRDefault="00B260FE">
      <w:pPr>
        <w:pStyle w:val="NormalWeb"/>
      </w:pPr>
      <w:r>
        <w:rPr>
          <w:rStyle w:val="Strong"/>
        </w:rPr>
        <w:t>4. Disinformation, Media Control, and Strategic Secrecy</w:t>
      </w:r>
    </w:p>
    <w:p w14:paraId="7A88166C" w14:textId="77777777" w:rsidR="00B260FE" w:rsidRDefault="00B260FE">
      <w:pPr>
        <w:pStyle w:val="NormalWeb"/>
      </w:pPr>
      <w:r>
        <w:t>Evidence points to a deliberate disinformation campaign to suppress and ridicule serious UAP investigation. Techniques include:</w:t>
      </w:r>
    </w:p>
    <w:p w14:paraId="51D117B5" w14:textId="77777777" w:rsidR="00B260FE" w:rsidRDefault="00B260FE" w:rsidP="00B260FE">
      <w:pPr>
        <w:numPr>
          <w:ilvl w:val="0"/>
          <w:numId w:val="2"/>
        </w:numPr>
        <w:spacing w:before="100" w:beforeAutospacing="1" w:after="100" w:afterAutospacing="1" w:line="240" w:lineRule="auto"/>
        <w:rPr>
          <w:rFonts w:eastAsia="Times New Roman"/>
        </w:rPr>
      </w:pPr>
      <w:r>
        <w:rPr>
          <w:rFonts w:eastAsia="Times New Roman"/>
        </w:rPr>
        <w:t xml:space="preserve">Discrediting </w:t>
      </w:r>
      <w:proofErr w:type="spellStart"/>
      <w:r>
        <w:rPr>
          <w:rFonts w:eastAsia="Times New Roman"/>
        </w:rPr>
        <w:t>whistleblowers</w:t>
      </w:r>
      <w:proofErr w:type="spellEnd"/>
      <w:r>
        <w:rPr>
          <w:rFonts w:eastAsia="Times New Roman"/>
        </w:rPr>
        <w:t xml:space="preserve"> and experiencers</w:t>
      </w:r>
    </w:p>
    <w:p w14:paraId="5D8758F0" w14:textId="77777777" w:rsidR="00B260FE" w:rsidRDefault="00B260FE" w:rsidP="00B260FE">
      <w:pPr>
        <w:numPr>
          <w:ilvl w:val="0"/>
          <w:numId w:val="2"/>
        </w:numPr>
        <w:spacing w:before="100" w:beforeAutospacing="1" w:after="100" w:afterAutospacing="1" w:line="240" w:lineRule="auto"/>
        <w:rPr>
          <w:rFonts w:eastAsia="Times New Roman"/>
        </w:rPr>
      </w:pPr>
      <w:r>
        <w:rPr>
          <w:rFonts w:eastAsia="Times New Roman"/>
        </w:rPr>
        <w:t xml:space="preserve">Using media to promote </w:t>
      </w:r>
      <w:proofErr w:type="spellStart"/>
      <w:r>
        <w:rPr>
          <w:rFonts w:eastAsia="Times New Roman"/>
        </w:rPr>
        <w:t>skepticism</w:t>
      </w:r>
      <w:proofErr w:type="spellEnd"/>
      <w:r>
        <w:rPr>
          <w:rFonts w:eastAsia="Times New Roman"/>
        </w:rPr>
        <w:t xml:space="preserve"> and ridicule</w:t>
      </w:r>
    </w:p>
    <w:p w14:paraId="2C6BD564" w14:textId="77777777" w:rsidR="00B260FE" w:rsidRDefault="00B260FE" w:rsidP="00B260FE">
      <w:pPr>
        <w:numPr>
          <w:ilvl w:val="0"/>
          <w:numId w:val="2"/>
        </w:numPr>
        <w:spacing w:before="100" w:beforeAutospacing="1" w:after="100" w:afterAutospacing="1" w:line="240" w:lineRule="auto"/>
        <w:rPr>
          <w:rFonts w:eastAsia="Times New Roman"/>
        </w:rPr>
      </w:pPr>
      <w:r>
        <w:rPr>
          <w:rFonts w:eastAsia="Times New Roman"/>
        </w:rPr>
        <w:t>Deliberately mixing real sightings with hoaxes to sow confusion</w:t>
      </w:r>
    </w:p>
    <w:p w14:paraId="3FE62DE0" w14:textId="77777777" w:rsidR="00B260FE" w:rsidRDefault="00B260FE">
      <w:pPr>
        <w:pStyle w:val="NormalWeb"/>
      </w:pPr>
      <w:r>
        <w:t>Such efforts serve to maintain technological secrecy, avoid legal accountability, and control the narrative. More deeply, they may also serve to suppress public inquiry into the nature of consciousness and reality itself.</w:t>
      </w:r>
    </w:p>
    <w:p w14:paraId="7C7ACE53" w14:textId="77777777" w:rsidR="00B260FE" w:rsidRDefault="00B260FE">
      <w:pPr>
        <w:rPr>
          <w:rFonts w:eastAsia="Times New Roman"/>
        </w:rPr>
      </w:pPr>
      <w:r>
        <w:rPr>
          <w:rFonts w:eastAsia="Times New Roman"/>
          <w:noProof/>
        </w:rPr>
        <mc:AlternateContent>
          <mc:Choice Requires="wps">
            <w:drawing>
              <wp:inline distT="0" distB="0" distL="0" distR="0" wp14:anchorId="194D53D1" wp14:editId="46954A39">
                <wp:extent cx="7080250" cy="1270"/>
                <wp:effectExtent l="0" t="31750" r="0" b="36830"/>
                <wp:docPr id="17859215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A2E3C1"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E4A5232" w14:textId="77777777" w:rsidR="00B260FE" w:rsidRDefault="00B260FE">
      <w:pPr>
        <w:pStyle w:val="NormalWeb"/>
      </w:pPr>
      <w:r>
        <w:rPr>
          <w:rStyle w:val="Strong"/>
        </w:rPr>
        <w:t>5. Breakaway Civilizations: Theory and Evidence</w:t>
      </w:r>
    </w:p>
    <w:p w14:paraId="54400E5F" w14:textId="7D05B4C3" w:rsidR="00B260FE" w:rsidRDefault="00B260FE">
      <w:pPr>
        <w:pStyle w:val="NormalWeb"/>
      </w:pPr>
      <w:r>
        <w:t>The "breakaway civilization" hypothesis posits that a hidden elite possesses access to advanced technology</w:t>
      </w:r>
      <w:r w:rsidR="00766B21">
        <w:t xml:space="preserve"> </w:t>
      </w:r>
      <w:r>
        <w:t>potentially of non-human origin</w:t>
      </w:r>
      <w:r w:rsidR="00766B21">
        <w:t xml:space="preserve"> </w:t>
      </w:r>
      <w:r>
        <w:t>and has leveraged this advantage to operate beyond the reach of traditional governance. This group may:</w:t>
      </w:r>
    </w:p>
    <w:p w14:paraId="387433EB" w14:textId="77777777" w:rsidR="00B260FE" w:rsidRDefault="00B260FE" w:rsidP="00B260FE">
      <w:pPr>
        <w:numPr>
          <w:ilvl w:val="0"/>
          <w:numId w:val="3"/>
        </w:numPr>
        <w:spacing w:before="100" w:beforeAutospacing="1" w:after="100" w:afterAutospacing="1" w:line="240" w:lineRule="auto"/>
        <w:rPr>
          <w:rFonts w:eastAsia="Times New Roman"/>
        </w:rPr>
      </w:pPr>
      <w:r>
        <w:rPr>
          <w:rFonts w:eastAsia="Times New Roman"/>
        </w:rPr>
        <w:t>Control exotic propulsion systems, free energy devices, and consciousness technologies</w:t>
      </w:r>
    </w:p>
    <w:p w14:paraId="5CF89D4E" w14:textId="77777777" w:rsidR="00B260FE" w:rsidRDefault="00B260FE" w:rsidP="00B260FE">
      <w:pPr>
        <w:numPr>
          <w:ilvl w:val="0"/>
          <w:numId w:val="3"/>
        </w:numPr>
        <w:spacing w:before="100" w:beforeAutospacing="1" w:after="100" w:afterAutospacing="1" w:line="240" w:lineRule="auto"/>
        <w:rPr>
          <w:rFonts w:eastAsia="Times New Roman"/>
        </w:rPr>
      </w:pPr>
      <w:r>
        <w:rPr>
          <w:rFonts w:eastAsia="Times New Roman"/>
        </w:rPr>
        <w:t>Conduct false-flag operations to maintain control</w:t>
      </w:r>
    </w:p>
    <w:p w14:paraId="48B7987F" w14:textId="77777777" w:rsidR="00B260FE" w:rsidRDefault="00B260FE" w:rsidP="00B260FE">
      <w:pPr>
        <w:numPr>
          <w:ilvl w:val="0"/>
          <w:numId w:val="3"/>
        </w:numPr>
        <w:spacing w:before="100" w:beforeAutospacing="1" w:after="100" w:afterAutospacing="1" w:line="240" w:lineRule="auto"/>
        <w:rPr>
          <w:rFonts w:eastAsia="Times New Roman"/>
        </w:rPr>
      </w:pPr>
      <w:r>
        <w:rPr>
          <w:rFonts w:eastAsia="Times New Roman"/>
        </w:rPr>
        <w:t>Manipulate history, science, and public belief systems to obscure truth</w:t>
      </w:r>
    </w:p>
    <w:p w14:paraId="46620DD6" w14:textId="77777777" w:rsidR="00B260FE" w:rsidRDefault="00B260FE">
      <w:pPr>
        <w:pStyle w:val="NormalWeb"/>
      </w:pPr>
      <w:r>
        <w:t>Authors such as Richard Dolan and researchers in the disclosure movement argue that such a civilization exists and has effectively "opted out" of the rest of humanity’s evolutionary timeline.</w:t>
      </w:r>
    </w:p>
    <w:p w14:paraId="3AB9B272" w14:textId="77777777" w:rsidR="00B260FE" w:rsidRDefault="00B260FE">
      <w:pPr>
        <w:rPr>
          <w:rFonts w:eastAsia="Times New Roman"/>
        </w:rPr>
      </w:pPr>
      <w:r>
        <w:rPr>
          <w:rFonts w:eastAsia="Times New Roman"/>
          <w:noProof/>
        </w:rPr>
        <mc:AlternateContent>
          <mc:Choice Requires="wps">
            <w:drawing>
              <wp:inline distT="0" distB="0" distL="0" distR="0" wp14:anchorId="684D499E" wp14:editId="780E153A">
                <wp:extent cx="7080250" cy="1270"/>
                <wp:effectExtent l="0" t="31750" r="0" b="36830"/>
                <wp:docPr id="10302146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2F6A89"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FF81E1" w14:textId="77777777" w:rsidR="00B260FE" w:rsidRDefault="00B260FE">
      <w:pPr>
        <w:pStyle w:val="NormalWeb"/>
      </w:pPr>
      <w:r>
        <w:rPr>
          <w:rStyle w:val="Strong"/>
        </w:rPr>
        <w:t>6. Consciousness and the Suppressed Science of UAPs</w:t>
      </w:r>
    </w:p>
    <w:p w14:paraId="65264CA2" w14:textId="77777777" w:rsidR="00B260FE" w:rsidRDefault="00B260FE">
      <w:pPr>
        <w:pStyle w:val="NormalWeb"/>
      </w:pPr>
      <w:r>
        <w:t>A recurring element in credible UAP encounters involves:</w:t>
      </w:r>
    </w:p>
    <w:p w14:paraId="0956D007" w14:textId="77777777" w:rsidR="00B260FE" w:rsidRDefault="00B260FE" w:rsidP="00B260FE">
      <w:pPr>
        <w:numPr>
          <w:ilvl w:val="0"/>
          <w:numId w:val="4"/>
        </w:numPr>
        <w:spacing w:before="100" w:beforeAutospacing="1" w:after="100" w:afterAutospacing="1" w:line="240" w:lineRule="auto"/>
        <w:rPr>
          <w:rFonts w:eastAsia="Times New Roman"/>
        </w:rPr>
      </w:pPr>
      <w:r>
        <w:rPr>
          <w:rFonts w:eastAsia="Times New Roman"/>
        </w:rPr>
        <w:t>Telepathic communication</w:t>
      </w:r>
    </w:p>
    <w:p w14:paraId="62774E12" w14:textId="77777777" w:rsidR="00B260FE" w:rsidRDefault="00B260FE" w:rsidP="00B260FE">
      <w:pPr>
        <w:numPr>
          <w:ilvl w:val="0"/>
          <w:numId w:val="4"/>
        </w:numPr>
        <w:spacing w:before="100" w:beforeAutospacing="1" w:after="100" w:afterAutospacing="1" w:line="240" w:lineRule="auto"/>
        <w:rPr>
          <w:rFonts w:eastAsia="Times New Roman"/>
        </w:rPr>
      </w:pPr>
      <w:r>
        <w:rPr>
          <w:rFonts w:eastAsia="Times New Roman"/>
        </w:rPr>
        <w:t>Time dilation or displacement</w:t>
      </w:r>
    </w:p>
    <w:p w14:paraId="15FAE4DB" w14:textId="77777777" w:rsidR="00B260FE" w:rsidRDefault="00B260FE" w:rsidP="00B260FE">
      <w:pPr>
        <w:numPr>
          <w:ilvl w:val="0"/>
          <w:numId w:val="4"/>
        </w:numPr>
        <w:spacing w:before="100" w:beforeAutospacing="1" w:after="100" w:afterAutospacing="1" w:line="240" w:lineRule="auto"/>
        <w:rPr>
          <w:rFonts w:eastAsia="Times New Roman"/>
        </w:rPr>
      </w:pPr>
      <w:r>
        <w:rPr>
          <w:rFonts w:eastAsia="Times New Roman"/>
        </w:rPr>
        <w:t>Craft responding to thought or emotion</w:t>
      </w:r>
    </w:p>
    <w:p w14:paraId="552A50A4" w14:textId="4949BEEB" w:rsidR="00B260FE" w:rsidRDefault="00B260FE">
      <w:pPr>
        <w:pStyle w:val="NormalWeb"/>
      </w:pPr>
      <w:r>
        <w:t>These features suggest that UAPs may operate on a technology that interfaces with the mind</w:t>
      </w:r>
      <w:r w:rsidR="00DB6D07">
        <w:t xml:space="preserve"> </w:t>
      </w:r>
      <w:r>
        <w:t>potentially using frequency, intention, or torsion fields. Suppressing this science may be a key motive behind the cover-up, as its implications would overturn foundational paradigms in physics, medicine, and psychology.</w:t>
      </w:r>
    </w:p>
    <w:p w14:paraId="53648E6D" w14:textId="77777777" w:rsidR="00B260FE" w:rsidRDefault="00B260FE">
      <w:pPr>
        <w:rPr>
          <w:rFonts w:eastAsia="Times New Roman"/>
        </w:rPr>
      </w:pPr>
      <w:r>
        <w:rPr>
          <w:rFonts w:eastAsia="Times New Roman"/>
          <w:noProof/>
        </w:rPr>
        <mc:AlternateContent>
          <mc:Choice Requires="wps">
            <w:drawing>
              <wp:inline distT="0" distB="0" distL="0" distR="0" wp14:anchorId="4F514250" wp14:editId="7B69D4A5">
                <wp:extent cx="7080250" cy="1270"/>
                <wp:effectExtent l="0" t="31750" r="0" b="36830"/>
                <wp:docPr id="141762248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411FD7"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B8C62F" w14:textId="77777777" w:rsidR="00B260FE" w:rsidRDefault="00B260FE">
      <w:pPr>
        <w:pStyle w:val="NormalWeb"/>
      </w:pPr>
      <w:r>
        <w:rPr>
          <w:rStyle w:val="Strong"/>
        </w:rPr>
        <w:t>7. Conclusion: A Civilizational Fork in the Road</w:t>
      </w:r>
    </w:p>
    <w:p w14:paraId="7297EA10" w14:textId="5DC9F271" w:rsidR="00B260FE" w:rsidRDefault="00B260FE">
      <w:pPr>
        <w:pStyle w:val="NormalWeb"/>
      </w:pPr>
      <w:r>
        <w:t xml:space="preserve">We are witnessing the early cracks in a decades-old edifice of control. The revelations from </w:t>
      </w:r>
      <w:proofErr w:type="spellStart"/>
      <w:r>
        <w:t>whistleblowers</w:t>
      </w:r>
      <w:proofErr w:type="spellEnd"/>
      <w:r>
        <w:t xml:space="preserve"> and insiders point not only to the existence of non-human intelligence and technology but to a deeper war over knowledge, awareness, and the future of the human species. The question is no longer </w:t>
      </w:r>
      <w:r>
        <w:rPr>
          <w:rStyle w:val="Emphasis"/>
        </w:rPr>
        <w:t>if</w:t>
      </w:r>
      <w:r>
        <w:t xml:space="preserve"> something is being hidden</w:t>
      </w:r>
      <w:r w:rsidR="00DB6D07">
        <w:t xml:space="preserve"> </w:t>
      </w:r>
      <w:r>
        <w:t xml:space="preserve">but </w:t>
      </w:r>
      <w:r>
        <w:rPr>
          <w:rStyle w:val="Emphasis"/>
        </w:rPr>
        <w:t>why</w:t>
      </w:r>
      <w:r>
        <w:t>. At stake is not just airspace sovereignty or national security, but the very nature of reality, consciousness, and human potential.</w:t>
      </w:r>
    </w:p>
    <w:p w14:paraId="48FB64B8" w14:textId="77777777" w:rsidR="00B260FE" w:rsidRDefault="00B260FE">
      <w:pPr>
        <w:rPr>
          <w:rFonts w:eastAsia="Times New Roman"/>
        </w:rPr>
      </w:pPr>
      <w:r>
        <w:rPr>
          <w:rFonts w:eastAsia="Times New Roman"/>
          <w:noProof/>
        </w:rPr>
        <mc:AlternateContent>
          <mc:Choice Requires="wps">
            <w:drawing>
              <wp:inline distT="0" distB="0" distL="0" distR="0" wp14:anchorId="260FB920" wp14:editId="443DCBC7">
                <wp:extent cx="7080250" cy="1270"/>
                <wp:effectExtent l="0" t="31750" r="0" b="36830"/>
                <wp:docPr id="1302873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8008F1"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53B8E3" w14:textId="77777777" w:rsidR="00B260FE" w:rsidRDefault="00B260FE">
      <w:pPr>
        <w:pStyle w:val="NormalWeb"/>
      </w:pPr>
      <w:r>
        <w:rPr>
          <w:rStyle w:val="Strong"/>
        </w:rPr>
        <w:t>References</w:t>
      </w:r>
    </w:p>
    <w:p w14:paraId="79E8D8B1" w14:textId="77777777" w:rsidR="00B260FE" w:rsidRDefault="00B260FE" w:rsidP="00B260FE">
      <w:pPr>
        <w:numPr>
          <w:ilvl w:val="0"/>
          <w:numId w:val="5"/>
        </w:numPr>
        <w:spacing w:before="100" w:beforeAutospacing="1" w:after="100" w:afterAutospacing="1" w:line="240" w:lineRule="auto"/>
        <w:rPr>
          <w:rFonts w:eastAsia="Times New Roman"/>
        </w:rPr>
      </w:pPr>
      <w:r>
        <w:rPr>
          <w:rFonts w:eastAsia="Times New Roman"/>
        </w:rPr>
        <w:t>Congressional Hearing Transcripts (2023-2024)</w:t>
      </w:r>
    </w:p>
    <w:p w14:paraId="74CE04A5" w14:textId="77777777" w:rsidR="00B260FE" w:rsidRDefault="00B260FE" w:rsidP="00B260FE">
      <w:pPr>
        <w:numPr>
          <w:ilvl w:val="0"/>
          <w:numId w:val="5"/>
        </w:numPr>
        <w:spacing w:before="100" w:beforeAutospacing="1" w:after="100" w:afterAutospacing="1" w:line="240" w:lineRule="auto"/>
        <w:rPr>
          <w:rFonts w:eastAsia="Times New Roman"/>
        </w:rPr>
      </w:pPr>
      <w:proofErr w:type="spellStart"/>
      <w:r>
        <w:rPr>
          <w:rFonts w:eastAsia="Times New Roman"/>
        </w:rPr>
        <w:t>Shellenberger</w:t>
      </w:r>
      <w:proofErr w:type="spellEnd"/>
      <w:r>
        <w:rPr>
          <w:rFonts w:eastAsia="Times New Roman"/>
        </w:rPr>
        <w:t>, M. (2024). Testimony on Anomalous Phenomena</w:t>
      </w:r>
    </w:p>
    <w:p w14:paraId="1E952202" w14:textId="77777777" w:rsidR="00B260FE" w:rsidRDefault="00B260FE" w:rsidP="00B260FE">
      <w:pPr>
        <w:numPr>
          <w:ilvl w:val="0"/>
          <w:numId w:val="5"/>
        </w:numPr>
        <w:spacing w:before="100" w:beforeAutospacing="1" w:after="100" w:afterAutospacing="1" w:line="240" w:lineRule="auto"/>
        <w:rPr>
          <w:rFonts w:eastAsia="Times New Roman"/>
        </w:rPr>
      </w:pPr>
      <w:proofErr w:type="spellStart"/>
      <w:r>
        <w:rPr>
          <w:rFonts w:eastAsia="Times New Roman"/>
        </w:rPr>
        <w:t>Grusch</w:t>
      </w:r>
      <w:proofErr w:type="spellEnd"/>
      <w:r>
        <w:rPr>
          <w:rFonts w:eastAsia="Times New Roman"/>
        </w:rPr>
        <w:t>, D. (2023). Public Statement to Congress</w:t>
      </w:r>
    </w:p>
    <w:p w14:paraId="5A466823" w14:textId="77777777" w:rsidR="00B260FE" w:rsidRDefault="00B260FE" w:rsidP="00B260FE">
      <w:pPr>
        <w:numPr>
          <w:ilvl w:val="0"/>
          <w:numId w:val="5"/>
        </w:numPr>
        <w:spacing w:before="100" w:beforeAutospacing="1" w:after="100" w:afterAutospacing="1" w:line="240" w:lineRule="auto"/>
        <w:rPr>
          <w:rFonts w:eastAsia="Times New Roman"/>
        </w:rPr>
      </w:pPr>
      <w:r>
        <w:rPr>
          <w:rFonts w:eastAsia="Times New Roman"/>
        </w:rPr>
        <w:t xml:space="preserve">Dolan, R. (2009). </w:t>
      </w:r>
      <w:r>
        <w:rPr>
          <w:rStyle w:val="Emphasis"/>
          <w:rFonts w:eastAsia="Times New Roman"/>
        </w:rPr>
        <w:t>A.D. After Disclosure</w:t>
      </w:r>
    </w:p>
    <w:p w14:paraId="5A15F682" w14:textId="77777777" w:rsidR="00B260FE" w:rsidRDefault="00B260FE" w:rsidP="00B260FE">
      <w:pPr>
        <w:numPr>
          <w:ilvl w:val="0"/>
          <w:numId w:val="5"/>
        </w:numPr>
        <w:spacing w:before="100" w:beforeAutospacing="1" w:after="100" w:afterAutospacing="1" w:line="240" w:lineRule="auto"/>
        <w:rPr>
          <w:rFonts w:eastAsia="Times New Roman"/>
        </w:rPr>
      </w:pPr>
      <w:r>
        <w:rPr>
          <w:rFonts w:eastAsia="Times New Roman"/>
        </w:rPr>
        <w:t>Elizondo, L. (AATIP, multiple interviews)</w:t>
      </w:r>
    </w:p>
    <w:p w14:paraId="179EB35E" w14:textId="77777777" w:rsidR="00B260FE" w:rsidRDefault="00B260FE" w:rsidP="00B260FE">
      <w:pPr>
        <w:numPr>
          <w:ilvl w:val="0"/>
          <w:numId w:val="5"/>
        </w:numPr>
        <w:spacing w:before="100" w:beforeAutospacing="1" w:after="100" w:afterAutospacing="1" w:line="240" w:lineRule="auto"/>
        <w:rPr>
          <w:rFonts w:eastAsia="Times New Roman"/>
        </w:rPr>
      </w:pPr>
      <w:r>
        <w:rPr>
          <w:rFonts w:eastAsia="Times New Roman"/>
        </w:rPr>
        <w:t>AARO Reports (2023–2024)</w:t>
      </w:r>
    </w:p>
    <w:p w14:paraId="3E53E455" w14:textId="77777777" w:rsidR="00B260FE" w:rsidRDefault="00B260FE" w:rsidP="00B260FE">
      <w:pPr>
        <w:numPr>
          <w:ilvl w:val="0"/>
          <w:numId w:val="5"/>
        </w:numPr>
        <w:spacing w:before="100" w:beforeAutospacing="1" w:after="100" w:afterAutospacing="1" w:line="240" w:lineRule="auto"/>
        <w:rPr>
          <w:rFonts w:eastAsia="Times New Roman"/>
        </w:rPr>
      </w:pPr>
      <w:r>
        <w:rPr>
          <w:rFonts w:eastAsia="Times New Roman"/>
        </w:rPr>
        <w:t>FOIA Released Documents via Black Vault</w:t>
      </w:r>
    </w:p>
    <w:p w14:paraId="336B59C9" w14:textId="77777777" w:rsidR="00B260FE" w:rsidRDefault="00B260FE" w:rsidP="00B260FE">
      <w:pPr>
        <w:numPr>
          <w:ilvl w:val="0"/>
          <w:numId w:val="5"/>
        </w:numPr>
        <w:spacing w:before="100" w:beforeAutospacing="1" w:after="100" w:afterAutospacing="1" w:line="240" w:lineRule="auto"/>
        <w:rPr>
          <w:rFonts w:eastAsia="Times New Roman"/>
        </w:rPr>
      </w:pPr>
      <w:proofErr w:type="spellStart"/>
      <w:r>
        <w:rPr>
          <w:rFonts w:eastAsia="Times New Roman"/>
        </w:rPr>
        <w:t>AsiaTimes</w:t>
      </w:r>
      <w:proofErr w:type="spellEnd"/>
      <w:r>
        <w:rPr>
          <w:rFonts w:eastAsia="Times New Roman"/>
        </w:rPr>
        <w:t xml:space="preserve">, Fox Baltimore, NY Post, Guardian, </w:t>
      </w:r>
      <w:proofErr w:type="spellStart"/>
      <w:r>
        <w:rPr>
          <w:rFonts w:eastAsia="Times New Roman"/>
        </w:rPr>
        <w:t>News.com.au</w:t>
      </w:r>
      <w:proofErr w:type="spellEnd"/>
      <w:r>
        <w:rPr>
          <w:rFonts w:eastAsia="Times New Roman"/>
        </w:rPr>
        <w:t xml:space="preserve"> articles</w:t>
      </w:r>
    </w:p>
    <w:p w14:paraId="614F3140" w14:textId="3D628302" w:rsidR="00B260FE" w:rsidRDefault="00B260FE">
      <w:pPr>
        <w:pStyle w:val="NormalWeb"/>
      </w:pPr>
    </w:p>
    <w:p w14:paraId="68C4237D" w14:textId="35FC40FD" w:rsidR="0080505F" w:rsidRDefault="0080505F">
      <w:pPr>
        <w:spacing w:after="0" w:line="240" w:lineRule="auto"/>
      </w:pPr>
    </w:p>
    <w:sectPr w:rsidR="0080505F">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F68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E15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73B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B18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146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44E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5392">
    <w:abstractNumId w:val="5"/>
  </w:num>
  <w:num w:numId="2" w16cid:durableId="604312945">
    <w:abstractNumId w:val="3"/>
  </w:num>
  <w:num w:numId="3" w16cid:durableId="104927545">
    <w:abstractNumId w:val="1"/>
  </w:num>
  <w:num w:numId="4" w16cid:durableId="519204119">
    <w:abstractNumId w:val="4"/>
  </w:num>
  <w:num w:numId="5" w16cid:durableId="221411273">
    <w:abstractNumId w:val="2"/>
  </w:num>
  <w:num w:numId="6" w16cid:durableId="101799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5F"/>
    <w:rsid w:val="002568BD"/>
    <w:rsid w:val="006755DB"/>
    <w:rsid w:val="00766B21"/>
    <w:rsid w:val="0080505F"/>
    <w:rsid w:val="009F7E70"/>
    <w:rsid w:val="00B260FE"/>
    <w:rsid w:val="00DB6D07"/>
    <w:rsid w:val="00F94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B8EF"/>
  <w15:docId w15:val="{5167BDD2-17A9-324B-AAFC-2E5A90DD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0F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260FE"/>
    <w:rPr>
      <w:b/>
      <w:bCs/>
    </w:rPr>
  </w:style>
  <w:style w:type="character" w:styleId="Emphasis">
    <w:name w:val="Emphasis"/>
    <w:basedOn w:val="DefaultParagraphFont"/>
    <w:uiPriority w:val="20"/>
    <w:qFormat/>
    <w:rsid w:val="00B26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cp:revision>
  <dcterms:created xsi:type="dcterms:W3CDTF">2025-07-22T19:31:00Z</dcterms:created>
  <dcterms:modified xsi:type="dcterms:W3CDTF">2025-07-22T19:42:00Z</dcterms:modified>
</cp:coreProperties>
</file>