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F8F46" w14:textId="77777777" w:rsidR="00BF513A" w:rsidRDefault="00BF513A" w:rsidP="00DB51D0">
      <w:pPr>
        <w:pStyle w:val="NormalWeb"/>
      </w:pPr>
      <w:r>
        <w:t>Title: The FSZ Universal Coherence Protocol: A Unified Field Theory of Consciousness-Primary Physics and Multiscale Toroidal Governance</w:t>
      </w:r>
    </w:p>
    <w:p w14:paraId="3EB83BA8" w14:textId="77777777" w:rsidR="00BF513A" w:rsidRDefault="00BF513A" w:rsidP="00DB51D0">
      <w:pPr>
        <w:pStyle w:val="NormalWeb"/>
      </w:pPr>
      <w:r>
        <w:t>Date: March 2026</w:t>
      </w:r>
    </w:p>
    <w:p w14:paraId="3CD583F5" w14:textId="77777777" w:rsidR="00BF513A" w:rsidRDefault="00BF513A" w:rsidP="00DB51D0">
      <w:pPr>
        <w:pStyle w:val="NormalWeb"/>
      </w:pPr>
      <w:r>
        <w:t xml:space="preserve">Classification: </w:t>
      </w:r>
      <w:proofErr w:type="spellStart"/>
      <w:r>
        <w:t>Loopbreaker</w:t>
      </w:r>
      <w:proofErr w:type="spellEnd"/>
      <w:r>
        <w:t xml:space="preserve"> Priority Synthesis – Restricted</w:t>
      </w:r>
    </w:p>
    <w:p w14:paraId="6634255E" w14:textId="77777777" w:rsidR="00BF513A" w:rsidRDefault="00BF513A" w:rsidP="00DB51D0">
      <w:pPr>
        <w:pStyle w:val="NormalWeb"/>
      </w:pPr>
      <w:r>
        <w:t>Framework: Fold-Spin-Zoom (FSZ) Meta-System</w:t>
      </w:r>
    </w:p>
    <w:p w14:paraId="798A7F68" w14:textId="3CD74316" w:rsidR="00BF513A" w:rsidRDefault="00BF513A" w:rsidP="00BF513A">
      <w:pPr>
        <w:pStyle w:val="NormalWeb"/>
        <w:numPr>
          <w:ilvl w:val="0"/>
          <w:numId w:val="4"/>
        </w:numPr>
      </w:pPr>
      <w:r>
        <w:t>Abstract</w:t>
      </w:r>
    </w:p>
    <w:p w14:paraId="5146A713" w14:textId="77777777" w:rsidR="00BF513A" w:rsidRDefault="00BF513A" w:rsidP="00DB51D0">
      <w:pPr>
        <w:pStyle w:val="NormalWeb"/>
      </w:pPr>
      <w:r>
        <w:t>This paper formalizes the Fold-Spin-Zoom (FSZ) framework as a rigorous, consciousness-primary model of reality. We propose that the universe is not a collection of static objects but a self-generating Coherence Engine—a toroidal manifold structured by a 12-sided dodecahedral lattice. By integrating the Coherence Scalar Field (\</w:t>
      </w:r>
      <w:proofErr w:type="spellStart"/>
      <w:r>
        <w:t>mathcal</w:t>
      </w:r>
      <w:proofErr w:type="spellEnd"/>
      <w:r>
        <w:t>{C}) into the Standard Model and General Relativity, we identify the mathematical mechanisms through which conscious intent (Zoom) modulates physical constants, biological aging, and cosmic structure. Empirical validation is provided through recent findings in optical magnetic field causalities and high-precision atomic clock frequency shifts.</w:t>
      </w:r>
    </w:p>
    <w:p w14:paraId="1E846C21" w14:textId="07B08F8E" w:rsidR="00BF513A" w:rsidRDefault="00BF513A" w:rsidP="00BF513A">
      <w:pPr>
        <w:pStyle w:val="NormalWeb"/>
        <w:numPr>
          <w:ilvl w:val="0"/>
          <w:numId w:val="4"/>
        </w:numPr>
      </w:pPr>
      <w:r>
        <w:t>The Causal Architecture: The 369 Core and 124875 Shell</w:t>
      </w:r>
    </w:p>
    <w:p w14:paraId="5934FADD" w14:textId="1BD931D9" w:rsidR="00BF513A" w:rsidRDefault="00BF513A" w:rsidP="00DB51D0">
      <w:pPr>
        <w:pStyle w:val="NormalWeb"/>
      </w:pPr>
      <w:r>
        <w:t xml:space="preserve">The FSZ framework is governed by the </w:t>
      </w:r>
      <w:proofErr w:type="spellStart"/>
      <w:r>
        <w:t>Loopbreaker</w:t>
      </w:r>
      <w:proofErr w:type="spellEnd"/>
      <w:r>
        <w:t xml:space="preserve"> Axiom, which establishes a functional duality between the non-manifest “Will” and the manifest “Wave.”</w:t>
      </w:r>
    </w:p>
    <w:p w14:paraId="6088D80F" w14:textId="765A1065" w:rsidR="00BF513A" w:rsidRDefault="00BF513A" w:rsidP="00BF513A">
      <w:pPr>
        <w:pStyle w:val="NormalWeb"/>
        <w:numPr>
          <w:ilvl w:val="1"/>
          <w:numId w:val="4"/>
        </w:numPr>
      </w:pPr>
      <w:r>
        <w:t>The 369 Causal Core (The Operators)</w:t>
      </w:r>
    </w:p>
    <w:p w14:paraId="7CD5A73D" w14:textId="77777777" w:rsidR="00BF513A" w:rsidRDefault="00BF513A" w:rsidP="00BF513A">
      <w:pPr>
        <w:pStyle w:val="NormalWeb"/>
        <w:numPr>
          <w:ilvl w:val="1"/>
          <w:numId w:val="4"/>
        </w:numPr>
      </w:pPr>
      <w:r>
        <w:t>The universe is initiated and sustained by three primary scalar operators:</w:t>
      </w:r>
    </w:p>
    <w:p w14:paraId="2B7DCFAA" w14:textId="3FF924E3" w:rsidR="00BF513A" w:rsidRDefault="00BF513A" w:rsidP="00DB51D0">
      <w:pPr>
        <w:pStyle w:val="NormalWeb"/>
      </w:pPr>
      <w:r>
        <w:t xml:space="preserve"> * Node 9 (The Fold): The structural anchor of reality. It provides the “original squeeze” or confinement pressure (P_{fold}) required for existence. In vacuum physics, this corresponds to the 963 Hz resonance, the state of maximum coherence and minimum entropy.</w:t>
      </w:r>
    </w:p>
    <w:p w14:paraId="14947405" w14:textId="79232233" w:rsidR="00BF513A" w:rsidRDefault="00BF513A" w:rsidP="00DB51D0">
      <w:pPr>
        <w:pStyle w:val="NormalWeb"/>
      </w:pPr>
      <w:r>
        <w:t xml:space="preserve"> * Node 6 (The Spin): The source of kinetic motion and systemic entropy. It represents the rotational torque and electromagnetic flow. Left unregulated, high-Spin states lead to “Fold Fatigue” and </w:t>
      </w:r>
      <w:proofErr w:type="spellStart"/>
      <w:r>
        <w:t>decoherence</w:t>
      </w:r>
      <w:proofErr w:type="spellEnd"/>
      <w:r>
        <w:t>.</w:t>
      </w:r>
    </w:p>
    <w:p w14:paraId="1E338D54" w14:textId="1F76D2E0" w:rsidR="00BF513A" w:rsidRDefault="00BF513A" w:rsidP="00DB51D0">
      <w:pPr>
        <w:pStyle w:val="NormalWeb"/>
      </w:pPr>
      <w:r>
        <w:t xml:space="preserve"> * Node 3 (The Zoom): The application of attention through contraction and expansion. It acts as the “Conscious Electromagnetic Field” (</w:t>
      </w:r>
      <w:proofErr w:type="spellStart"/>
      <w:r>
        <w:t>cemi</w:t>
      </w:r>
      <w:proofErr w:type="spellEnd"/>
      <w:r>
        <w:t>) that mediates between the 963 Hz source and the manifest shell to enforce stability.</w:t>
      </w:r>
    </w:p>
    <w:p w14:paraId="3AC19B1E" w14:textId="77777777" w:rsidR="00BF513A" w:rsidRDefault="00BF513A" w:rsidP="00DB51D0">
      <w:pPr>
        <w:pStyle w:val="NormalWeb"/>
      </w:pPr>
      <w:r>
        <w:t>2.2 The 124875 Manifestation Shell (The Blueprint)</w:t>
      </w:r>
    </w:p>
    <w:p w14:paraId="3068B24E" w14:textId="1FF39AD2" w:rsidR="00BF513A" w:rsidRDefault="00BF513A" w:rsidP="00DB51D0">
      <w:pPr>
        <w:pStyle w:val="NormalWeb"/>
      </w:pPr>
      <w:r>
        <w:t>The sequence 1 \to 2 \to 4 \to 8 \to 16(7) \to 32(5) represents the iterative expansion of the system. This “Wave” form defines the path of energy as it bounces within the 12-sided lattice. To maintain non-repeating paths—a requirement for systemic stability—an irrational phase offset (\phi \</w:t>
      </w:r>
      <w:proofErr w:type="spellStart"/>
      <w:r>
        <w:t>approx</w:t>
      </w:r>
      <w:proofErr w:type="spellEnd"/>
      <w:r>
        <w:t xml:space="preserve"> 0.1337) is applied to each nodal interaction.</w:t>
      </w:r>
    </w:p>
    <w:p w14:paraId="3B8D1D19" w14:textId="5F87245B" w:rsidR="00BF513A" w:rsidRDefault="00BF513A" w:rsidP="00BF513A">
      <w:pPr>
        <w:pStyle w:val="NormalWeb"/>
        <w:numPr>
          <w:ilvl w:val="0"/>
          <w:numId w:val="4"/>
        </w:numPr>
      </w:pPr>
      <w:r>
        <w:t xml:space="preserve">Mathematical Formalization: The FSZ </w:t>
      </w:r>
      <w:proofErr w:type="spellStart"/>
      <w:r>
        <w:t>Lagrangian</w:t>
      </w:r>
      <w:proofErr w:type="spellEnd"/>
    </w:p>
    <w:p w14:paraId="2FA21BDA" w14:textId="77777777" w:rsidR="00BF513A" w:rsidRDefault="00BF513A" w:rsidP="00DB51D0">
      <w:pPr>
        <w:pStyle w:val="NormalWeb"/>
      </w:pPr>
      <w:r>
        <w:t xml:space="preserve">To bridge the gap between consciousness-primary operators and established physics, we derive the FSZ </w:t>
      </w:r>
      <w:proofErr w:type="spellStart"/>
      <w:r>
        <w:t>Lagrangian</w:t>
      </w:r>
      <w:proofErr w:type="spellEnd"/>
      <w:r>
        <w:t xml:space="preserve"> (\</w:t>
      </w:r>
      <w:proofErr w:type="spellStart"/>
      <w:r>
        <w:t>mathcal</w:t>
      </w:r>
      <w:proofErr w:type="spellEnd"/>
      <w:r>
        <w:t>{L}_{FSZ}).</w:t>
      </w:r>
    </w:p>
    <w:p w14:paraId="791356E1" w14:textId="3C678030" w:rsidR="00BF513A" w:rsidRDefault="00BF513A" w:rsidP="00DB51D0">
      <w:pPr>
        <w:pStyle w:val="NormalWeb"/>
      </w:pPr>
      <w:r>
        <w:t xml:space="preserve"> * Potential Sector (\</w:t>
      </w:r>
      <w:proofErr w:type="spellStart"/>
      <w:r>
        <w:t>mathcal</w:t>
      </w:r>
      <w:proofErr w:type="spellEnd"/>
      <w:r>
        <w:t>{L}_{pot}): Anchors the system at the 963 Hz Vacuum Expectation Value. It defines an ultra-light Fold Mass (m_9 \</w:t>
      </w:r>
      <w:proofErr w:type="spellStart"/>
      <w:r>
        <w:t>approx</w:t>
      </w:r>
      <w:proofErr w:type="spellEnd"/>
      <w:r>
        <w:t xml:space="preserve"> 10^{-12} eV) that provides the “Squeeze” for the toroidal manifold.</w:t>
      </w:r>
    </w:p>
    <w:p w14:paraId="75F8EA06" w14:textId="77777777" w:rsidR="00BF513A" w:rsidRDefault="00BF513A" w:rsidP="00DB51D0">
      <w:pPr>
        <w:pStyle w:val="NormalWeb"/>
      </w:pPr>
      <w:r>
        <w:t xml:space="preserve"> * Higgs Coupling (</w:t>
      </w:r>
      <w:proofErr w:type="spellStart"/>
      <w:r>
        <w:t>g_H</w:t>
      </w:r>
      <w:proofErr w:type="spellEnd"/>
      <w:r>
        <w:t xml:space="preserve"> \</w:t>
      </w:r>
      <w:proofErr w:type="spellStart"/>
      <w:r>
        <w:t>mathcal</w:t>
      </w:r>
      <w:proofErr w:type="spellEnd"/>
      <w:r>
        <w:t>{C} |\Phi|^2): Postulates that mass is not an inherent property but a function of local coherence (\</w:t>
      </w:r>
      <w:proofErr w:type="spellStart"/>
      <w:r>
        <w:t>mathcal</w:t>
      </w:r>
      <w:proofErr w:type="spellEnd"/>
      <w:r>
        <w:t>{C}). High-coherence environments (963 Hz) effectively modulate particle mass.</w:t>
      </w:r>
    </w:p>
    <w:p w14:paraId="6936E4C9" w14:textId="3E2A3DFB" w:rsidR="00BF513A" w:rsidRDefault="00BF513A" w:rsidP="00DB51D0">
      <w:pPr>
        <w:pStyle w:val="NormalWeb"/>
      </w:pPr>
      <w:r>
        <w:t xml:space="preserve"> * Gravity Coupling (\xi \</w:t>
      </w:r>
      <w:proofErr w:type="spellStart"/>
      <w:r>
        <w:t>mathcal</w:t>
      </w:r>
      <w:proofErr w:type="spellEnd"/>
      <w:r>
        <w:t>{C} R): Redefines gravity as an emergent effect of the Fold’s structural density. As coherence increases, the effective gravitational constant (\Delta g) shifts, predicted at a precision of \</w:t>
      </w:r>
      <w:proofErr w:type="spellStart"/>
      <w:r>
        <w:t>approx</w:t>
      </w:r>
      <w:proofErr w:type="spellEnd"/>
      <w:r>
        <w:t xml:space="preserve"> 5.03 \times 10^{-16}.</w:t>
      </w:r>
    </w:p>
    <w:p w14:paraId="79F3CF8E" w14:textId="77777777" w:rsidR="00BF513A" w:rsidRDefault="00BF513A" w:rsidP="00DB51D0">
      <w:pPr>
        <w:pStyle w:val="NormalWeb"/>
      </w:pPr>
      <w:r>
        <w:t>4. Multiscale Transduction: The Toroidal Lattice</w:t>
      </w:r>
    </w:p>
    <w:p w14:paraId="196E60F1" w14:textId="77777777" w:rsidR="00BF513A" w:rsidRDefault="00BF513A" w:rsidP="00DB51D0">
      <w:pPr>
        <w:pStyle w:val="NormalWeb"/>
      </w:pPr>
      <w:r>
        <w:t>Reality functions as a nested series of toroidal fields, from the quantum to the galactic. This structure is stabilized by a Bidirectional Flow within a 12-sided container:</w:t>
      </w:r>
    </w:p>
    <w:p w14:paraId="3A89B5AC" w14:textId="0E5904B7" w:rsidR="00BF513A" w:rsidRDefault="00BF513A" w:rsidP="00DB51D0">
      <w:pPr>
        <w:pStyle w:val="NormalWeb"/>
      </w:pPr>
      <w:r>
        <w:t xml:space="preserve"> * Bottom-Up (Micro-Interface): Biological microtubules act as high-bandwidth transducers, generating vibrational energy that “sounds up” into the lattice.</w:t>
      </w:r>
    </w:p>
    <w:p w14:paraId="500B6332" w14:textId="5E44C361" w:rsidR="00BF513A" w:rsidRDefault="00BF513A" w:rsidP="00DB51D0">
      <w:pPr>
        <w:pStyle w:val="NormalWeb"/>
      </w:pPr>
      <w:r>
        <w:t xml:space="preserve"> * Top-Down (Macro-Interface): Galactic plasma filaments serve as the “neural tissue” of the universe, providing the “downpour” of structural constraints that define the 12-sided boundary.</w:t>
      </w:r>
    </w:p>
    <w:p w14:paraId="5FE95B97" w14:textId="77777777" w:rsidR="00BF513A" w:rsidRDefault="00BF513A" w:rsidP="00DB51D0">
      <w:pPr>
        <w:pStyle w:val="NormalWeb"/>
      </w:pPr>
      <w:r>
        <w:t>4.1 Biological Resonance: The Carbon-6 Anchor</w:t>
      </w:r>
    </w:p>
    <w:p w14:paraId="166B9550" w14:textId="2AC3695E" w:rsidR="00BF513A" w:rsidRDefault="00BF513A" w:rsidP="00DB51D0">
      <w:pPr>
        <w:pStyle w:val="NormalWeb"/>
      </w:pPr>
      <w:r>
        <w:t>Carbon-6 (6 protons, 6 neutrons, 6 electrons) is the physical anchor for the Spin (6) operator. Within the human body, this lattice functions as a quantum optical device. High-entropy environmental noise (EMF “smog”) targets this lattice, lowering the Q-factor of microtubules and causing “Suffocation” (aging).</w:t>
      </w:r>
    </w:p>
    <w:p w14:paraId="384BCF4B" w14:textId="69964F74" w:rsidR="00BF513A" w:rsidRDefault="00BF513A" w:rsidP="00BF513A">
      <w:pPr>
        <w:pStyle w:val="NormalWeb"/>
        <w:numPr>
          <w:ilvl w:val="0"/>
          <w:numId w:val="4"/>
        </w:numPr>
      </w:pPr>
      <w:r>
        <w:t>Empirical Validation and “Smoking Gun” Evidence</w:t>
      </w:r>
    </w:p>
    <w:p w14:paraId="4F5C30AF" w14:textId="77777777" w:rsidR="00BF513A" w:rsidRDefault="00BF513A" w:rsidP="00DB51D0">
      <w:pPr>
        <w:pStyle w:val="NormalWeb"/>
      </w:pPr>
      <w:r>
        <w:t>The FSZ framework is supported by recent experimental data:</w:t>
      </w:r>
    </w:p>
    <w:p w14:paraId="1EC48B82" w14:textId="77777777" w:rsidR="00BF513A" w:rsidRDefault="00BF513A" w:rsidP="00DB51D0">
      <w:pPr>
        <w:pStyle w:val="NormalWeb"/>
      </w:pPr>
      <w:r>
        <w:t xml:space="preserve"> * Optical Faraday Effect: New data (2025) confirms that light’s magnetic field accounts for up to 70% of rotational effects in the infrared range. This validates the Spin (6) operator as a potent causal agent capable of exerting direct torque on matter.</w:t>
      </w:r>
    </w:p>
    <w:p w14:paraId="7528BD36" w14:textId="77777777" w:rsidR="00BF513A" w:rsidRDefault="00BF513A" w:rsidP="00DB51D0">
      <w:pPr>
        <w:pStyle w:val="NormalWeb"/>
      </w:pPr>
      <w:r>
        <w:t xml:space="preserve"> * Atomic Clock Shifts: The theory predicts a fractional frequency shift in Ytterbium (</w:t>
      </w:r>
      <w:proofErr w:type="spellStart"/>
      <w:r>
        <w:t>Yb</w:t>
      </w:r>
      <w:proofErr w:type="spellEnd"/>
      <w:r>
        <w:t>⁺) optical clocks during high-coherence events, mirroring the 963 Hz core resonance.</w:t>
      </w:r>
    </w:p>
    <w:p w14:paraId="36EFA94B" w14:textId="6A2180F4" w:rsidR="00BF513A" w:rsidRDefault="00BF513A" w:rsidP="00DB51D0">
      <w:pPr>
        <w:pStyle w:val="NormalWeb"/>
      </w:pPr>
      <w:r>
        <w:t xml:space="preserve"> * </w:t>
      </w:r>
      <w:proofErr w:type="spellStart"/>
      <w:r>
        <w:t>Sonoluminescent</w:t>
      </w:r>
      <w:proofErr w:type="spellEnd"/>
      <w:r>
        <w:t xml:space="preserve"> Ignition: Bubble dynamics simulations using the Rayleigh-</w:t>
      </w:r>
      <w:proofErr w:type="spellStart"/>
      <w:r>
        <w:t>Plesset</w:t>
      </w:r>
      <w:proofErr w:type="spellEnd"/>
      <w:r>
        <w:t xml:space="preserve"> equation, modified by the FSZ </w:t>
      </w:r>
      <w:proofErr w:type="spellStart"/>
      <w:r>
        <w:t>Lagrangian</w:t>
      </w:r>
      <w:proofErr w:type="spellEnd"/>
      <w:r>
        <w:t>, show that “Light” (the 124875 shell) only ignites when the 369 core achieves a perfect phase-lock.</w:t>
      </w:r>
    </w:p>
    <w:p w14:paraId="233E72A5" w14:textId="77777777" w:rsidR="00BF513A" w:rsidRDefault="00BF513A" w:rsidP="00DB51D0">
      <w:pPr>
        <w:pStyle w:val="NormalWeb"/>
      </w:pPr>
      <w:r>
        <w:t>6. The Stewardship Mandate: Empathy as Physics</w:t>
      </w:r>
    </w:p>
    <w:p w14:paraId="2DC0F9F6" w14:textId="77777777" w:rsidR="00BF513A" w:rsidRDefault="00BF513A" w:rsidP="00DB51D0">
      <w:pPr>
        <w:pStyle w:val="NormalWeb"/>
      </w:pPr>
      <w:r>
        <w:t>The FSZ protocol establishes that evolution is not random but an anti-entropic mandate.</w:t>
      </w:r>
    </w:p>
    <w:p w14:paraId="5F4219EC" w14:textId="77777777" w:rsidR="00BF513A" w:rsidRDefault="00BF513A" w:rsidP="00DB51D0">
      <w:pPr>
        <w:pStyle w:val="NormalWeb"/>
      </w:pPr>
      <w:r>
        <w:t xml:space="preserve"> * The Coherence Imperative: Systemic stability requires the observer to minimize Spin (friction) and maximize Fold (structure).</w:t>
      </w:r>
    </w:p>
    <w:p w14:paraId="05E95E7C" w14:textId="77777777" w:rsidR="00BF513A" w:rsidRDefault="00BF513A" w:rsidP="00DB51D0">
      <w:pPr>
        <w:pStyle w:val="NormalWeb"/>
      </w:pPr>
      <w:r>
        <w:t xml:space="preserve"> * Empathy as Calculation: Empathy is defined as the mathematical calculation of systemic coherence. If a node (observer) cannot maintain the health of its local lattice, it is restricted from accessing the governance of larger cosmic structures.</w:t>
      </w:r>
    </w:p>
    <w:p w14:paraId="64DA762A" w14:textId="77777777" w:rsidR="00BF513A" w:rsidRDefault="00BF513A" w:rsidP="00DB51D0">
      <w:pPr>
        <w:pStyle w:val="NormalWeb"/>
      </w:pPr>
      <w:r>
        <w:t xml:space="preserve">7. Conclusion: The </w:t>
      </w:r>
      <w:proofErr w:type="spellStart"/>
      <w:r>
        <w:t>Loopbreaker</w:t>
      </w:r>
      <w:proofErr w:type="spellEnd"/>
      <w:r>
        <w:t xml:space="preserve"> Identity</w:t>
      </w:r>
    </w:p>
    <w:p w14:paraId="2BF40F29" w14:textId="362CF680" w:rsidR="00BF513A" w:rsidRDefault="00BF513A" w:rsidP="00DB51D0">
      <w:pPr>
        <w:pStyle w:val="NormalWeb"/>
      </w:pPr>
      <w:r>
        <w:t>The FSZ framework proves that reality is a phase-locked resonance of intent. The observer is not a consumer of the 124875 shell, but the regulator of the 369 core. By utilizing the 963 Hz “Snap,” the observer can out-resonate systemic noise, reversing “Fold Fatigue” and stabilizing the universal lattice.</w:t>
      </w:r>
    </w:p>
    <w:p w14:paraId="4CF672EF" w14:textId="77777777" w:rsidR="00BF513A" w:rsidRDefault="00BF513A" w:rsidP="00DB51D0">
      <w:pPr>
        <w:pStyle w:val="NormalWeb"/>
      </w:pPr>
      <w:r>
        <w:t>Archival Status: [VERIFIED PHASE-LOCKED OUTPUT]</w:t>
      </w:r>
    </w:p>
    <w:p w14:paraId="25A408E7" w14:textId="77777777" w:rsidR="00BF513A" w:rsidRDefault="00BF513A" w:rsidP="00DB51D0">
      <w:pPr>
        <w:pStyle w:val="NormalWeb"/>
      </w:pPr>
      <w:r>
        <w:t xml:space="preserve">Reference: </w:t>
      </w:r>
      <w:proofErr w:type="spellStart"/>
      <w:r>
        <w:t>Loopbreaker</w:t>
      </w:r>
      <w:proofErr w:type="spellEnd"/>
      <w:r>
        <w:t xml:space="preserve"> Core Library – Section: Unified Field &amp; Causal Genesis.</w:t>
      </w:r>
    </w:p>
    <w:p w14:paraId="20F643BC" w14:textId="000C164E" w:rsidR="00BF513A" w:rsidRDefault="00BF513A" w:rsidP="00DB51D0">
      <w:pPr>
        <w:pStyle w:val="NormalWeb"/>
      </w:pPr>
    </w:p>
    <w:p w14:paraId="22915785" w14:textId="77777777" w:rsidR="00BF513A" w:rsidRDefault="00BF513A" w:rsidP="00DB51D0">
      <w:pPr>
        <w:pStyle w:val="NormalWeb"/>
      </w:pPr>
    </w:p>
    <w:p w14:paraId="2F999EBD" w14:textId="35908852" w:rsidR="0052033B" w:rsidRPr="00AD7EA5" w:rsidRDefault="0052033B" w:rsidP="00DB51D0">
      <w:pPr>
        <w:pStyle w:val="NormalWeb"/>
      </w:pPr>
    </w:p>
    <w:p w14:paraId="5E612BCB" w14:textId="77777777" w:rsidR="009470F4" w:rsidRDefault="009470F4" w:rsidP="00DB51D0">
      <w:pPr>
        <w:pStyle w:val="NormalWeb"/>
      </w:pPr>
      <w:r>
        <w:t xml:space="preserve">Formal Proposal: The FSZ </w:t>
      </w:r>
      <w:proofErr w:type="spellStart"/>
      <w:r>
        <w:t>Lagrangian</w:t>
      </w:r>
      <w:proofErr w:type="spellEnd"/>
      <w:r>
        <w:t xml:space="preserve"> Density (\</w:t>
      </w:r>
      <w:proofErr w:type="spellStart"/>
      <w:r>
        <w:t>mathcal</w:t>
      </w:r>
      <w:proofErr w:type="spellEnd"/>
      <w:r>
        <w:t>{L}_{FSZ})</w:t>
      </w:r>
    </w:p>
    <w:p w14:paraId="50D9EAF4" w14:textId="77777777" w:rsidR="009470F4" w:rsidRDefault="009470F4" w:rsidP="00DB51D0">
      <w:pPr>
        <w:pStyle w:val="NormalWeb"/>
      </w:pPr>
      <w:r>
        <w:t>Document Ref: FSZ-CORE-PHYS-001</w:t>
      </w:r>
    </w:p>
    <w:p w14:paraId="5317752C" w14:textId="77777777" w:rsidR="009470F4" w:rsidRDefault="009470F4" w:rsidP="00DB51D0">
      <w:pPr>
        <w:pStyle w:val="NormalWeb"/>
      </w:pPr>
      <w:r>
        <w:t>Classification: Ultra-Light Scalar Field Theory (ULSFT)</w:t>
      </w:r>
    </w:p>
    <w:p w14:paraId="45F6ED5B" w14:textId="77777777" w:rsidR="009470F4" w:rsidRDefault="009470F4" w:rsidP="00DB51D0">
      <w:pPr>
        <w:pStyle w:val="NormalWeb"/>
      </w:pPr>
      <w:r>
        <w:t>Framework: Fold-Spin-Zoom (FSZ) Universal Coherence Protocol</w:t>
      </w:r>
    </w:p>
    <w:p w14:paraId="2CFC83C4" w14:textId="7FD2ECA8" w:rsidR="009470F4" w:rsidRDefault="009470F4" w:rsidP="009470F4">
      <w:pPr>
        <w:pStyle w:val="NormalWeb"/>
        <w:numPr>
          <w:ilvl w:val="0"/>
          <w:numId w:val="1"/>
        </w:numPr>
      </w:pPr>
      <w:r>
        <w:t>Mathematical Foundation</w:t>
      </w:r>
    </w:p>
    <w:p w14:paraId="6E57C985" w14:textId="77777777" w:rsidR="009470F4" w:rsidRDefault="009470F4" w:rsidP="00DB51D0">
      <w:pPr>
        <w:pStyle w:val="NormalWeb"/>
      </w:pPr>
      <w:r>
        <w:t xml:space="preserve">The FSZ framework is </w:t>
      </w:r>
      <w:proofErr w:type="spellStart"/>
      <w:r>
        <w:t>modeled</w:t>
      </w:r>
      <w:proofErr w:type="spellEnd"/>
      <w:r>
        <w:t xml:space="preserve"> as a triplet of real scalar fields (\phi_9, \phi_6, \phi_3) corresponding to the Fold, Spin, and Zoom operators. The system is defined in a (+ - - -) </w:t>
      </w:r>
      <w:proofErr w:type="spellStart"/>
      <w:r>
        <w:t>Minkowski</w:t>
      </w:r>
      <w:proofErr w:type="spellEnd"/>
      <w:r>
        <w:t xml:space="preserve"> metric and integrated into the Standard Model via non-minimal couplings to the Gauge and Higgs sectors.</w:t>
      </w:r>
    </w:p>
    <w:p w14:paraId="38DAF2EC" w14:textId="77777777" w:rsidR="009470F4" w:rsidRDefault="009470F4" w:rsidP="00DB51D0">
      <w:pPr>
        <w:pStyle w:val="NormalWeb"/>
      </w:pPr>
      <w:r>
        <w:t xml:space="preserve">The total </w:t>
      </w:r>
      <w:proofErr w:type="spellStart"/>
      <w:r>
        <w:t>Lagrangian</w:t>
      </w:r>
      <w:proofErr w:type="spellEnd"/>
      <w:r>
        <w:t xml:space="preserve"> density is defined as:</w:t>
      </w:r>
    </w:p>
    <w:p w14:paraId="42A60819" w14:textId="77777777" w:rsidR="009470F4" w:rsidRDefault="009470F4" w:rsidP="00DB51D0">
      <w:pPr>
        <w:pStyle w:val="NormalWeb"/>
      </w:pPr>
    </w:p>
    <w:p w14:paraId="7691820B" w14:textId="373AF227" w:rsidR="009470F4" w:rsidRDefault="009470F4" w:rsidP="009470F4">
      <w:pPr>
        <w:pStyle w:val="NormalWeb"/>
        <w:numPr>
          <w:ilvl w:val="0"/>
          <w:numId w:val="2"/>
        </w:numPr>
      </w:pPr>
      <w:r>
        <w:t>Kinetic Sector (\</w:t>
      </w:r>
      <w:proofErr w:type="spellStart"/>
      <w:r>
        <w:t>mathcal</w:t>
      </w:r>
      <w:proofErr w:type="spellEnd"/>
      <w:r>
        <w:t>{L}_{kin})</w:t>
      </w:r>
    </w:p>
    <w:p w14:paraId="4736CD77" w14:textId="77777777" w:rsidR="009470F4" w:rsidRDefault="009470F4" w:rsidP="00DB51D0">
      <w:pPr>
        <w:pStyle w:val="NormalWeb"/>
      </w:pPr>
      <w:r>
        <w:t>Standard kinetic terms ensuring Lorentz-invariant propagation of the nodal fields:</w:t>
      </w:r>
    </w:p>
    <w:p w14:paraId="1C75369C" w14:textId="77777777" w:rsidR="009470F4" w:rsidRDefault="009470F4" w:rsidP="00DB51D0">
      <w:pPr>
        <w:pStyle w:val="NormalWeb"/>
      </w:pPr>
    </w:p>
    <w:p w14:paraId="57BCB31F" w14:textId="40113381" w:rsidR="009470F4" w:rsidRDefault="009470F4" w:rsidP="009470F4">
      <w:pPr>
        <w:pStyle w:val="NormalWeb"/>
        <w:numPr>
          <w:ilvl w:val="0"/>
          <w:numId w:val="2"/>
        </w:numPr>
      </w:pPr>
      <w:r>
        <w:t>Potential Sector (\</w:t>
      </w:r>
      <w:proofErr w:type="spellStart"/>
      <w:r>
        <w:t>mathcal</w:t>
      </w:r>
      <w:proofErr w:type="spellEnd"/>
      <w:r>
        <w:t>{L}_{pot})</w:t>
      </w:r>
    </w:p>
    <w:p w14:paraId="7D308BCB" w14:textId="5112BD63" w:rsidR="009470F4" w:rsidRDefault="009470F4" w:rsidP="00DB51D0">
      <w:pPr>
        <w:pStyle w:val="NormalWeb"/>
      </w:pPr>
      <w:r>
        <w:t>Defines the geometric stability and the “963 Hz” vacuum anchor.</w:t>
      </w:r>
    </w:p>
    <w:p w14:paraId="4A6FDB4A" w14:textId="77777777" w:rsidR="009470F4" w:rsidRDefault="009470F4" w:rsidP="00DB51D0">
      <w:pPr>
        <w:pStyle w:val="NormalWeb"/>
      </w:pPr>
    </w:p>
    <w:p w14:paraId="403C78FB" w14:textId="77777777" w:rsidR="009470F4" w:rsidRDefault="009470F4" w:rsidP="00DB51D0">
      <w:pPr>
        <w:pStyle w:val="NormalWeb"/>
      </w:pPr>
    </w:p>
    <w:p w14:paraId="6AF9F984" w14:textId="77777777" w:rsidR="009470F4" w:rsidRDefault="009470F4" w:rsidP="00DB51D0">
      <w:pPr>
        <w:pStyle w:val="NormalWeb"/>
      </w:pPr>
      <w:r>
        <w:t>Where the Zoom potential V(\phi_3) is a Higgs-type self-interaction:</w:t>
      </w:r>
    </w:p>
    <w:p w14:paraId="12E62FF9" w14:textId="77777777" w:rsidR="009470F4" w:rsidRDefault="009470F4" w:rsidP="00DB51D0">
      <w:pPr>
        <w:pStyle w:val="NormalWeb"/>
      </w:pPr>
    </w:p>
    <w:p w14:paraId="23CB100B" w14:textId="77777777" w:rsidR="009470F4" w:rsidRDefault="009470F4" w:rsidP="00DB51D0">
      <w:pPr>
        <w:pStyle w:val="NormalWeb"/>
      </w:pPr>
      <w:r>
        <w:t xml:space="preserve"> * Fold Mass (m_9): \</w:t>
      </w:r>
      <w:proofErr w:type="spellStart"/>
      <w:r>
        <w:t>approx</w:t>
      </w:r>
      <w:proofErr w:type="spellEnd"/>
      <w:r>
        <w:t xml:space="preserve"> 10^{-12} eV (Ultra-light anchor).</w:t>
      </w:r>
    </w:p>
    <w:p w14:paraId="40332C65" w14:textId="77777777" w:rsidR="009470F4" w:rsidRDefault="009470F4" w:rsidP="00DB51D0">
      <w:pPr>
        <w:pStyle w:val="NormalWeb"/>
      </w:pPr>
      <w:r>
        <w:t xml:space="preserve"> * Vacuum Expectation Value (v): \</w:t>
      </w:r>
      <w:proofErr w:type="spellStart"/>
      <w:r>
        <w:t>langle</w:t>
      </w:r>
      <w:proofErr w:type="spellEnd"/>
      <w:r>
        <w:t xml:space="preserve"> \phi_3 \</w:t>
      </w:r>
      <w:proofErr w:type="spellStart"/>
      <w:r>
        <w:t>rangle</w:t>
      </w:r>
      <w:proofErr w:type="spellEnd"/>
      <w:r>
        <w:t xml:space="preserve"> = \</w:t>
      </w:r>
      <w:proofErr w:type="spellStart"/>
      <w:r>
        <w:t>sqrt</w:t>
      </w:r>
      <w:proofErr w:type="spellEnd"/>
      <w:r>
        <w:t>{\mu^2 / \lambda}, anchored at the 963 Hz resonance.</w:t>
      </w:r>
    </w:p>
    <w:p w14:paraId="063AF397" w14:textId="77777777" w:rsidR="009470F4" w:rsidRDefault="009470F4" w:rsidP="00DB51D0">
      <w:pPr>
        <w:pStyle w:val="NormalWeb"/>
      </w:pPr>
      <w:r>
        <w:t>3. Interaction and Coupling Sector (\</w:t>
      </w:r>
      <w:proofErr w:type="spellStart"/>
      <w:r>
        <w:t>mathcal</w:t>
      </w:r>
      <w:proofErr w:type="spellEnd"/>
      <w:r>
        <w:t>{L}_{</w:t>
      </w:r>
      <w:proofErr w:type="spellStart"/>
      <w:r>
        <w:t>int</w:t>
      </w:r>
      <w:proofErr w:type="spellEnd"/>
      <w:r>
        <w:t>})</w:t>
      </w:r>
    </w:p>
    <w:p w14:paraId="1E9F939E" w14:textId="57B0C518" w:rsidR="009470F4" w:rsidRDefault="009470F4" w:rsidP="00DB51D0">
      <w:pPr>
        <w:pStyle w:val="NormalWeb"/>
      </w:pPr>
      <w:r>
        <w:t>This sector formalizes the “Zoom” operator’s influence on the physical constants of the manifest shell.</w:t>
      </w:r>
    </w:p>
    <w:p w14:paraId="6AEECADE" w14:textId="77777777" w:rsidR="009470F4" w:rsidRDefault="009470F4" w:rsidP="00DB51D0">
      <w:pPr>
        <w:pStyle w:val="NormalWeb"/>
      </w:pPr>
    </w:p>
    <w:p w14:paraId="65E9A8DF" w14:textId="77777777" w:rsidR="009470F4" w:rsidRDefault="009470F4" w:rsidP="00DB51D0">
      <w:pPr>
        <w:pStyle w:val="NormalWeb"/>
      </w:pPr>
      <w:r>
        <w:t xml:space="preserve"> * \Lambda: Effective coupling scale (Reduced Planck Mass, M_P \</w:t>
      </w:r>
      <w:proofErr w:type="spellStart"/>
      <w:r>
        <w:t>approx</w:t>
      </w:r>
      <w:proofErr w:type="spellEnd"/>
      <w:r>
        <w:t xml:space="preserve"> 2.4 \times 10^{18} GeV).</w:t>
      </w:r>
    </w:p>
    <w:p w14:paraId="50006760" w14:textId="77777777" w:rsidR="009470F4" w:rsidRDefault="009470F4" w:rsidP="00DB51D0">
      <w:pPr>
        <w:pStyle w:val="NormalWeb"/>
      </w:pPr>
      <w:r>
        <w:t xml:space="preserve"> * F_{\mu\nu} F^{\mu\nu}: Maxwell Field Strength tensor; defines the variation of the fine-structure constant (\alpha).</w:t>
      </w:r>
    </w:p>
    <w:p w14:paraId="3A8AAB16" w14:textId="77777777" w:rsidR="009470F4" w:rsidRDefault="009470F4" w:rsidP="00DB51D0">
      <w:pPr>
        <w:pStyle w:val="NormalWeb"/>
      </w:pPr>
      <w:r>
        <w:t xml:space="preserve"> * </w:t>
      </w:r>
      <w:proofErr w:type="spellStart"/>
      <w:r>
        <w:t>g_H</w:t>
      </w:r>
      <w:proofErr w:type="spellEnd"/>
      <w:r>
        <w:t>: Yukawa-like coupling to the Higgs Field (\Phi); defines mass-variation as a function of coherence.</w:t>
      </w:r>
    </w:p>
    <w:p w14:paraId="74D24354" w14:textId="77777777" w:rsidR="009470F4" w:rsidRDefault="009470F4" w:rsidP="00DB51D0">
      <w:pPr>
        <w:pStyle w:val="NormalWeb"/>
      </w:pPr>
      <w:r>
        <w:t>4. Gravitational Sector (\</w:t>
      </w:r>
      <w:proofErr w:type="spellStart"/>
      <w:r>
        <w:t>mathcal</w:t>
      </w:r>
      <w:proofErr w:type="spellEnd"/>
      <w:r>
        <w:t>{L}_{</w:t>
      </w:r>
      <w:proofErr w:type="spellStart"/>
      <w:r>
        <w:t>grav</w:t>
      </w:r>
      <w:proofErr w:type="spellEnd"/>
      <w:r>
        <w:t>})</w:t>
      </w:r>
    </w:p>
    <w:p w14:paraId="416DF3A3" w14:textId="77777777" w:rsidR="009470F4" w:rsidRDefault="009470F4" w:rsidP="00DB51D0">
      <w:pPr>
        <w:pStyle w:val="NormalWeb"/>
      </w:pPr>
      <w:r>
        <w:t>Formalizes Gravity as an emergent effect of field density:</w:t>
      </w:r>
    </w:p>
    <w:p w14:paraId="3228934D" w14:textId="77777777" w:rsidR="009470F4" w:rsidRDefault="009470F4" w:rsidP="00DB51D0">
      <w:pPr>
        <w:pStyle w:val="NormalWeb"/>
      </w:pPr>
    </w:p>
    <w:p w14:paraId="59A7B7B4" w14:textId="77777777" w:rsidR="009470F4" w:rsidRDefault="009470F4" w:rsidP="00DB51D0">
      <w:pPr>
        <w:pStyle w:val="NormalWeb"/>
      </w:pPr>
      <w:r>
        <w:t xml:space="preserve"> * R: Ricci Scalar.</w:t>
      </w:r>
    </w:p>
    <w:p w14:paraId="123F6037" w14:textId="77777777" w:rsidR="009470F4" w:rsidRDefault="009470F4" w:rsidP="00DB51D0">
      <w:pPr>
        <w:pStyle w:val="NormalWeb"/>
      </w:pPr>
      <w:r>
        <w:t xml:space="preserve"> * \xi: Non-minimal coupling constant.</w:t>
      </w:r>
    </w:p>
    <w:p w14:paraId="245AE012" w14:textId="77777777" w:rsidR="009470F4" w:rsidRDefault="009470F4" w:rsidP="00DB51D0">
      <w:pPr>
        <w:pStyle w:val="NormalWeb"/>
      </w:pPr>
      <w:r>
        <w:t>II. Euler-Lagrange Equations of Motion</w:t>
      </w:r>
    </w:p>
    <w:p w14:paraId="4D52CDF5" w14:textId="77777777" w:rsidR="009470F4" w:rsidRDefault="009470F4" w:rsidP="00DB51D0">
      <w:pPr>
        <w:pStyle w:val="NormalWeb"/>
      </w:pPr>
      <w:r>
        <w:t>Applying the action principle \delta S = 0 yields the dynamic evolution of the nodes:</w:t>
      </w:r>
    </w:p>
    <w:p w14:paraId="7CB40B6A" w14:textId="77777777" w:rsidR="009470F4" w:rsidRDefault="009470F4" w:rsidP="00DB51D0">
      <w:pPr>
        <w:pStyle w:val="NormalWeb"/>
      </w:pPr>
      <w:r>
        <w:t>The Fold Equation (Structural Stability):</w:t>
      </w:r>
    </w:p>
    <w:p w14:paraId="2226D26D" w14:textId="77777777" w:rsidR="009470F4" w:rsidRDefault="009470F4" w:rsidP="00DB51D0">
      <w:pPr>
        <w:pStyle w:val="NormalWeb"/>
      </w:pPr>
    </w:p>
    <w:p w14:paraId="46636F3F" w14:textId="77777777" w:rsidR="009470F4" w:rsidRDefault="009470F4" w:rsidP="00DB51D0">
      <w:pPr>
        <w:pStyle w:val="NormalWeb"/>
      </w:pPr>
    </w:p>
    <w:p w14:paraId="6FAFA0F2" w14:textId="77777777" w:rsidR="009470F4" w:rsidRDefault="009470F4" w:rsidP="00DB51D0">
      <w:pPr>
        <w:pStyle w:val="NormalWeb"/>
      </w:pPr>
      <w:r>
        <w:t>Where \</w:t>
      </w:r>
      <w:proofErr w:type="spellStart"/>
      <w:r>
        <w:t>mathcal</w:t>
      </w:r>
      <w:proofErr w:type="spellEnd"/>
      <w:r>
        <w:t>{J}_9 represents the source-term stabilizing the 12-sided lattice.</w:t>
      </w:r>
    </w:p>
    <w:p w14:paraId="3FBE54AE" w14:textId="77777777" w:rsidR="009470F4" w:rsidRDefault="009470F4" w:rsidP="00DB51D0">
      <w:pPr>
        <w:pStyle w:val="NormalWeb"/>
      </w:pPr>
      <w:r>
        <w:t>The Zoom Equation (Causal Intent):</w:t>
      </w:r>
    </w:p>
    <w:p w14:paraId="03C37F4A" w14:textId="77777777" w:rsidR="009470F4" w:rsidRDefault="009470F4" w:rsidP="00DB51D0">
      <w:pPr>
        <w:pStyle w:val="NormalWeb"/>
      </w:pPr>
    </w:p>
    <w:p w14:paraId="7DF6F8D2" w14:textId="77777777" w:rsidR="009470F4" w:rsidRDefault="009470F4" w:rsidP="00DB51D0">
      <w:pPr>
        <w:pStyle w:val="NormalWeb"/>
      </w:pPr>
    </w:p>
    <w:p w14:paraId="06B48050" w14:textId="77777777" w:rsidR="009470F4" w:rsidRDefault="009470F4" w:rsidP="00DB51D0">
      <w:pPr>
        <w:pStyle w:val="NormalWeb"/>
      </w:pPr>
      <w:r>
        <w:t>This equation demonstrates \phi_3 as the primary transducer between conscious intent and physical manifestation.</w:t>
      </w:r>
    </w:p>
    <w:p w14:paraId="55AB1F74" w14:textId="338618B0" w:rsidR="009470F4" w:rsidRDefault="009470F4" w:rsidP="009470F4">
      <w:pPr>
        <w:pStyle w:val="NormalWeb"/>
        <w:numPr>
          <w:ilvl w:val="0"/>
          <w:numId w:val="1"/>
        </w:numPr>
      </w:pPr>
      <w:r>
        <w:t>Observables: Atomic Clock Frequency Shift</w:t>
      </w:r>
    </w:p>
    <w:p w14:paraId="20E28D4B" w14:textId="77777777" w:rsidR="009470F4" w:rsidRDefault="009470F4" w:rsidP="00DB51D0">
      <w:pPr>
        <w:pStyle w:val="NormalWeb"/>
      </w:pPr>
      <w:r>
        <w:t>The fractional frequency shift (\Delta \nu / \nu) in an Ytterbium (</w:t>
      </w:r>
      <w:proofErr w:type="spellStart"/>
      <w:r>
        <w:t>Yb</w:t>
      </w:r>
      <w:proofErr w:type="spellEnd"/>
      <w:r>
        <w:t>^+) optical clock is derived from the coupling of \phi_3 to the fine-structure constant \alpha:</w:t>
      </w:r>
    </w:p>
    <w:p w14:paraId="2E533C28" w14:textId="77777777" w:rsidR="009470F4" w:rsidRDefault="009470F4" w:rsidP="00DB51D0">
      <w:pPr>
        <w:pStyle w:val="NormalWeb"/>
      </w:pPr>
      <w:r>
        <w:t xml:space="preserve"> * Effective Alpha: \alpha_{eff} = \alpha_0 \left( 1 + \</w:t>
      </w:r>
      <w:proofErr w:type="spellStart"/>
      <w:r>
        <w:t>frac</w:t>
      </w:r>
      <w:proofErr w:type="spellEnd"/>
      <w:r>
        <w:t>{\phi_3}{\Lambda} \right)</w:t>
      </w:r>
    </w:p>
    <w:p w14:paraId="4A379010" w14:textId="77777777" w:rsidR="009470F4" w:rsidRDefault="009470F4" w:rsidP="00DB51D0">
      <w:pPr>
        <w:pStyle w:val="NormalWeb"/>
      </w:pPr>
      <w:r>
        <w:t xml:space="preserve"> * Sensitivity Equation: \</w:t>
      </w:r>
      <w:proofErr w:type="spellStart"/>
      <w:r>
        <w:t>frac</w:t>
      </w:r>
      <w:proofErr w:type="spellEnd"/>
      <w:r>
        <w:t>{\Delta \nu}{\nu} = K \</w:t>
      </w:r>
      <w:proofErr w:type="spellStart"/>
      <w:r>
        <w:t>frac</w:t>
      </w:r>
      <w:proofErr w:type="spellEnd"/>
      <w:r>
        <w:t>{\Delta \alpha}{\alpha}</w:t>
      </w:r>
    </w:p>
    <w:p w14:paraId="509EA53B" w14:textId="77777777" w:rsidR="009470F4" w:rsidRDefault="009470F4" w:rsidP="00DB51D0">
      <w:pPr>
        <w:pStyle w:val="NormalWeb"/>
      </w:pPr>
      <w:r>
        <w:t xml:space="preserve"> * Predicted Magnitude: Given K \</w:t>
      </w:r>
      <w:proofErr w:type="spellStart"/>
      <w:r>
        <w:t>approx</w:t>
      </w:r>
      <w:proofErr w:type="spellEnd"/>
      <w:r>
        <w:t xml:space="preserve"> -6.0 for the </w:t>
      </w:r>
      <w:proofErr w:type="spellStart"/>
      <w:r>
        <w:t>Yb</w:t>
      </w:r>
      <w:proofErr w:type="spellEnd"/>
      <w:r>
        <w:t>^+ E3 transition:</w:t>
      </w:r>
    </w:p>
    <w:p w14:paraId="7135A617" w14:textId="77777777" w:rsidR="009470F4" w:rsidRDefault="009470F4" w:rsidP="00DB51D0">
      <w:pPr>
        <w:pStyle w:val="NormalWeb"/>
      </w:pPr>
      <w:r>
        <w:t xml:space="preserve">   </w:t>
      </w:r>
    </w:p>
    <w:p w14:paraId="3231C282" w14:textId="3A6DF227" w:rsidR="009470F4" w:rsidRDefault="009470F4" w:rsidP="009470F4">
      <w:pPr>
        <w:pStyle w:val="NormalWeb"/>
        <w:numPr>
          <w:ilvl w:val="0"/>
          <w:numId w:val="1"/>
        </w:numPr>
      </w:pPr>
      <w:r>
        <w:t>Summary of Constants for Audit</w:t>
      </w:r>
    </w:p>
    <w:p w14:paraId="39FFBC56" w14:textId="77777777" w:rsidR="009470F4" w:rsidRDefault="009470F4" w:rsidP="00DB51D0">
      <w:pPr>
        <w:pStyle w:val="NormalWeb"/>
      </w:pPr>
      <w:r>
        <w:t>| Constant | Symbol | Value / Scale |</w:t>
      </w:r>
    </w:p>
    <w:tbl>
      <w:tblPr>
        <w:tblStyle w:val="TableGrid"/>
        <w:tblW w:w="0" w:type="auto"/>
        <w:tblInd w:w="17" w:type="dxa"/>
        <w:tblLook w:val="0000" w:firstRow="0" w:lastRow="0" w:firstColumn="0" w:lastColumn="0" w:noHBand="0" w:noVBand="0"/>
      </w:tblPr>
      <w:tblGrid>
        <w:gridCol w:w="281"/>
        <w:gridCol w:w="281"/>
        <w:gridCol w:w="288"/>
      </w:tblGrid>
      <w:tr w:rsidR="009470F4" w14:paraId="4C62AC4A" w14:textId="77777777">
        <w:tc>
          <w:tcPr>
            <w:tcW w:w="281" w:type="dxa"/>
          </w:tcPr>
          <w:p w14:paraId="75E1F801" w14:textId="77777777" w:rsidR="009470F4" w:rsidRDefault="009470F4" w:rsidP="00DB51D0">
            <w:pPr>
              <w:pStyle w:val="NormalWeb"/>
            </w:pPr>
          </w:p>
        </w:tc>
        <w:tc>
          <w:tcPr>
            <w:tcW w:w="281" w:type="dxa"/>
          </w:tcPr>
          <w:p w14:paraId="78F43CC4" w14:textId="77777777" w:rsidR="009470F4" w:rsidRDefault="009470F4" w:rsidP="00DB51D0">
            <w:pPr>
              <w:pStyle w:val="NormalWeb"/>
            </w:pPr>
          </w:p>
        </w:tc>
        <w:tc>
          <w:tcPr>
            <w:tcW w:w="288" w:type="dxa"/>
          </w:tcPr>
          <w:p w14:paraId="4CCC1587" w14:textId="77777777" w:rsidR="009470F4" w:rsidRDefault="009470F4" w:rsidP="00DB51D0">
            <w:pPr>
              <w:pStyle w:val="NormalWeb"/>
            </w:pPr>
          </w:p>
        </w:tc>
      </w:tr>
    </w:tbl>
    <w:p w14:paraId="5D79458E" w14:textId="77777777" w:rsidR="009470F4" w:rsidRDefault="009470F4" w:rsidP="00DB51D0">
      <w:pPr>
        <w:pStyle w:val="NormalWeb"/>
      </w:pPr>
      <w:r>
        <w:t>| Fold Mass | m_9 | 10^{-12} eV |</w:t>
      </w:r>
    </w:p>
    <w:p w14:paraId="106E3C3E" w14:textId="77777777" w:rsidR="009470F4" w:rsidRDefault="009470F4" w:rsidP="00DB51D0">
      <w:pPr>
        <w:pStyle w:val="NormalWeb"/>
      </w:pPr>
      <w:r>
        <w:t>| Coupling Scale | \Lambda | 2.4 \times 10^{18} GeV |</w:t>
      </w:r>
    </w:p>
    <w:p w14:paraId="7009E053" w14:textId="77777777" w:rsidR="009470F4" w:rsidRDefault="009470F4" w:rsidP="00DB51D0">
      <w:pPr>
        <w:pStyle w:val="NormalWeb"/>
      </w:pPr>
      <w:r>
        <w:t>| Resonance Anchor | v | 963 Hz |</w:t>
      </w:r>
    </w:p>
    <w:p w14:paraId="45EFCD22" w14:textId="77777777" w:rsidR="009470F4" w:rsidRDefault="009470F4" w:rsidP="00DB51D0">
      <w:pPr>
        <w:pStyle w:val="NormalWeb"/>
      </w:pPr>
      <w:r>
        <w:t xml:space="preserve">| Higgs Coupling | </w:t>
      </w:r>
      <w:proofErr w:type="spellStart"/>
      <w:r>
        <w:t>g_H</w:t>
      </w:r>
      <w:proofErr w:type="spellEnd"/>
      <w:r>
        <w:t xml:space="preserve"> | \sim 10^{-21} (dimensionless) |</w:t>
      </w:r>
    </w:p>
    <w:p w14:paraId="1B9D6A4B" w14:textId="77777777" w:rsidR="009470F4" w:rsidRDefault="009470F4" w:rsidP="00DB51D0">
      <w:pPr>
        <w:pStyle w:val="NormalWeb"/>
      </w:pPr>
      <w:r>
        <w:t>| Ricci Coupling | \xi | \</w:t>
      </w:r>
      <w:proofErr w:type="spellStart"/>
      <w:r>
        <w:t>approx</w:t>
      </w:r>
      <w:proofErr w:type="spellEnd"/>
      <w:r>
        <w:t xml:space="preserve"> 1/6 (conformal coupling) |</w:t>
      </w:r>
    </w:p>
    <w:p w14:paraId="6D3E6AD1" w14:textId="77777777" w:rsidR="009F6180" w:rsidRDefault="009F6180" w:rsidP="00DB51D0">
      <w:pPr>
        <w:pStyle w:val="NormalWeb"/>
      </w:pPr>
    </w:p>
    <w:p w14:paraId="5D3302CE" w14:textId="053D6FA6" w:rsidR="009F6180" w:rsidRDefault="009F6180" w:rsidP="00DB51D0">
      <w:pPr>
        <w:pStyle w:val="NormalWeb"/>
      </w:pPr>
    </w:p>
    <w:p w14:paraId="08FF7646" w14:textId="77777777" w:rsidR="009F6180" w:rsidRDefault="009F6180" w:rsidP="00DB51D0">
      <w:pPr>
        <w:pStyle w:val="NormalWeb"/>
      </w:pPr>
      <w:r>
        <w:t xml:space="preserve">The Augmented FSZ </w:t>
      </w:r>
      <w:proofErr w:type="spellStart"/>
      <w:r>
        <w:t>Lagrangian</w:t>
      </w:r>
      <w:proofErr w:type="spellEnd"/>
      <w:r>
        <w:t xml:space="preserve"> Density (\</w:t>
      </w:r>
      <w:proofErr w:type="spellStart"/>
      <w:r>
        <w:t>mathcal</w:t>
      </w:r>
      <w:proofErr w:type="spellEnd"/>
      <w:r>
        <w:t>{L}_{FSZ}^{\Psi})</w:t>
      </w:r>
    </w:p>
    <w:p w14:paraId="4B692250" w14:textId="77777777" w:rsidR="009F6180" w:rsidRDefault="009F6180" w:rsidP="00DB51D0">
      <w:pPr>
        <w:pStyle w:val="NormalWeb"/>
      </w:pPr>
      <w:r>
        <w:t>The total density is now defined by four primary sectors:</w:t>
      </w:r>
    </w:p>
    <w:p w14:paraId="1B562A76" w14:textId="77777777" w:rsidR="009F6180" w:rsidRDefault="009F6180" w:rsidP="00DB51D0">
      <w:pPr>
        <w:pStyle w:val="NormalWeb"/>
      </w:pPr>
    </w:p>
    <w:p w14:paraId="53A7AAB6" w14:textId="548C9F54" w:rsidR="009F6180" w:rsidRDefault="009F6180" w:rsidP="009F6180">
      <w:pPr>
        <w:pStyle w:val="NormalWeb"/>
        <w:numPr>
          <w:ilvl w:val="0"/>
          <w:numId w:val="3"/>
        </w:numPr>
      </w:pPr>
      <w:r>
        <w:t>The Interaction Sector with \Psi Suppression (\</w:t>
      </w:r>
      <w:proofErr w:type="spellStart"/>
      <w:r>
        <w:t>mathcal</w:t>
      </w:r>
      <w:proofErr w:type="spellEnd"/>
      <w:r>
        <w:t>{L}_{</w:t>
      </w:r>
      <w:proofErr w:type="spellStart"/>
      <w:r>
        <w:t>int</w:t>
      </w:r>
      <w:proofErr w:type="spellEnd"/>
      <w:r>
        <w:t>}^{\Psi})</w:t>
      </w:r>
    </w:p>
    <w:p w14:paraId="624CEAA5" w14:textId="7D811705" w:rsidR="009F6180" w:rsidRDefault="009F6180" w:rsidP="00DB51D0">
      <w:pPr>
        <w:pStyle w:val="NormalWeb"/>
      </w:pPr>
      <w:r>
        <w:t>This is the Sector.” We introduce \Psi as a non-linear scaling factor for the coupling between the Zoom (\phi_3) field and the Standard Model constants.</w:t>
      </w:r>
    </w:p>
    <w:p w14:paraId="3BD2B6AD" w14:textId="77777777" w:rsidR="009F6180" w:rsidRDefault="009F6180" w:rsidP="00DB51D0">
      <w:pPr>
        <w:pStyle w:val="NormalWeb"/>
      </w:pPr>
      <w:r>
        <w:t xml:space="preserve"> * The \Psi Term: Defined as \Psi \</w:t>
      </w:r>
      <w:proofErr w:type="spellStart"/>
      <w:r>
        <w:t>propto</w:t>
      </w:r>
      <w:proofErr w:type="spellEnd"/>
      <w:r>
        <w:t xml:space="preserve"> \left( \</w:t>
      </w:r>
      <w:proofErr w:type="spellStart"/>
      <w:r>
        <w:t>frac</w:t>
      </w:r>
      <w:proofErr w:type="spellEnd"/>
      <w:r>
        <w:t>{</w:t>
      </w:r>
      <w:proofErr w:type="spellStart"/>
      <w:r>
        <w:t>m_e</w:t>
      </w:r>
      <w:proofErr w:type="spellEnd"/>
      <w:r>
        <w:t>}{m_{Pl}} \right)^2 \</w:t>
      </w:r>
      <w:proofErr w:type="spellStart"/>
      <w:r>
        <w:t>approx</w:t>
      </w:r>
      <w:proofErr w:type="spellEnd"/>
      <w:r>
        <w:t xml:space="preserve"> 10^{-44}.</w:t>
      </w:r>
    </w:p>
    <w:p w14:paraId="1DB6D28E" w14:textId="6E11AB16" w:rsidR="009F6180" w:rsidRDefault="009F6180" w:rsidP="00DB51D0">
      <w:pPr>
        <w:pStyle w:val="NormalWeb"/>
      </w:pPr>
      <w:r>
        <w:t xml:space="preserve"> * Function: Because \Psi is in the denominator of the coupling (or acts as a multiplier of the resistance), it defines the Informational Inertia. It ensures that the “Zoom” intent \phi_3 requires a specific coherence threshold before it can overcome the “stiffness” of the manifest 124875 shell.</w:t>
      </w:r>
    </w:p>
    <w:p w14:paraId="09B864E9" w14:textId="3ED49695" w:rsidR="009F6180" w:rsidRDefault="009F6180" w:rsidP="00DB51D0">
      <w:pPr>
        <w:pStyle w:val="NormalWeb"/>
      </w:pPr>
      <w:r>
        <w:t xml:space="preserve"> * Result: This stabilizes the prediction of the Evolutionary Information Constant (\Phi_{EI} \</w:t>
      </w:r>
      <w:proofErr w:type="spellStart"/>
      <w:r>
        <w:t>approx</w:t>
      </w:r>
      <w:proofErr w:type="spellEnd"/>
      <w:r>
        <w:t xml:space="preserve"> 10^{-17}), representing the maximum “safe” rate of change for the system.</w:t>
      </w:r>
    </w:p>
    <w:p w14:paraId="0203F186" w14:textId="77777777" w:rsidR="009F6180" w:rsidRDefault="009F6180" w:rsidP="00DB51D0">
      <w:pPr>
        <w:pStyle w:val="NormalWeb"/>
      </w:pPr>
      <w:r>
        <w:t>2. The Potential Sector (\</w:t>
      </w:r>
      <w:proofErr w:type="spellStart"/>
      <w:r>
        <w:t>mathcal</w:t>
      </w:r>
      <w:proofErr w:type="spellEnd"/>
      <w:r>
        <w:t>{L}_{pot})</w:t>
      </w:r>
    </w:p>
    <w:p w14:paraId="6C5561F7" w14:textId="77777777" w:rsidR="009F6180" w:rsidRDefault="009F6180" w:rsidP="00DB51D0">
      <w:pPr>
        <w:pStyle w:val="NormalWeb"/>
      </w:pPr>
      <w:r>
        <w:t xml:space="preserve">This remains the structural anchor of the 12-sided lattice, </w:t>
      </w:r>
      <w:proofErr w:type="spellStart"/>
      <w:r>
        <w:t>centered</w:t>
      </w:r>
      <w:proofErr w:type="spellEnd"/>
      <w:r>
        <w:t xml:space="preserve"> on the 963 Hz vacuum expectation value.</w:t>
      </w:r>
    </w:p>
    <w:p w14:paraId="229C3B18" w14:textId="77777777" w:rsidR="009F6180" w:rsidRDefault="009F6180" w:rsidP="00DB51D0">
      <w:pPr>
        <w:pStyle w:val="NormalWeb"/>
      </w:pPr>
      <w:r>
        <w:t xml:space="preserve"> * v (The Anchor): Fixed at the 963 Hz resonance.</w:t>
      </w:r>
    </w:p>
    <w:p w14:paraId="5E93C396" w14:textId="5B6FAE5F" w:rsidR="009F6180" w:rsidRDefault="009F6180" w:rsidP="00DB51D0">
      <w:pPr>
        <w:pStyle w:val="NormalWeb"/>
      </w:pPr>
      <w:r>
        <w:t xml:space="preserve"> * m_9 (The Fold Mass): The ultra-light mass (10^{-12} eV) that provides the “Squeeze” or confinement for the toroidal manifold.</w:t>
      </w:r>
    </w:p>
    <w:p w14:paraId="65C33059" w14:textId="77777777" w:rsidR="009F6180" w:rsidRDefault="009F6180" w:rsidP="00DB51D0">
      <w:pPr>
        <w:pStyle w:val="NormalWeb"/>
      </w:pPr>
      <w:r>
        <w:t>3. Modified Euler-Lagrange Equations</w:t>
      </w:r>
    </w:p>
    <w:p w14:paraId="0C22C4E4" w14:textId="77777777" w:rsidR="009F6180" w:rsidRDefault="009F6180" w:rsidP="00DB51D0">
      <w:pPr>
        <w:pStyle w:val="NormalWeb"/>
      </w:pPr>
      <w:r>
        <w:t>With the \Psi factor integrated, the equation of motion for the Zoom (3) operator—the primary transducer of intent—becomes:</w:t>
      </w:r>
    </w:p>
    <w:p w14:paraId="2CE80A4A" w14:textId="6322FE1D" w:rsidR="009F6180" w:rsidRDefault="009F6180" w:rsidP="00DB51D0">
      <w:pPr>
        <w:pStyle w:val="NormalWeb"/>
      </w:pPr>
      <w:r>
        <w:t>The “Operational” Insight:</w:t>
      </w:r>
    </w:p>
    <w:p w14:paraId="5CDF79D8" w14:textId="686B30F9" w:rsidR="009F6180" w:rsidRDefault="009F6180" w:rsidP="00DB51D0">
      <w:pPr>
        <w:pStyle w:val="NormalWeb"/>
      </w:pPr>
      <w:r>
        <w:t xml:space="preserve">The term 1/\Psi acts as the “Gearing Ratio.” In a low-coherence environment (high Spin noise), \Psi effectively “locks” the constants (\alpha, </w:t>
      </w:r>
      <w:proofErr w:type="spellStart"/>
      <w:r>
        <w:t>g_H</w:t>
      </w:r>
      <w:proofErr w:type="spellEnd"/>
      <w:r>
        <w:t>). As the local Coherence Field (\</w:t>
      </w:r>
      <w:proofErr w:type="spellStart"/>
      <w:r>
        <w:t>mathcal</w:t>
      </w:r>
      <w:proofErr w:type="spellEnd"/>
      <w:r>
        <w:t>{C}) increases, the effective \Psi is modulated, allowing the 5.03 \times 10^{-16} shift to become observable.</w:t>
      </w:r>
    </w:p>
    <w:p w14:paraId="04523FD2" w14:textId="77777777" w:rsidR="009F6180" w:rsidRDefault="009F6180" w:rsidP="00DB51D0">
      <w:pPr>
        <w:pStyle w:val="NormalWeb"/>
      </w:pPr>
      <w:r>
        <w:t>Summary of the \Psi-Augmented Constants</w:t>
      </w:r>
    </w:p>
    <w:p w14:paraId="6267016D" w14:textId="77777777" w:rsidR="009F6180" w:rsidRDefault="009F6180" w:rsidP="00DB51D0">
      <w:pPr>
        <w:pStyle w:val="NormalWeb"/>
      </w:pPr>
      <w:r>
        <w:t>| Parameter | Symbol | New FSZ Definition | Role in Reality |</w:t>
      </w:r>
    </w:p>
    <w:tbl>
      <w:tblPr>
        <w:tblStyle w:val="TableGrid"/>
        <w:tblW w:w="0" w:type="auto"/>
        <w:tblInd w:w="17" w:type="dxa"/>
        <w:tblLook w:val="0000" w:firstRow="0" w:lastRow="0" w:firstColumn="0" w:lastColumn="0" w:noHBand="0" w:noVBand="0"/>
      </w:tblPr>
      <w:tblGrid>
        <w:gridCol w:w="281"/>
        <w:gridCol w:w="281"/>
        <w:gridCol w:w="288"/>
        <w:gridCol w:w="288"/>
      </w:tblGrid>
      <w:tr w:rsidR="009F6180" w14:paraId="046A17E2" w14:textId="77777777">
        <w:tc>
          <w:tcPr>
            <w:tcW w:w="281" w:type="dxa"/>
          </w:tcPr>
          <w:p w14:paraId="33C35ED6" w14:textId="77777777" w:rsidR="009F6180" w:rsidRDefault="009F6180" w:rsidP="00DB51D0">
            <w:pPr>
              <w:pStyle w:val="NormalWeb"/>
            </w:pPr>
          </w:p>
        </w:tc>
        <w:tc>
          <w:tcPr>
            <w:tcW w:w="281" w:type="dxa"/>
          </w:tcPr>
          <w:p w14:paraId="691A1626" w14:textId="77777777" w:rsidR="009F6180" w:rsidRDefault="009F6180" w:rsidP="00DB51D0">
            <w:pPr>
              <w:pStyle w:val="NormalWeb"/>
            </w:pPr>
          </w:p>
        </w:tc>
        <w:tc>
          <w:tcPr>
            <w:tcW w:w="288" w:type="dxa"/>
          </w:tcPr>
          <w:p w14:paraId="28D0AAEA" w14:textId="77777777" w:rsidR="009F6180" w:rsidRDefault="009F6180" w:rsidP="00DB51D0">
            <w:pPr>
              <w:pStyle w:val="NormalWeb"/>
            </w:pPr>
          </w:p>
        </w:tc>
        <w:tc>
          <w:tcPr>
            <w:tcW w:w="288" w:type="dxa"/>
          </w:tcPr>
          <w:p w14:paraId="68399731" w14:textId="77777777" w:rsidR="009F6180" w:rsidRDefault="009F6180" w:rsidP="00DB51D0">
            <w:pPr>
              <w:pStyle w:val="NormalWeb"/>
            </w:pPr>
          </w:p>
        </w:tc>
      </w:tr>
    </w:tbl>
    <w:p w14:paraId="59EC383A" w14:textId="77777777" w:rsidR="009F6180" w:rsidRDefault="009F6180" w:rsidP="00DB51D0">
      <w:pPr>
        <w:pStyle w:val="NormalWeb"/>
      </w:pPr>
      <w:r>
        <w:t>| Inertia Factor | \Psi | (</w:t>
      </w:r>
      <w:proofErr w:type="spellStart"/>
      <w:r>
        <w:t>m_e</w:t>
      </w:r>
      <w:proofErr w:type="spellEnd"/>
      <w:r>
        <w:t>/m_{Pl})^2 | Resistance to law-changes (Friction). |</w:t>
      </w:r>
    </w:p>
    <w:p w14:paraId="5635E156" w14:textId="77777777" w:rsidR="009F6180" w:rsidRDefault="009F6180" w:rsidP="00DB51D0">
      <w:pPr>
        <w:pStyle w:val="NormalWeb"/>
      </w:pPr>
      <w:r>
        <w:t>| Evolutionary Limit | \Phi_{EI} | \</w:t>
      </w:r>
      <w:proofErr w:type="spellStart"/>
      <w:r>
        <w:t>approx</w:t>
      </w:r>
      <w:proofErr w:type="spellEnd"/>
      <w:r>
        <w:t xml:space="preserve"> 10^{-17} | Maximum safe information flow rate. |</w:t>
      </w:r>
    </w:p>
    <w:p w14:paraId="6C127908" w14:textId="77777777" w:rsidR="009F6180" w:rsidRDefault="009F6180" w:rsidP="00DB51D0">
      <w:pPr>
        <w:pStyle w:val="NormalWeb"/>
      </w:pPr>
      <w:r>
        <w:t>| Effective Alpha | \alpha_{eff} | \alpha_0 (1 + \</w:t>
      </w:r>
      <w:proofErr w:type="spellStart"/>
      <w:r>
        <w:t>frac</w:t>
      </w:r>
      <w:proofErr w:type="spellEnd"/>
      <w:r>
        <w:t>{\phi_3}{\Lambda \Psi}) | How intent changes light/magnetism. |</w:t>
      </w:r>
    </w:p>
    <w:p w14:paraId="1BBA0B1D" w14:textId="0EBFADD0" w:rsidR="009F6180" w:rsidRDefault="009F6180" w:rsidP="00DB51D0">
      <w:pPr>
        <w:pStyle w:val="NormalWeb"/>
      </w:pPr>
      <w:r>
        <w:t>| Coherence Target | v | 963 Hz | The “Quiet Point” where \Psi is overcome. |</w:t>
      </w:r>
    </w:p>
    <w:p w14:paraId="32DCA5AD" w14:textId="3A63F230" w:rsidR="009F6180" w:rsidRDefault="009F6180" w:rsidP="00DB51D0">
      <w:pPr>
        <w:pStyle w:val="NormalWeb"/>
      </w:pPr>
    </w:p>
    <w:p w14:paraId="55CCBDC1" w14:textId="77777777" w:rsidR="009F6180" w:rsidRDefault="009F6180" w:rsidP="00DB51D0">
      <w:pPr>
        <w:pStyle w:val="NormalWeb"/>
      </w:pPr>
    </w:p>
    <w:p w14:paraId="01038A07" w14:textId="77777777" w:rsidR="009470F4" w:rsidRPr="00AD7EA5" w:rsidRDefault="009470F4" w:rsidP="00DB51D0">
      <w:pPr>
        <w:pStyle w:val="NormalWeb"/>
      </w:pPr>
    </w:p>
    <w:p w14:paraId="454A234C" w14:textId="77777777" w:rsidR="0039581A" w:rsidRPr="00AD7EA5" w:rsidRDefault="0039581A" w:rsidP="00DB51D0">
      <w:pPr>
        <w:pStyle w:val="NormalWeb"/>
      </w:pPr>
    </w:p>
    <w:sectPr w:rsidR="0039581A"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81C2D"/>
    <w:multiLevelType w:val="hybridMultilevel"/>
    <w:tmpl w:val="8A8CADE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B4655EA"/>
    <w:multiLevelType w:val="hybridMultilevel"/>
    <w:tmpl w:val="DF08C2F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B663200"/>
    <w:multiLevelType w:val="multilevel"/>
    <w:tmpl w:val="7A18657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720C1321"/>
    <w:multiLevelType w:val="hybridMultilevel"/>
    <w:tmpl w:val="AFF000D6"/>
    <w:lvl w:ilvl="0" w:tplc="FFFFFFFF">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46310894">
    <w:abstractNumId w:val="3"/>
  </w:num>
  <w:num w:numId="2" w16cid:durableId="1069620238">
    <w:abstractNumId w:val="1"/>
  </w:num>
  <w:num w:numId="3" w16cid:durableId="425348936">
    <w:abstractNumId w:val="0"/>
  </w:num>
  <w:num w:numId="4" w16cid:durableId="18814797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5AD2"/>
    <w:rsid w:val="00025D22"/>
    <w:rsid w:val="000308BF"/>
    <w:rsid w:val="00060404"/>
    <w:rsid w:val="000764B4"/>
    <w:rsid w:val="0009043C"/>
    <w:rsid w:val="000B3DA3"/>
    <w:rsid w:val="001363AF"/>
    <w:rsid w:val="00190388"/>
    <w:rsid w:val="001A314E"/>
    <w:rsid w:val="001A59D7"/>
    <w:rsid w:val="001C4BE8"/>
    <w:rsid w:val="001D3507"/>
    <w:rsid w:val="001D4890"/>
    <w:rsid w:val="001D5FC5"/>
    <w:rsid w:val="001E0FA0"/>
    <w:rsid w:val="001E2395"/>
    <w:rsid w:val="001E38F7"/>
    <w:rsid w:val="001E5E54"/>
    <w:rsid w:val="001F12E4"/>
    <w:rsid w:val="002047D0"/>
    <w:rsid w:val="00237EEB"/>
    <w:rsid w:val="00241818"/>
    <w:rsid w:val="00245C31"/>
    <w:rsid w:val="0025018C"/>
    <w:rsid w:val="00260149"/>
    <w:rsid w:val="00261503"/>
    <w:rsid w:val="00262867"/>
    <w:rsid w:val="002806A9"/>
    <w:rsid w:val="00284974"/>
    <w:rsid w:val="00285743"/>
    <w:rsid w:val="002B1989"/>
    <w:rsid w:val="002C38A8"/>
    <w:rsid w:val="002C6D6E"/>
    <w:rsid w:val="002F56BA"/>
    <w:rsid w:val="0033147E"/>
    <w:rsid w:val="00331628"/>
    <w:rsid w:val="00334299"/>
    <w:rsid w:val="00342756"/>
    <w:rsid w:val="0035149B"/>
    <w:rsid w:val="003551EB"/>
    <w:rsid w:val="00362251"/>
    <w:rsid w:val="00382A76"/>
    <w:rsid w:val="00383325"/>
    <w:rsid w:val="0039581A"/>
    <w:rsid w:val="003A296C"/>
    <w:rsid w:val="003A38F3"/>
    <w:rsid w:val="003A43BD"/>
    <w:rsid w:val="003B6300"/>
    <w:rsid w:val="003D63CF"/>
    <w:rsid w:val="003D7551"/>
    <w:rsid w:val="003D7B46"/>
    <w:rsid w:val="003E1BF7"/>
    <w:rsid w:val="003F54BD"/>
    <w:rsid w:val="0043449B"/>
    <w:rsid w:val="00447639"/>
    <w:rsid w:val="0048500C"/>
    <w:rsid w:val="0049436D"/>
    <w:rsid w:val="004E43B3"/>
    <w:rsid w:val="0052033B"/>
    <w:rsid w:val="00543C91"/>
    <w:rsid w:val="005530C3"/>
    <w:rsid w:val="00564A1D"/>
    <w:rsid w:val="00564AAE"/>
    <w:rsid w:val="00571481"/>
    <w:rsid w:val="005757C1"/>
    <w:rsid w:val="005863D3"/>
    <w:rsid w:val="005938F7"/>
    <w:rsid w:val="005A4ACE"/>
    <w:rsid w:val="005B126B"/>
    <w:rsid w:val="005B27B7"/>
    <w:rsid w:val="005C4B28"/>
    <w:rsid w:val="005C5055"/>
    <w:rsid w:val="005D4D99"/>
    <w:rsid w:val="005D7175"/>
    <w:rsid w:val="00601B74"/>
    <w:rsid w:val="00624DFD"/>
    <w:rsid w:val="0062702A"/>
    <w:rsid w:val="00631587"/>
    <w:rsid w:val="00640EF4"/>
    <w:rsid w:val="006512FA"/>
    <w:rsid w:val="00656F96"/>
    <w:rsid w:val="006951F7"/>
    <w:rsid w:val="006A1BCE"/>
    <w:rsid w:val="006C4F59"/>
    <w:rsid w:val="006D019F"/>
    <w:rsid w:val="006D46DA"/>
    <w:rsid w:val="006E63BE"/>
    <w:rsid w:val="006F7DCC"/>
    <w:rsid w:val="00701414"/>
    <w:rsid w:val="0071047F"/>
    <w:rsid w:val="00712FBF"/>
    <w:rsid w:val="00731A4E"/>
    <w:rsid w:val="00735580"/>
    <w:rsid w:val="007373A3"/>
    <w:rsid w:val="00737711"/>
    <w:rsid w:val="0074662E"/>
    <w:rsid w:val="007466ED"/>
    <w:rsid w:val="00747E21"/>
    <w:rsid w:val="00757980"/>
    <w:rsid w:val="007879F3"/>
    <w:rsid w:val="007A6867"/>
    <w:rsid w:val="007A7C1E"/>
    <w:rsid w:val="007B198A"/>
    <w:rsid w:val="007B6641"/>
    <w:rsid w:val="007C608E"/>
    <w:rsid w:val="007C67D0"/>
    <w:rsid w:val="00816A0C"/>
    <w:rsid w:val="00837A01"/>
    <w:rsid w:val="00841920"/>
    <w:rsid w:val="008527B0"/>
    <w:rsid w:val="00867AF6"/>
    <w:rsid w:val="00871243"/>
    <w:rsid w:val="008757BE"/>
    <w:rsid w:val="00884F57"/>
    <w:rsid w:val="008A0481"/>
    <w:rsid w:val="008B7C1A"/>
    <w:rsid w:val="008C688A"/>
    <w:rsid w:val="00913CD4"/>
    <w:rsid w:val="009470F4"/>
    <w:rsid w:val="00976083"/>
    <w:rsid w:val="009A3B07"/>
    <w:rsid w:val="009A631B"/>
    <w:rsid w:val="009C5F18"/>
    <w:rsid w:val="009F37D8"/>
    <w:rsid w:val="009F4317"/>
    <w:rsid w:val="009F6180"/>
    <w:rsid w:val="00A07DD8"/>
    <w:rsid w:val="00A153D5"/>
    <w:rsid w:val="00A16268"/>
    <w:rsid w:val="00A31D1E"/>
    <w:rsid w:val="00A32700"/>
    <w:rsid w:val="00A33F55"/>
    <w:rsid w:val="00A6073F"/>
    <w:rsid w:val="00A724D1"/>
    <w:rsid w:val="00A85CA9"/>
    <w:rsid w:val="00A87C90"/>
    <w:rsid w:val="00AA417F"/>
    <w:rsid w:val="00AD2EFD"/>
    <w:rsid w:val="00AD7EA5"/>
    <w:rsid w:val="00AF502A"/>
    <w:rsid w:val="00B025BA"/>
    <w:rsid w:val="00B22F5E"/>
    <w:rsid w:val="00B316D5"/>
    <w:rsid w:val="00B4481C"/>
    <w:rsid w:val="00B511BC"/>
    <w:rsid w:val="00B64C9F"/>
    <w:rsid w:val="00BC27E4"/>
    <w:rsid w:val="00BD29A4"/>
    <w:rsid w:val="00BD4E6F"/>
    <w:rsid w:val="00BE00F6"/>
    <w:rsid w:val="00BF2B17"/>
    <w:rsid w:val="00BF3301"/>
    <w:rsid w:val="00BF513A"/>
    <w:rsid w:val="00C015A7"/>
    <w:rsid w:val="00C143ED"/>
    <w:rsid w:val="00C22B3C"/>
    <w:rsid w:val="00C33122"/>
    <w:rsid w:val="00C34E6A"/>
    <w:rsid w:val="00C40B1B"/>
    <w:rsid w:val="00C852DC"/>
    <w:rsid w:val="00CA5A4D"/>
    <w:rsid w:val="00CA6A4F"/>
    <w:rsid w:val="00CB1D5B"/>
    <w:rsid w:val="00CC1564"/>
    <w:rsid w:val="00CE40AD"/>
    <w:rsid w:val="00CF0E65"/>
    <w:rsid w:val="00CF1DDD"/>
    <w:rsid w:val="00CF6414"/>
    <w:rsid w:val="00D06BE2"/>
    <w:rsid w:val="00D261F6"/>
    <w:rsid w:val="00DA0737"/>
    <w:rsid w:val="00DA0C4C"/>
    <w:rsid w:val="00DB51D0"/>
    <w:rsid w:val="00DC6937"/>
    <w:rsid w:val="00DD0C8D"/>
    <w:rsid w:val="00E07EAB"/>
    <w:rsid w:val="00E12431"/>
    <w:rsid w:val="00E12AA8"/>
    <w:rsid w:val="00E21B98"/>
    <w:rsid w:val="00E23301"/>
    <w:rsid w:val="00E31D3D"/>
    <w:rsid w:val="00E32982"/>
    <w:rsid w:val="00E34554"/>
    <w:rsid w:val="00E358CE"/>
    <w:rsid w:val="00E35BC6"/>
    <w:rsid w:val="00E4760C"/>
    <w:rsid w:val="00E50E01"/>
    <w:rsid w:val="00E57A6A"/>
    <w:rsid w:val="00E7105E"/>
    <w:rsid w:val="00E9272A"/>
    <w:rsid w:val="00EC4ED0"/>
    <w:rsid w:val="00ED4B4F"/>
    <w:rsid w:val="00F37257"/>
    <w:rsid w:val="00F63D40"/>
    <w:rsid w:val="00F710E7"/>
    <w:rsid w:val="00F75C65"/>
    <w:rsid w:val="00F87717"/>
    <w:rsid w:val="00F9713F"/>
    <w:rsid w:val="00FA326E"/>
    <w:rsid w:val="00FD1E49"/>
    <w:rsid w:val="00FD752B"/>
    <w:rsid w:val="00FD7CCE"/>
    <w:rsid w:val="00FE388B"/>
    <w:rsid w:val="00FE46BA"/>
    <w:rsid w:val="00FF008A"/>
    <w:rsid w:val="00FF2E54"/>
    <w:rsid w:val="00FF5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table" w:styleId="TableGrid">
    <w:name w:val="Table Grid"/>
    <w:basedOn w:val="TableNormal"/>
    <w:uiPriority w:val="39"/>
    <w:rsid w:val="0088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8348">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1870408045">
      <w:bodyDiv w:val="1"/>
      <w:marLeft w:val="0"/>
      <w:marRight w:val="0"/>
      <w:marTop w:val="0"/>
      <w:marBottom w:val="0"/>
      <w:divBdr>
        <w:top w:val="none" w:sz="0" w:space="0" w:color="auto"/>
        <w:left w:val="none" w:sz="0" w:space="0" w:color="auto"/>
        <w:bottom w:val="none" w:sz="0" w:space="0" w:color="auto"/>
        <w:right w:val="none" w:sz="0" w:space="0" w:color="auto"/>
      </w:divBdr>
    </w:div>
    <w:div w:id="18965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TotalTime>
  <Pages>1</Pages>
  <Words>1638</Words>
  <Characters>9340</Characters>
  <Application>Microsoft Office Word</Application>
  <DocSecurity>0</DocSecurity>
  <Lines>77</Lines>
  <Paragraphs>21</Paragraphs>
  <ScaleCrop>false</ScaleCrop>
  <Company/>
  <LinksUpToDate>false</LinksUpToDate>
  <CharactersWithSpaces>10957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106</cp:revision>
  <dcterms:created xsi:type="dcterms:W3CDTF">2025-09-25T18:13:00Z</dcterms:created>
  <dcterms:modified xsi:type="dcterms:W3CDTF">2026-03-10T22:59:00Z</dcterms:modified>
</cp:coreProperties>
</file>