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FAA6" w14:textId="77777777" w:rsidR="00B274B3" w:rsidRDefault="00B274B3" w:rsidP="00DB51D0">
      <w:pPr>
        <w:pStyle w:val="NormalWeb"/>
      </w:pPr>
      <w:r>
        <w:t>FSZ Technical White Paper: The Causal Magnetic Field of Light</w:t>
      </w:r>
    </w:p>
    <w:p w14:paraId="3863AE76" w14:textId="77777777" w:rsidR="00B274B3" w:rsidRDefault="00B274B3" w:rsidP="00DB51D0">
      <w:pPr>
        <w:pStyle w:val="NormalWeb"/>
      </w:pPr>
      <w:r>
        <w:t>Sub-title: Empirical Validation of the Spin (6) Operator through the Optical Faraday Effect</w:t>
      </w:r>
    </w:p>
    <w:p w14:paraId="6328BDF5" w14:textId="77777777" w:rsidR="00B274B3" w:rsidRDefault="00B274B3" w:rsidP="00DB51D0">
      <w:pPr>
        <w:pStyle w:val="NormalWeb"/>
      </w:pPr>
      <w:r>
        <w:t>Date: February 2026</w:t>
      </w:r>
    </w:p>
    <w:p w14:paraId="2D0C38B8" w14:textId="77777777" w:rsidR="00B274B3" w:rsidRDefault="00B274B3" w:rsidP="00DB51D0">
      <w:pPr>
        <w:pStyle w:val="NormalWeb"/>
      </w:pPr>
      <w:r>
        <w:t>Framework: Fold-Spin-Zoom (FSZ) Universal Coherence Protocol</w:t>
      </w:r>
    </w:p>
    <w:p w14:paraId="48E8C715" w14:textId="77777777" w:rsidR="00B274B3" w:rsidRDefault="00B274B3" w:rsidP="00DB51D0">
      <w:pPr>
        <w:pStyle w:val="NormalWeb"/>
      </w:pPr>
      <w:r>
        <w:t>Reference Study: “Faraday effects emerging from the optical magnetic field,” Scientific Reports, 2025.</w:t>
      </w:r>
    </w:p>
    <w:p w14:paraId="252A3B1C" w14:textId="6FE1A558" w:rsidR="00B274B3" w:rsidRDefault="00B274B3" w:rsidP="00B274B3">
      <w:pPr>
        <w:pStyle w:val="NormalWeb"/>
        <w:numPr>
          <w:ilvl w:val="0"/>
          <w:numId w:val="103"/>
        </w:numPr>
      </w:pPr>
      <w:r>
        <w:t>Abstract</w:t>
      </w:r>
    </w:p>
    <w:p w14:paraId="602A69C7" w14:textId="77777777" w:rsidR="00B274B3" w:rsidRDefault="00B274B3" w:rsidP="00DB51D0">
      <w:pPr>
        <w:pStyle w:val="NormalWeb"/>
      </w:pPr>
      <w:r>
        <w:t xml:space="preserve">This paper formalizes the synthesis of the Fold-Spin-Zoom (FSZ) Framework with recent empirical breakthroughs concerning the causal role of the magnetic component of light. Historically, classical physics has prioritized the electric field as the primary driver of optical interaction. However, new data demonstrating that light’s magnetic field accounts for up to 70% of the Faraday effect rotation in the infrared range provides critical validation for the FSZ Causal Core Triad (369). Specifically, it confirms that the Spin (6) operator is a dual-natured, potent causal force capable of exerting direct torque on the Fold (9) structure of matter. This alignment validates the FSZ </w:t>
      </w:r>
      <w:proofErr w:type="spellStart"/>
      <w:r>
        <w:t>Lagrangian</w:t>
      </w:r>
      <w:proofErr w:type="spellEnd"/>
      <w:r>
        <w:t xml:space="preserve"> (\</w:t>
      </w:r>
      <w:proofErr w:type="spellStart"/>
      <w:r>
        <w:t>mathcal</w:t>
      </w:r>
      <w:proofErr w:type="spellEnd"/>
      <w:r>
        <w:t xml:space="preserve">{L}_{FSZ}) and its applications in biological coherence and quantum </w:t>
      </w:r>
      <w:proofErr w:type="spellStart"/>
      <w:r>
        <w:t>decoherence</w:t>
      </w:r>
      <w:proofErr w:type="spellEnd"/>
      <w:r>
        <w:t xml:space="preserve"> management.</w:t>
      </w:r>
    </w:p>
    <w:p w14:paraId="5628D181" w14:textId="0BF990A9" w:rsidR="00B274B3" w:rsidRDefault="00B274B3" w:rsidP="00B274B3">
      <w:pPr>
        <w:pStyle w:val="NormalWeb"/>
        <w:numPr>
          <w:ilvl w:val="0"/>
          <w:numId w:val="103"/>
        </w:numPr>
      </w:pPr>
      <w:r>
        <w:t>Re-defining the Spin (6) Operator</w:t>
      </w:r>
    </w:p>
    <w:p w14:paraId="76FA3660" w14:textId="4AC43A13" w:rsidR="00B274B3" w:rsidRDefault="00B274B3" w:rsidP="00DB51D0">
      <w:pPr>
        <w:pStyle w:val="NormalWeb"/>
      </w:pPr>
      <w:r>
        <w:t>In the FSZ Framework, the Spin (6) operator represents kinetic motion, electromagnetic flow, and systemic entropy. The long-standing scientific assumption (dating to 1845) that the electric field of light is the sole dominant factor is categorized by FSZ as a “Low-Coherence Bias”—a tendency to focus only on the most visible aspects of the 124875 Manifestation Shell.</w:t>
      </w:r>
    </w:p>
    <w:p w14:paraId="7804EC05" w14:textId="77777777" w:rsidR="00B274B3" w:rsidRDefault="00B274B3" w:rsidP="00DB51D0">
      <w:pPr>
        <w:pStyle w:val="NormalWeb"/>
      </w:pPr>
      <w:r>
        <w:t>Empirical Revision of Spin Dynamics:</w:t>
      </w:r>
    </w:p>
    <w:p w14:paraId="6FDF7247" w14:textId="77777777" w:rsidR="00B274B3" w:rsidRDefault="00B274B3" w:rsidP="00DB51D0">
      <w:pPr>
        <w:pStyle w:val="NormalWeb"/>
      </w:pPr>
      <w:r>
        <w:t xml:space="preserve"> * Dual-Natured Force: The 2025 Hebrew University study necessitates a re-definition of Spin as an intrinsically balanced Electric-Magnetic duality. This complexity is a mathematical requirement for the FSZ </w:t>
      </w:r>
      <w:proofErr w:type="spellStart"/>
      <w:r>
        <w:t>Lagrangian</w:t>
      </w:r>
      <w:proofErr w:type="spellEnd"/>
      <w:r>
        <w:t xml:space="preserve"> to maintain stability.</w:t>
      </w:r>
    </w:p>
    <w:p w14:paraId="6A2FEE60" w14:textId="77777777" w:rsidR="00B274B3" w:rsidRDefault="00B274B3" w:rsidP="00DB51D0">
      <w:pPr>
        <w:pStyle w:val="NormalWeb"/>
      </w:pPr>
      <w:r>
        <w:t xml:space="preserve"> * The Torque Action: The discovery that the magnetic field directly torques materials provides a precise mechanical definition of Spin action. It is the application of rotational force to modulate the structural integrity of the Fold (9).</w:t>
      </w:r>
    </w:p>
    <w:p w14:paraId="4BD8B7F5" w14:textId="77777777" w:rsidR="00B274B3" w:rsidRDefault="00B274B3" w:rsidP="00DB51D0">
      <w:pPr>
        <w:pStyle w:val="NormalWeb"/>
      </w:pPr>
      <w:r>
        <w:t>3. Validation of Coherence Coupling (\</w:t>
      </w:r>
      <w:proofErr w:type="spellStart"/>
      <w:r>
        <w:t>mathcal</w:t>
      </w:r>
      <w:proofErr w:type="spellEnd"/>
      <w:r>
        <w:t>{C})</w:t>
      </w:r>
    </w:p>
    <w:p w14:paraId="54161F19" w14:textId="77777777" w:rsidR="00B274B3" w:rsidRDefault="00B274B3" w:rsidP="00DB51D0">
      <w:pPr>
        <w:pStyle w:val="NormalWeb"/>
      </w:pPr>
      <w:r>
        <w:t>The study’s observation that magnetic influence peaks in the infrared range (70%) supports the FSZ principle of Resonance Tuning:</w:t>
      </w:r>
    </w:p>
    <w:p w14:paraId="6FB3EDE7" w14:textId="4BFCA62B" w:rsidR="00B274B3" w:rsidRDefault="00B274B3" w:rsidP="00DB51D0">
      <w:pPr>
        <w:pStyle w:val="NormalWeb"/>
      </w:pPr>
      <w:r>
        <w:t xml:space="preserve"> * Structural Resonance: The Spin field’s magnetic component resonates with the specific “Fold Anchor” of the crystal lattice (Terbium Gallium Garnet). This confirms that the magnetic field of light is the primary mechanism for manipulating the structural density of matter.</w:t>
      </w:r>
    </w:p>
    <w:p w14:paraId="64BA9F5E" w14:textId="77777777" w:rsidR="00B274B3" w:rsidRDefault="00B274B3" w:rsidP="00DB51D0">
      <w:pPr>
        <w:pStyle w:val="NormalWeb"/>
      </w:pPr>
      <w:r>
        <w:t xml:space="preserve"> * Technological Feasibility: This provides a validated mechanism for Zoom (3) intervention. By utilizing focused, low-entropy magnetic fields, FSZ-aligned technologies (such as the Quantum </w:t>
      </w:r>
      <w:proofErr w:type="spellStart"/>
      <w:r>
        <w:t>Decoherence</w:t>
      </w:r>
      <w:proofErr w:type="spellEnd"/>
      <w:r>
        <w:t xml:space="preserve"> Management System) can enforce structural stability in quantum states.</w:t>
      </w:r>
    </w:p>
    <w:p w14:paraId="6680BAEE" w14:textId="77777777" w:rsidR="00B274B3" w:rsidRDefault="00B274B3" w:rsidP="00DB51D0">
      <w:pPr>
        <w:pStyle w:val="NormalWeb"/>
      </w:pPr>
      <w:r>
        <w:t>4. Biological Implications: The Magnetic Fold Anchors</w:t>
      </w:r>
    </w:p>
    <w:p w14:paraId="739017DF" w14:textId="3C6CC4D7" w:rsidR="00B274B3" w:rsidRDefault="00B274B3" w:rsidP="00DB51D0">
      <w:pPr>
        <w:pStyle w:val="NormalWeb"/>
      </w:pPr>
      <w:r>
        <w:t>The causal role of the optical magnetic field requires a rigorous re-evaluation of the human biological lattice, which contains inherent magnetic “Fold Anchors.”</w:t>
      </w:r>
    </w:p>
    <w:p w14:paraId="79F0B6ED" w14:textId="77777777" w:rsidR="00B274B3" w:rsidRDefault="00B274B3" w:rsidP="00DB51D0">
      <w:pPr>
        <w:pStyle w:val="NormalWeb"/>
      </w:pPr>
      <w:r>
        <w:t xml:space="preserve">4.1. </w:t>
      </w:r>
      <w:proofErr w:type="spellStart"/>
      <w:r>
        <w:t>Heme</w:t>
      </w:r>
      <w:proofErr w:type="spellEnd"/>
      <w:r>
        <w:t xml:space="preserve"> and Magnetite Interfaces</w:t>
      </w:r>
    </w:p>
    <w:p w14:paraId="22A6981D" w14:textId="77777777" w:rsidR="00B274B3" w:rsidRDefault="00B274B3" w:rsidP="00DB51D0">
      <w:pPr>
        <w:pStyle w:val="NormalWeb"/>
      </w:pPr>
      <w:r>
        <w:t xml:space="preserve"> * </w:t>
      </w:r>
      <w:proofErr w:type="spellStart"/>
      <w:r>
        <w:t>Heme</w:t>
      </w:r>
      <w:proofErr w:type="spellEnd"/>
      <w:r>
        <w:t xml:space="preserve"> (Blood Iron): A vital magnetic Fold anchor governing systemic Spin flow (oxygenation and energy distribution). This system is highly sensitive to external Spin field perturbations.</w:t>
      </w:r>
    </w:p>
    <w:p w14:paraId="6C26474E" w14:textId="77777777" w:rsidR="00B274B3" w:rsidRDefault="00B274B3" w:rsidP="00DB51D0">
      <w:pPr>
        <w:pStyle w:val="NormalWeb"/>
      </w:pPr>
      <w:r>
        <w:t xml:space="preserve"> * Magnetite (Pineal Gland): Crystalline magnetite acts as a high-gain magnetic antenna. Its functional role is to translate universal magnetic torque into a conscious signal, thereby regulating the Zoom (3) operator.</w:t>
      </w:r>
    </w:p>
    <w:p w14:paraId="138A7313" w14:textId="77777777" w:rsidR="00B274B3" w:rsidRDefault="00B274B3" w:rsidP="00DB51D0">
      <w:pPr>
        <w:pStyle w:val="NormalWeb"/>
      </w:pPr>
      <w:r>
        <w:t>4.2. Spin Entropy and Biological Decay</w:t>
      </w:r>
    </w:p>
    <w:p w14:paraId="416D5D6B" w14:textId="31C34752" w:rsidR="00B274B3" w:rsidRDefault="00B274B3" w:rsidP="00DB51D0">
      <w:pPr>
        <w:pStyle w:val="NormalWeb"/>
      </w:pPr>
      <w:r>
        <w:t>The findings provide a mechanism for the “Suffocation” of the lattice (aging):</w:t>
      </w:r>
    </w:p>
    <w:p w14:paraId="1BA5B095" w14:textId="60798427" w:rsidR="00B274B3" w:rsidRDefault="00B274B3" w:rsidP="00DB51D0">
      <w:pPr>
        <w:pStyle w:val="NormalWeb"/>
      </w:pPr>
      <w:r>
        <w:t xml:space="preserve"> * </w:t>
      </w:r>
      <w:proofErr w:type="spellStart"/>
      <w:r>
        <w:t>Decoherence</w:t>
      </w:r>
      <w:proofErr w:type="spellEnd"/>
      <w:r>
        <w:t xml:space="preserve"> Trigger: Modern electromagnetic “smog” carries a high-entropy magnetic component.</w:t>
      </w:r>
    </w:p>
    <w:p w14:paraId="3E740E62" w14:textId="354A9D25" w:rsidR="00B274B3" w:rsidRDefault="00B274B3" w:rsidP="00DB51D0">
      <w:pPr>
        <w:pStyle w:val="NormalWeb"/>
      </w:pPr>
      <w:r>
        <w:t xml:space="preserve"> * Structural Fatigue: This non-coherent magnetic torque exerts constant pressure on the body’s Fold anchors, leading to “Fold Fatigue”—the accumulation of structural damage that characterizes biological aging.</w:t>
      </w:r>
    </w:p>
    <w:p w14:paraId="05589FAB" w14:textId="77777777" w:rsidR="00B274B3" w:rsidRDefault="00B274B3" w:rsidP="00DB51D0">
      <w:pPr>
        <w:pStyle w:val="NormalWeb"/>
      </w:pPr>
      <w:r>
        <w:t>5. The Zoom Mandate: Active Bio-Magnetic Regulation</w:t>
      </w:r>
    </w:p>
    <w:p w14:paraId="33F22356" w14:textId="77777777" w:rsidR="00B274B3" w:rsidRDefault="00B274B3" w:rsidP="00DB51D0">
      <w:pPr>
        <w:pStyle w:val="NormalWeb"/>
      </w:pPr>
      <w:r>
        <w:t xml:space="preserve">The Zoom (3) operator functions as the system’s </w:t>
      </w:r>
      <w:proofErr w:type="spellStart"/>
      <w:r>
        <w:t>defense</w:t>
      </w:r>
      <w:proofErr w:type="spellEnd"/>
      <w:r>
        <w:t xml:space="preserve"> against Spin entropy, acting as a Conscious Electromagnetic Field (</w:t>
      </w:r>
      <w:proofErr w:type="spellStart"/>
      <w:r>
        <w:t>cemi</w:t>
      </w:r>
      <w:proofErr w:type="spellEnd"/>
      <w:r>
        <w:t>) to enforce systemic coherence.</w:t>
      </w:r>
    </w:p>
    <w:p w14:paraId="6B426744" w14:textId="77777777" w:rsidR="00B274B3" w:rsidRDefault="00B274B3" w:rsidP="00DB51D0">
      <w:pPr>
        <w:pStyle w:val="NormalWeb"/>
      </w:pPr>
      <w:r>
        <w:t xml:space="preserve"> * Intentional Coherence: The Zoom operator generates low-entropy magnetic signals, observable as low-frequency oscillations during focused intent.</w:t>
      </w:r>
    </w:p>
    <w:p w14:paraId="6D80916A" w14:textId="77777777" w:rsidR="00B274B3" w:rsidRDefault="00B274B3" w:rsidP="00DB51D0">
      <w:pPr>
        <w:pStyle w:val="NormalWeb"/>
      </w:pPr>
      <w:r>
        <w:t xml:space="preserve"> * The Healing Mechanism: This internal Coherence Field (\</w:t>
      </w:r>
      <w:proofErr w:type="spellStart"/>
      <w:r>
        <w:t>mathcal</w:t>
      </w:r>
      <w:proofErr w:type="spellEnd"/>
      <w:r>
        <w:t>{C}_{Internal}) overrides external chaotic noise. By regulating biological Spin flow, the Zoom operator maintains the integrity of the DNA Double Helix against entropic decay.</w:t>
      </w:r>
    </w:p>
    <w:p w14:paraId="78577721" w14:textId="77777777" w:rsidR="00B274B3" w:rsidRDefault="00B274B3" w:rsidP="00DB51D0">
      <w:pPr>
        <w:pStyle w:val="NormalWeb"/>
      </w:pPr>
      <w:r>
        <w:t xml:space="preserve">6. Conclusion: The </w:t>
      </w:r>
      <w:proofErr w:type="spellStart"/>
      <w:r>
        <w:t>Loopbreaker’s</w:t>
      </w:r>
      <w:proofErr w:type="spellEnd"/>
      <w:r>
        <w:t xml:space="preserve"> Empirical Victory</w:t>
      </w:r>
    </w:p>
    <w:p w14:paraId="4E823548" w14:textId="38547F18" w:rsidR="00B274B3" w:rsidRDefault="00B274B3" w:rsidP="00DB51D0">
      <w:pPr>
        <w:pStyle w:val="NormalWeb"/>
      </w:pPr>
      <w:r>
        <w:t>The revelation that the magnetic field is a powerful causal agent validates the FSZ Framework’s core tenet: that subtle, often overlooked forces drive the stability of the manifest world. The Stewardship Mandate (The Ethical/Coherence Imperative) is now supported by hard physics—the necessity of actively regulating the powerful Spin field to preserve the Fold structures of the planet and all its life.</w:t>
      </w:r>
    </w:p>
    <w:p w14:paraId="7442F494" w14:textId="77777777" w:rsidR="00B274B3" w:rsidRDefault="00B274B3" w:rsidP="00DB51D0">
      <w:pPr>
        <w:pStyle w:val="NormalWeb"/>
      </w:pPr>
      <w:r>
        <w:t>Archival Status: Verified Phase-Locked Output. Reference Library 369.</w:t>
      </w:r>
    </w:p>
    <w:p w14:paraId="47ADC169" w14:textId="77777777" w:rsidR="00B274B3" w:rsidRPr="00AD7EA5" w:rsidRDefault="00B274B3" w:rsidP="00DB51D0">
      <w:pPr>
        <w:pStyle w:val="NormalWeb"/>
      </w:pPr>
    </w:p>
    <w:p w14:paraId="423C5DB2" w14:textId="294BF967"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34D"/>
    <w:multiLevelType w:val="hybridMultilevel"/>
    <w:tmpl w:val="5D1C6FB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B2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3" w15:restartNumberingAfterBreak="0">
    <w:nsid w:val="038F3914"/>
    <w:multiLevelType w:val="hybridMultilevel"/>
    <w:tmpl w:val="6DE8DA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5" w15:restartNumberingAfterBreak="0">
    <w:nsid w:val="06AF2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40285"/>
    <w:multiLevelType w:val="hybridMultilevel"/>
    <w:tmpl w:val="18DAD0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4B3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719"/>
    <w:multiLevelType w:val="hybridMultilevel"/>
    <w:tmpl w:val="DF6A86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87146"/>
    <w:multiLevelType w:val="multilevel"/>
    <w:tmpl w:val="8902B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F54AE"/>
    <w:multiLevelType w:val="hybridMultilevel"/>
    <w:tmpl w:val="9800B8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8676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312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C3C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26" w15:restartNumberingAfterBreak="0">
    <w:nsid w:val="208A7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816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30"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51E37"/>
    <w:multiLevelType w:val="hybridMultilevel"/>
    <w:tmpl w:val="5B7C11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AD86538"/>
    <w:multiLevelType w:val="hybridMultilevel"/>
    <w:tmpl w:val="E2E878A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7461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0480788"/>
    <w:multiLevelType w:val="multilevel"/>
    <w:tmpl w:val="A7B8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42118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43"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C1A5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2F1A80"/>
    <w:multiLevelType w:val="hybridMultilevel"/>
    <w:tmpl w:val="EE2A83C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D4A104C"/>
    <w:multiLevelType w:val="multilevel"/>
    <w:tmpl w:val="96F8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45229A"/>
    <w:multiLevelType w:val="hybridMultilevel"/>
    <w:tmpl w:val="4F1436E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360701F"/>
    <w:multiLevelType w:val="hybridMultilevel"/>
    <w:tmpl w:val="788C20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DA7085"/>
    <w:multiLevelType w:val="hybridMultilevel"/>
    <w:tmpl w:val="1C2076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13521A"/>
    <w:multiLevelType w:val="hybridMultilevel"/>
    <w:tmpl w:val="27ECEB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1D1423"/>
    <w:multiLevelType w:val="hybridMultilevel"/>
    <w:tmpl w:val="F5322C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98E0F96"/>
    <w:multiLevelType w:val="hybridMultilevel"/>
    <w:tmpl w:val="838E46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3A02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4D0309"/>
    <w:multiLevelType w:val="hybridMultilevel"/>
    <w:tmpl w:val="DD185A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D95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4B77FA"/>
    <w:multiLevelType w:val="hybridMultilevel"/>
    <w:tmpl w:val="D2D6EBE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4F3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080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9C2895"/>
    <w:multiLevelType w:val="multilevel"/>
    <w:tmpl w:val="FFFFFFFF"/>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DA77EA"/>
    <w:multiLevelType w:val="multilevel"/>
    <w:tmpl w:val="06A41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A84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A41E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74" w15:restartNumberingAfterBreak="0">
    <w:nsid w:val="57AC1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BA6F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537ABA"/>
    <w:multiLevelType w:val="hybridMultilevel"/>
    <w:tmpl w:val="9BE882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2551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CA4CC1"/>
    <w:multiLevelType w:val="hybridMultilevel"/>
    <w:tmpl w:val="1706A0F0"/>
    <w:lvl w:ilvl="0" w:tplc="FFFFFFFF">
      <w:start w:val="1"/>
      <w:numFmt w:val="decimal"/>
      <w:lvlText w:val="%1)"/>
      <w:lvlJc w:val="left"/>
      <w:pPr>
        <w:ind w:left="720" w:hanging="360"/>
      </w:pPr>
      <w:rPr>
        <w:rFonts w:hint="default"/>
      </w:rPr>
    </w:lvl>
    <w:lvl w:ilvl="1" w:tplc="A600CFA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260E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7DC4015"/>
    <w:multiLevelType w:val="hybridMultilevel"/>
    <w:tmpl w:val="DC5AE7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68933019"/>
    <w:multiLevelType w:val="hybridMultilevel"/>
    <w:tmpl w:val="18C6A3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6CBC4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1C3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1D54B1"/>
    <w:multiLevelType w:val="multilevel"/>
    <w:tmpl w:val="AC5A8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90"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9047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D522CA"/>
    <w:multiLevelType w:val="hybridMultilevel"/>
    <w:tmpl w:val="A8AA19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77D20051"/>
    <w:multiLevelType w:val="hybridMultilevel"/>
    <w:tmpl w:val="2E62DA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82A2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BA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7D1B5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AC4197"/>
    <w:multiLevelType w:val="hybridMultilevel"/>
    <w:tmpl w:val="0E74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73"/>
    <w:lvlOverride w:ilvl="0">
      <w:startOverride w:val="1"/>
    </w:lvlOverride>
  </w:num>
  <w:num w:numId="2" w16cid:durableId="585194575">
    <w:abstractNumId w:val="73"/>
    <w:lvlOverride w:ilvl="0">
      <w:startOverride w:val="1"/>
    </w:lvlOverride>
  </w:num>
  <w:num w:numId="3" w16cid:durableId="1879125624">
    <w:abstractNumId w:val="73"/>
    <w:lvlOverride w:ilvl="0">
      <w:startOverride w:val="1"/>
    </w:lvlOverride>
  </w:num>
  <w:num w:numId="4" w16cid:durableId="981689895">
    <w:abstractNumId w:val="73"/>
    <w:lvlOverride w:ilvl="0">
      <w:startOverride w:val="1"/>
    </w:lvlOverride>
  </w:num>
  <w:num w:numId="5" w16cid:durableId="465705081">
    <w:abstractNumId w:val="73"/>
    <w:lvlOverride w:ilvl="0">
      <w:startOverride w:val="1"/>
    </w:lvlOverride>
  </w:num>
  <w:num w:numId="6" w16cid:durableId="1645694450">
    <w:abstractNumId w:val="73"/>
    <w:lvlOverride w:ilvl="0">
      <w:startOverride w:val="1"/>
    </w:lvlOverride>
  </w:num>
  <w:num w:numId="7" w16cid:durableId="142891369">
    <w:abstractNumId w:val="73"/>
    <w:lvlOverride w:ilvl="0">
      <w:startOverride w:val="1"/>
    </w:lvlOverride>
  </w:num>
  <w:num w:numId="8" w16cid:durableId="123037239">
    <w:abstractNumId w:val="49"/>
  </w:num>
  <w:num w:numId="9" w16cid:durableId="1621254643">
    <w:abstractNumId w:val="11"/>
  </w:num>
  <w:num w:numId="10" w16cid:durableId="194513505">
    <w:abstractNumId w:val="90"/>
  </w:num>
  <w:num w:numId="11" w16cid:durableId="389160121">
    <w:abstractNumId w:val="66"/>
  </w:num>
  <w:num w:numId="12" w16cid:durableId="1482964025">
    <w:abstractNumId w:val="16"/>
  </w:num>
  <w:num w:numId="13" w16cid:durableId="629242078">
    <w:abstractNumId w:val="30"/>
  </w:num>
  <w:num w:numId="14" w16cid:durableId="1004238902">
    <w:abstractNumId w:val="82"/>
  </w:num>
  <w:num w:numId="15" w16cid:durableId="1223177529">
    <w:abstractNumId w:val="96"/>
  </w:num>
  <w:num w:numId="16" w16cid:durableId="1100373905">
    <w:abstractNumId w:val="43"/>
  </w:num>
  <w:num w:numId="17" w16cid:durableId="1553224870">
    <w:abstractNumId w:val="88"/>
  </w:num>
  <w:num w:numId="18" w16cid:durableId="1342393566">
    <w:abstractNumId w:val="32"/>
  </w:num>
  <w:num w:numId="19" w16cid:durableId="1734501319">
    <w:abstractNumId w:val="22"/>
  </w:num>
  <w:num w:numId="20" w16cid:durableId="274215377">
    <w:abstractNumId w:val="13"/>
  </w:num>
  <w:num w:numId="21" w16cid:durableId="892546052">
    <w:abstractNumId w:val="80"/>
  </w:num>
  <w:num w:numId="22" w16cid:durableId="167251745">
    <w:abstractNumId w:val="51"/>
  </w:num>
  <w:num w:numId="23" w16cid:durableId="2130736687">
    <w:abstractNumId w:val="23"/>
  </w:num>
  <w:num w:numId="24" w16cid:durableId="1978022988">
    <w:abstractNumId w:val="53"/>
  </w:num>
  <w:num w:numId="25" w16cid:durableId="1742680361">
    <w:abstractNumId w:val="56"/>
  </w:num>
  <w:num w:numId="26" w16cid:durableId="550731329">
    <w:abstractNumId w:val="36"/>
  </w:num>
  <w:num w:numId="27" w16cid:durableId="504631367">
    <w:abstractNumId w:val="61"/>
  </w:num>
  <w:num w:numId="28" w16cid:durableId="1747605219">
    <w:abstractNumId w:val="24"/>
  </w:num>
  <w:num w:numId="29" w16cid:durableId="360131433">
    <w:abstractNumId w:val="19"/>
  </w:num>
  <w:num w:numId="30" w16cid:durableId="2019623467">
    <w:abstractNumId w:val="15"/>
  </w:num>
  <w:num w:numId="31" w16cid:durableId="1970282328">
    <w:abstractNumId w:val="78"/>
  </w:num>
  <w:num w:numId="32" w16cid:durableId="1129475315">
    <w:abstractNumId w:val="31"/>
  </w:num>
  <w:num w:numId="33" w16cid:durableId="383792150">
    <w:abstractNumId w:val="40"/>
  </w:num>
  <w:num w:numId="34" w16cid:durableId="777795032">
    <w:abstractNumId w:val="58"/>
  </w:num>
  <w:num w:numId="35" w16cid:durableId="1885672137">
    <w:abstractNumId w:val="77"/>
  </w:num>
  <w:num w:numId="36" w16cid:durableId="788742043">
    <w:abstractNumId w:val="57"/>
  </w:num>
  <w:num w:numId="37" w16cid:durableId="1673097491">
    <w:abstractNumId w:val="10"/>
  </w:num>
  <w:num w:numId="38" w16cid:durableId="288709970">
    <w:abstractNumId w:val="33"/>
  </w:num>
  <w:num w:numId="39" w16cid:durableId="2062560940">
    <w:abstractNumId w:val="63"/>
  </w:num>
  <w:num w:numId="40" w16cid:durableId="1727874877">
    <w:abstractNumId w:val="60"/>
  </w:num>
  <w:num w:numId="41" w16cid:durableId="1363942951">
    <w:abstractNumId w:val="38"/>
  </w:num>
  <w:num w:numId="42" w16cid:durableId="2083481740">
    <w:abstractNumId w:val="97"/>
  </w:num>
  <w:num w:numId="43" w16cid:durableId="1839074716">
    <w:abstractNumId w:val="27"/>
  </w:num>
  <w:num w:numId="44" w16cid:durableId="289672842">
    <w:abstractNumId w:val="7"/>
  </w:num>
  <w:num w:numId="45" w16cid:durableId="1043291074">
    <w:abstractNumId w:val="14"/>
  </w:num>
  <w:num w:numId="46" w16cid:durableId="834607018">
    <w:abstractNumId w:val="74"/>
  </w:num>
  <w:num w:numId="47" w16cid:durableId="1530097489">
    <w:abstractNumId w:val="98"/>
  </w:num>
  <w:num w:numId="48" w16cid:durableId="987170090">
    <w:abstractNumId w:val="72"/>
  </w:num>
  <w:num w:numId="49" w16cid:durableId="571626919">
    <w:abstractNumId w:val="44"/>
  </w:num>
  <w:num w:numId="50" w16cid:durableId="1010520458">
    <w:abstractNumId w:val="37"/>
  </w:num>
  <w:num w:numId="51" w16cid:durableId="357465655">
    <w:abstractNumId w:val="67"/>
  </w:num>
  <w:num w:numId="52" w16cid:durableId="1207257792">
    <w:abstractNumId w:val="59"/>
  </w:num>
  <w:num w:numId="53" w16cid:durableId="2046559499">
    <w:abstractNumId w:val="86"/>
  </w:num>
  <w:num w:numId="54" w16cid:durableId="330178096">
    <w:abstractNumId w:val="55"/>
  </w:num>
  <w:num w:numId="55" w16cid:durableId="1538737813">
    <w:abstractNumId w:val="50"/>
  </w:num>
  <w:num w:numId="56" w16cid:durableId="2102412301">
    <w:abstractNumId w:val="65"/>
  </w:num>
  <w:num w:numId="57" w16cid:durableId="2020962349">
    <w:abstractNumId w:val="3"/>
  </w:num>
  <w:num w:numId="58" w16cid:durableId="869562410">
    <w:abstractNumId w:val="48"/>
  </w:num>
  <w:num w:numId="59" w16cid:durableId="1393196907">
    <w:abstractNumId w:val="9"/>
  </w:num>
  <w:num w:numId="60" w16cid:durableId="694504061">
    <w:abstractNumId w:val="83"/>
  </w:num>
  <w:num w:numId="61" w16cid:durableId="747311621">
    <w:abstractNumId w:val="54"/>
  </w:num>
  <w:num w:numId="62" w16cid:durableId="245310138">
    <w:abstractNumId w:val="62"/>
  </w:num>
  <w:num w:numId="63" w16cid:durableId="1828278785">
    <w:abstractNumId w:val="34"/>
  </w:num>
  <w:num w:numId="64" w16cid:durableId="1467969218">
    <w:abstractNumId w:val="92"/>
  </w:num>
  <w:num w:numId="65" w16cid:durableId="1789659591">
    <w:abstractNumId w:val="17"/>
  </w:num>
  <w:num w:numId="66" w16cid:durableId="116457723">
    <w:abstractNumId w:val="76"/>
  </w:num>
  <w:num w:numId="67" w16cid:durableId="1920677894">
    <w:abstractNumId w:val="99"/>
  </w:num>
  <w:num w:numId="68" w16cid:durableId="1407531569">
    <w:abstractNumId w:val="93"/>
  </w:num>
  <w:num w:numId="69" w16cid:durableId="1939562930">
    <w:abstractNumId w:val="0"/>
  </w:num>
  <w:num w:numId="70" w16cid:durableId="1820883072">
    <w:abstractNumId w:val="84"/>
  </w:num>
  <w:num w:numId="71" w16cid:durableId="1088311809">
    <w:abstractNumId w:val="79"/>
  </w:num>
  <w:num w:numId="72" w16cid:durableId="522281213">
    <w:abstractNumId w:val="47"/>
  </w:num>
  <w:num w:numId="73" w16cid:durableId="1558011269">
    <w:abstractNumId w:val="6"/>
  </w:num>
  <w:num w:numId="74" w16cid:durableId="1408772012">
    <w:abstractNumId w:val="46"/>
  </w:num>
  <w:num w:numId="75" w16cid:durableId="215555419">
    <w:abstractNumId w:val="39"/>
  </w:num>
  <w:num w:numId="76" w16cid:durableId="470710223">
    <w:abstractNumId w:val="70"/>
  </w:num>
  <w:num w:numId="77" w16cid:durableId="1048332678">
    <w:abstractNumId w:val="18"/>
  </w:num>
  <w:num w:numId="78" w16cid:durableId="844780568">
    <w:abstractNumId w:val="75"/>
  </w:num>
  <w:num w:numId="79" w16cid:durableId="576676310">
    <w:abstractNumId w:val="69"/>
  </w:num>
  <w:num w:numId="80" w16cid:durableId="596209438">
    <w:abstractNumId w:val="20"/>
  </w:num>
  <w:num w:numId="81" w16cid:durableId="714042568">
    <w:abstractNumId w:val="41"/>
  </w:num>
  <w:num w:numId="82" w16cid:durableId="937178147">
    <w:abstractNumId w:val="8"/>
  </w:num>
  <w:num w:numId="83" w16cid:durableId="1648364708">
    <w:abstractNumId w:val="1"/>
  </w:num>
  <w:num w:numId="84" w16cid:durableId="1592929965">
    <w:abstractNumId w:val="12"/>
  </w:num>
  <w:num w:numId="85" w16cid:durableId="2097822520">
    <w:abstractNumId w:val="71"/>
  </w:num>
  <w:num w:numId="86" w16cid:durableId="2139294932">
    <w:abstractNumId w:val="5"/>
  </w:num>
  <w:num w:numId="87" w16cid:durableId="100222326">
    <w:abstractNumId w:val="5"/>
    <w:lvlOverride w:ilvl="1">
      <w:startOverride w:val="2"/>
    </w:lvlOverride>
  </w:num>
  <w:num w:numId="88" w16cid:durableId="1167670081">
    <w:abstractNumId w:val="5"/>
    <w:lvlOverride w:ilvl="1">
      <w:startOverride w:val="3"/>
    </w:lvlOverride>
  </w:num>
  <w:num w:numId="89" w16cid:durableId="31654984">
    <w:abstractNumId w:val="5"/>
    <w:lvlOverride w:ilvl="1">
      <w:startOverride w:val="4"/>
    </w:lvlOverride>
  </w:num>
  <w:num w:numId="90" w16cid:durableId="23986768">
    <w:abstractNumId w:val="68"/>
  </w:num>
  <w:num w:numId="91" w16cid:durableId="1305426363">
    <w:abstractNumId w:val="81"/>
  </w:num>
  <w:num w:numId="92" w16cid:durableId="485898109">
    <w:abstractNumId w:val="95"/>
  </w:num>
  <w:num w:numId="93" w16cid:durableId="62725686">
    <w:abstractNumId w:val="91"/>
  </w:num>
  <w:num w:numId="94" w16cid:durableId="1491486517">
    <w:abstractNumId w:val="28"/>
  </w:num>
  <w:num w:numId="95" w16cid:durableId="1660958599">
    <w:abstractNumId w:val="87"/>
  </w:num>
  <w:num w:numId="96" w16cid:durableId="1524436294">
    <w:abstractNumId w:val="94"/>
  </w:num>
  <w:num w:numId="97" w16cid:durableId="1757363574">
    <w:abstractNumId w:val="85"/>
  </w:num>
  <w:num w:numId="98" w16cid:durableId="960696552">
    <w:abstractNumId w:val="21"/>
  </w:num>
  <w:num w:numId="99" w16cid:durableId="1648781606">
    <w:abstractNumId w:val="64"/>
  </w:num>
  <w:num w:numId="100" w16cid:durableId="1428845354">
    <w:abstractNumId w:val="26"/>
  </w:num>
  <w:num w:numId="101" w16cid:durableId="1833838954">
    <w:abstractNumId w:val="52"/>
  </w:num>
  <w:num w:numId="102" w16cid:durableId="1771119163">
    <w:abstractNumId w:val="45"/>
  </w:num>
  <w:num w:numId="103" w16cid:durableId="153225735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60404"/>
    <w:rsid w:val="0009043C"/>
    <w:rsid w:val="000B3DA3"/>
    <w:rsid w:val="001363AF"/>
    <w:rsid w:val="00155835"/>
    <w:rsid w:val="0016046E"/>
    <w:rsid w:val="00190388"/>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64A1D"/>
    <w:rsid w:val="00564AAE"/>
    <w:rsid w:val="00571481"/>
    <w:rsid w:val="005757C1"/>
    <w:rsid w:val="005863D3"/>
    <w:rsid w:val="005938F7"/>
    <w:rsid w:val="00595964"/>
    <w:rsid w:val="005A4ACE"/>
    <w:rsid w:val="005B126B"/>
    <w:rsid w:val="005B27B7"/>
    <w:rsid w:val="005C4B28"/>
    <w:rsid w:val="005C5055"/>
    <w:rsid w:val="005C5F93"/>
    <w:rsid w:val="005D4D99"/>
    <w:rsid w:val="005D7175"/>
    <w:rsid w:val="00601B74"/>
    <w:rsid w:val="00624DFD"/>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879F3"/>
    <w:rsid w:val="007A22EA"/>
    <w:rsid w:val="007A6867"/>
    <w:rsid w:val="007A7C1E"/>
    <w:rsid w:val="007B198A"/>
    <w:rsid w:val="007B564C"/>
    <w:rsid w:val="007B6641"/>
    <w:rsid w:val="007C44E0"/>
    <w:rsid w:val="007C608E"/>
    <w:rsid w:val="007C67D0"/>
    <w:rsid w:val="00816A0C"/>
    <w:rsid w:val="00837A01"/>
    <w:rsid w:val="00841920"/>
    <w:rsid w:val="008527B0"/>
    <w:rsid w:val="00867AF6"/>
    <w:rsid w:val="00871243"/>
    <w:rsid w:val="008757BE"/>
    <w:rsid w:val="008804FC"/>
    <w:rsid w:val="00884F57"/>
    <w:rsid w:val="008A0481"/>
    <w:rsid w:val="008B7C1A"/>
    <w:rsid w:val="008C688A"/>
    <w:rsid w:val="008D1F59"/>
    <w:rsid w:val="00913CD4"/>
    <w:rsid w:val="00976083"/>
    <w:rsid w:val="00987305"/>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13DF"/>
    <w:rsid w:val="00AF502A"/>
    <w:rsid w:val="00B22F5E"/>
    <w:rsid w:val="00B274B3"/>
    <w:rsid w:val="00B316D5"/>
    <w:rsid w:val="00B4481C"/>
    <w:rsid w:val="00B511BC"/>
    <w:rsid w:val="00B64C9F"/>
    <w:rsid w:val="00B72ECE"/>
    <w:rsid w:val="00BC1F8A"/>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B51D0"/>
    <w:rsid w:val="00DC6937"/>
    <w:rsid w:val="00DD0C8D"/>
    <w:rsid w:val="00E07818"/>
    <w:rsid w:val="00E07EAB"/>
    <w:rsid w:val="00E12431"/>
    <w:rsid w:val="00E12AA8"/>
    <w:rsid w:val="00E21B98"/>
    <w:rsid w:val="00E31D3D"/>
    <w:rsid w:val="00E32982"/>
    <w:rsid w:val="00E34554"/>
    <w:rsid w:val="00E35BC6"/>
    <w:rsid w:val="00E4760C"/>
    <w:rsid w:val="00E50E01"/>
    <w:rsid w:val="00E57A6A"/>
    <w:rsid w:val="00E7105E"/>
    <w:rsid w:val="00E9272A"/>
    <w:rsid w:val="00EC4ED0"/>
    <w:rsid w:val="00ED4B4F"/>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105</cp:revision>
  <dcterms:created xsi:type="dcterms:W3CDTF">2025-09-25T18:13:00Z</dcterms:created>
  <dcterms:modified xsi:type="dcterms:W3CDTF">2026-03-08T18:31:00Z</dcterms:modified>
</cp:coreProperties>
</file>