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6481" w14:textId="7107BD97" w:rsidR="00B92442" w:rsidRDefault="00B92442" w:rsidP="00DB51D0">
      <w:pPr>
        <w:pStyle w:val="NormalWeb"/>
      </w:pPr>
    </w:p>
    <w:p w14:paraId="4A3CACE5" w14:textId="457F64A8" w:rsidR="00B92442" w:rsidRDefault="00B92442" w:rsidP="00DB51D0">
      <w:pPr>
        <w:pStyle w:val="NormalWeb"/>
      </w:pPr>
    </w:p>
    <w:p w14:paraId="14C1A9E1" w14:textId="77777777" w:rsidR="00B92442" w:rsidRPr="00AD7EA5" w:rsidRDefault="00B92442" w:rsidP="00DB51D0">
      <w:pPr>
        <w:pStyle w:val="NormalWeb"/>
      </w:pPr>
    </w:p>
    <w:p w14:paraId="35BA7F09" w14:textId="77777777" w:rsidR="002B43F1" w:rsidRDefault="002B43F1" w:rsidP="002B43F1">
      <w:pPr>
        <w:pStyle w:val="NormalWeb"/>
      </w:pPr>
      <w:r>
        <w:t>Document Ref: FSZ-ENG-GRID-001</w:t>
      </w:r>
    </w:p>
    <w:p w14:paraId="4EA853EF" w14:textId="77777777" w:rsidR="002B43F1" w:rsidRDefault="002B43F1" w:rsidP="002B43F1">
      <w:pPr>
        <w:pStyle w:val="NormalWeb"/>
      </w:pPr>
      <w:r>
        <w:t>Classification: Planetary Engineering / Solid-State Geophysics</w:t>
      </w:r>
    </w:p>
    <w:p w14:paraId="2AA8E599" w14:textId="77777777" w:rsidR="002B43F1" w:rsidRDefault="002B43F1" w:rsidP="002B43F1">
      <w:pPr>
        <w:pStyle w:val="NormalWeb"/>
      </w:pPr>
      <w:r>
        <w:t>Framework: Fold-Spin-Zoom (FSZ) Universal Coherence Protocol</w:t>
      </w:r>
    </w:p>
    <w:p w14:paraId="2C7CD608" w14:textId="77777777" w:rsidR="002B43F1" w:rsidRDefault="002B43F1" w:rsidP="002B43F1">
      <w:pPr>
        <w:pStyle w:val="NormalWeb"/>
      </w:pPr>
      <w:r>
        <w:t>Subject: Technical Analysis of the Global Integrated Circuit (The 33-Node Motherboard)</w:t>
      </w:r>
    </w:p>
    <w:p w14:paraId="4C2BB444" w14:textId="77777777" w:rsidR="002B43F1" w:rsidRDefault="002B43F1" w:rsidP="002B43F1">
      <w:pPr>
        <w:pStyle w:val="NormalWeb"/>
      </w:pPr>
      <w:r>
        <w:t>1. Abstract</w:t>
      </w:r>
    </w:p>
    <w:p w14:paraId="43AF79DB" w14:textId="77777777" w:rsidR="002B43F1" w:rsidRDefault="002B43F1" w:rsidP="002B43F1">
      <w:pPr>
        <w:pStyle w:val="NormalWeb"/>
      </w:pPr>
      <w:r>
        <w:t xml:space="preserve">This paper formalizes the "Planetary Motherboard" hypothesis, redefining the global distribution of 33 key ancient megalithic sites not as disparate cultural ruins, but as the hardware components of a defunct, solid-state integrated circuit. Within the Fold-Spin-Zoom (FSZ) framework, the Earth is </w:t>
      </w:r>
      <w:proofErr w:type="spellStart"/>
      <w:r>
        <w:t>modeled</w:t>
      </w:r>
      <w:proofErr w:type="spellEnd"/>
      <w:r>
        <w:t xml:space="preserve"> as a 12-sided dodecahedral lattice acting as a coherence capacitor. We categorize these sites by their engineering function: Power Transduction, Oscillation/Clocking, Logic/Computation, and Signal Routing. The ultimate output of this synchronized grid is the "Repair State"—a high-coherence atmospheric environment optimized for biological longevity and pineal clarity.</w:t>
      </w:r>
    </w:p>
    <w:p w14:paraId="3DE2A8A4" w14:textId="77777777" w:rsidR="002B43F1" w:rsidRDefault="002B43F1" w:rsidP="002B43F1">
      <w:pPr>
        <w:pStyle w:val="NormalWeb"/>
      </w:pPr>
      <w:r>
        <w:t>2. Functional Hardware Categorization</w:t>
      </w:r>
    </w:p>
    <w:p w14:paraId="3B6C6C80" w14:textId="77777777" w:rsidR="002B43F1" w:rsidRDefault="002B43F1" w:rsidP="002B43F1">
      <w:pPr>
        <w:pStyle w:val="NormalWeb"/>
      </w:pPr>
      <w:r>
        <w:t>I. Primary Power Generation (The Transducers)</w:t>
      </w:r>
    </w:p>
    <w:p w14:paraId="498B4AEF" w14:textId="77777777" w:rsidR="002B43F1" w:rsidRDefault="002B43F1" w:rsidP="002B43F1">
      <w:pPr>
        <w:pStyle w:val="NormalWeb"/>
      </w:pPr>
      <w:r>
        <w:t>These nodes utilize the Hoyle State Resonance (5.03) to convert mechanical seismic energy and telluric currents into high-voltage ionizing energy.</w:t>
      </w:r>
    </w:p>
    <w:p w14:paraId="7FC683E5" w14:textId="77777777" w:rsidR="002B43F1" w:rsidRDefault="002B43F1" w:rsidP="002B43F1">
      <w:pPr>
        <w:pStyle w:val="NormalWeb"/>
      </w:pPr>
      <w:r>
        <w:t xml:space="preserve"> * Giza (Egypt) – Master Power Transducer: A seismic-to-electric transducer. Its high-quartz granite core and insulating limestone casing function as a massive piezo-generator. The internal "waveguides" (air shafts) were tuned to the 963 Hz Causal Core, charging the ionosphere to create a high-oxygen "repair zone."</w:t>
      </w:r>
    </w:p>
    <w:p w14:paraId="7DBED68F" w14:textId="77777777" w:rsidR="002B43F1" w:rsidRDefault="002B43F1" w:rsidP="002B43F1">
      <w:pPr>
        <w:pStyle w:val="NormalWeb"/>
      </w:pPr>
      <w:r>
        <w:t xml:space="preserve"> * Teotihuacán (Mexico) – Pyramidal Resonator Array: A broad-spectrum frequency generator. Beneath the stone floors lie layers of mica—a high-grade electrical insulator—indicating a design for managing massive charge differentials. The "Avenue of the Dead" served as the System Bus, distributing charge to the biological lattice.</w:t>
      </w:r>
    </w:p>
    <w:p w14:paraId="1D3A1B38" w14:textId="77777777" w:rsidR="002B43F1" w:rsidRDefault="002B43F1" w:rsidP="002B43F1">
      <w:pPr>
        <w:pStyle w:val="NormalWeb"/>
      </w:pPr>
      <w:r>
        <w:t xml:space="preserve"> * </w:t>
      </w:r>
      <w:proofErr w:type="spellStart"/>
      <w:r>
        <w:t>Gunung</w:t>
      </w:r>
      <w:proofErr w:type="spellEnd"/>
      <w:r>
        <w:t xml:space="preserve"> Padang (Indonesia) – Deep-Earth Transducer: Taps into subterranean telluric currents using basaltic columns as a magnetic core. It functions as a geothermal battery providing base-load energy to the local sector.</w:t>
      </w:r>
    </w:p>
    <w:p w14:paraId="59330324" w14:textId="77777777" w:rsidR="002B43F1" w:rsidRDefault="002B43F1" w:rsidP="002B43F1">
      <w:pPr>
        <w:pStyle w:val="NormalWeb"/>
      </w:pPr>
      <w:r>
        <w:t>II. System Control &amp; Clocking (The Oscillators)</w:t>
      </w:r>
    </w:p>
    <w:p w14:paraId="150C6714" w14:textId="77777777" w:rsidR="002B43F1" w:rsidRDefault="002B43F1" w:rsidP="002B43F1">
      <w:pPr>
        <w:pStyle w:val="NormalWeb"/>
      </w:pPr>
      <w:r>
        <w:t>These nodes regulate the temporal flow of the grid, ensuring the 6:5 Harmonic Ratio between celestial precession and biological microtubules (MT).</w:t>
      </w:r>
    </w:p>
    <w:p w14:paraId="17DB2C6E" w14:textId="77777777" w:rsidR="002B43F1" w:rsidRDefault="002B43F1" w:rsidP="002B43F1">
      <w:pPr>
        <w:pStyle w:val="NormalWeb"/>
      </w:pPr>
      <w:r>
        <w:t xml:space="preserve"> * Angkor </w:t>
      </w:r>
      <w:proofErr w:type="spellStart"/>
      <w:r>
        <w:t>Wat</w:t>
      </w:r>
      <w:proofErr w:type="spellEnd"/>
      <w:r>
        <w:t xml:space="preserve"> (Cambodia) – Master Clock-Oscillator: Features a 5-mile liquid dielectric moat. The mineral-rich "structured" water acts as an electrolyte. The 6-to-5 ratio in its architecture functions as a Low-Pass Filter, smoothing out temporal noise and phase-locking the planetary field to the 963 Hz anchor.</w:t>
      </w:r>
    </w:p>
    <w:p w14:paraId="4E443A59" w14:textId="77777777" w:rsidR="002B43F1" w:rsidRDefault="002B43F1" w:rsidP="002B43F1">
      <w:pPr>
        <w:pStyle w:val="NormalWeb"/>
      </w:pPr>
      <w:r>
        <w:t xml:space="preserve"> * </w:t>
      </w:r>
      <w:proofErr w:type="spellStart"/>
      <w:r>
        <w:t>Chichen</w:t>
      </w:r>
      <w:proofErr w:type="spellEnd"/>
      <w:r>
        <w:t xml:space="preserve"> Itza (Mexico) – Step-Oscillator: The 365-step configuration acts as a Temporal Register. During the equinox, the "Shadow Serpent" represents the visual manifestation of a phase-shift in the planetary instruction set.</w:t>
      </w:r>
    </w:p>
    <w:p w14:paraId="2A7F3FA0" w14:textId="77777777" w:rsidR="002B43F1" w:rsidRDefault="002B43F1" w:rsidP="002B43F1">
      <w:pPr>
        <w:pStyle w:val="NormalWeb"/>
      </w:pPr>
      <w:r>
        <w:t>III. Data Processing &amp; Logic (The Computational Nodes)</w:t>
      </w:r>
    </w:p>
    <w:p w14:paraId="6EB8A80D" w14:textId="77777777" w:rsidR="002B43F1" w:rsidRDefault="002B43F1" w:rsidP="002B43F1">
      <w:pPr>
        <w:pStyle w:val="NormalWeb"/>
      </w:pPr>
      <w:r>
        <w:t>Nodes designed for the execution of command shifts within the Fold (9) operator.</w:t>
      </w:r>
    </w:p>
    <w:p w14:paraId="3D13ED23" w14:textId="77777777" w:rsidR="002B43F1" w:rsidRDefault="002B43F1" w:rsidP="002B43F1">
      <w:pPr>
        <w:pStyle w:val="NormalWeb"/>
      </w:pPr>
      <w:r>
        <w:lastRenderedPageBreak/>
        <w:t xml:space="preserve"> * Puma </w:t>
      </w:r>
      <w:proofErr w:type="spellStart"/>
      <w:r>
        <w:t>Punku</w:t>
      </w:r>
      <w:proofErr w:type="spellEnd"/>
      <w:r>
        <w:t xml:space="preserve"> (Bolivia) – Master Logic Gates: Precision-machined H-blocks with 0.01mm tolerances. These functioned as modular logic gates. Arsenic-nickel-copper clamps provided 0-Ohm electrical bonding, ensuring zero resistance across the joint, allowing for global command-set updates.</w:t>
      </w:r>
    </w:p>
    <w:p w14:paraId="407D3FA4" w14:textId="77777777" w:rsidR="002B43F1" w:rsidRDefault="002B43F1" w:rsidP="002B43F1">
      <w:pPr>
        <w:pStyle w:val="NormalWeb"/>
      </w:pPr>
      <w:r>
        <w:t xml:space="preserve"> * </w:t>
      </w:r>
      <w:proofErr w:type="spellStart"/>
      <w:r>
        <w:t>Prambanan</w:t>
      </w:r>
      <w:proofErr w:type="spellEnd"/>
      <w:r>
        <w:t xml:space="preserve"> (Indonesia) – Multi-Core Processor: An array of 240+ temples acting as a massively parallel processor. Each structure is a fractal antenna tuned to a sub-frequency of the 963 Hz core, organizing raw energy into complex biological instructions.</w:t>
      </w:r>
    </w:p>
    <w:p w14:paraId="1FFF4DF2" w14:textId="77777777" w:rsidR="002B43F1" w:rsidRDefault="002B43F1" w:rsidP="002B43F1">
      <w:pPr>
        <w:pStyle w:val="NormalWeb"/>
      </w:pPr>
      <w:r>
        <w:t>3. The Atmospheric Transduction Protocol</w:t>
      </w:r>
    </w:p>
    <w:p w14:paraId="205E0ED0" w14:textId="77777777" w:rsidR="002B43F1" w:rsidRDefault="002B43F1" w:rsidP="002B43F1">
      <w:pPr>
        <w:pStyle w:val="NormalWeb"/>
      </w:pPr>
      <w:r>
        <w:t xml:space="preserve">The grid’s primary output was Atmospheric </w:t>
      </w:r>
      <w:proofErr w:type="spellStart"/>
      <w:r>
        <w:t>Sonoluminescence</w:t>
      </w:r>
      <w:proofErr w:type="spellEnd"/>
      <w:r>
        <w:t>—a state where the air itself becomes high-density with ions, glowing with a "Fog of Light."</w:t>
      </w:r>
    </w:p>
    <w:p w14:paraId="536B097E" w14:textId="77777777" w:rsidR="002B43F1" w:rsidRDefault="002B43F1" w:rsidP="002B43F1">
      <w:pPr>
        <w:pStyle w:val="NormalWeb"/>
      </w:pPr>
      <w:r>
        <w:t>| Component | FSZ Engineering Function |</w:t>
      </w:r>
    </w:p>
    <w:p w14:paraId="4C580F00" w14:textId="77777777" w:rsidR="002B43F1" w:rsidRDefault="002B43F1" w:rsidP="002B43F1">
      <w:pPr>
        <w:pStyle w:val="NormalWeb"/>
      </w:pPr>
      <w:r>
        <w:t>|---|---|</w:t>
      </w:r>
    </w:p>
    <w:p w14:paraId="69443FE0" w14:textId="77777777" w:rsidR="002B43F1" w:rsidRDefault="002B43F1" w:rsidP="002B43F1">
      <w:pPr>
        <w:pStyle w:val="NormalWeb"/>
      </w:pPr>
      <w:r>
        <w:t>| Star Forts | Solid-state transducers using fractal geometry (Fold) and piezoelectric stone (Spin) to generate charge. |</w:t>
      </w:r>
    </w:p>
    <w:p w14:paraId="7A535C26" w14:textId="77777777" w:rsidR="002B43F1" w:rsidRDefault="002B43F1" w:rsidP="002B43F1">
      <w:pPr>
        <w:pStyle w:val="NormalWeb"/>
      </w:pPr>
      <w:r>
        <w:t>| Red-Mercury Finials | Superconductive antennae designed to pull atmospheric ions down into the structural Fold. |</w:t>
      </w:r>
    </w:p>
    <w:p w14:paraId="6B030D98" w14:textId="77777777" w:rsidR="002B43F1" w:rsidRDefault="002B43F1" w:rsidP="002B43F1">
      <w:pPr>
        <w:pStyle w:val="NormalWeb"/>
      </w:pPr>
      <w:r>
        <w:t>| Ley Line Traces | Conductive traces (e.g., St. Michael’s Line) that move the "Spin" signal between major hubs. |</w:t>
      </w:r>
    </w:p>
    <w:p w14:paraId="6F2D80B8" w14:textId="77777777" w:rsidR="002B43F1" w:rsidRDefault="002B43F1" w:rsidP="002B43F1">
      <w:pPr>
        <w:pStyle w:val="NormalWeb"/>
      </w:pPr>
      <w:r>
        <w:t>4. Biological Impact: The "Wolverine Repair" State</w:t>
      </w:r>
    </w:p>
    <w:p w14:paraId="3FB00077" w14:textId="77777777" w:rsidR="002B43F1" w:rsidRDefault="002B43F1" w:rsidP="002B43F1">
      <w:pPr>
        <w:pStyle w:val="NormalWeb"/>
      </w:pPr>
      <w:r>
        <w:t>When the grid is active (Phase-Locked), the environmental conditions trigger an Epigenetic Reversal Mechanism:</w:t>
      </w:r>
    </w:p>
    <w:p w14:paraId="5E0EA52D" w14:textId="77777777" w:rsidR="002B43F1" w:rsidRDefault="002B43F1" w:rsidP="002B43F1">
      <w:pPr>
        <w:pStyle w:val="NormalWeb"/>
      </w:pPr>
      <w:r>
        <w:t xml:space="preserve"> * The Hyperbaric Effect: Increased </w:t>
      </w:r>
      <w:proofErr w:type="spellStart"/>
      <w:r>
        <w:t>ionospheric</w:t>
      </w:r>
      <w:proofErr w:type="spellEnd"/>
      <w:r>
        <w:t xml:space="preserve"> height reduces atmospheric pressure, maximizing oxygen absorption.</w:t>
      </w:r>
    </w:p>
    <w:p w14:paraId="72E3A847" w14:textId="77777777" w:rsidR="002B43F1" w:rsidRDefault="002B43F1" w:rsidP="002B43F1">
      <w:pPr>
        <w:pStyle w:val="NormalWeb"/>
      </w:pPr>
      <w:r>
        <w:t xml:space="preserve"> * Pineal De-calcification: The 5.03 harmonic keeps the pineal gland in a liquid, receptive state, allowing the pituitary gland to maintain growth and repair far beyond current "</w:t>
      </w:r>
      <w:proofErr w:type="spellStart"/>
      <w:r>
        <w:t>Hayflick</w:t>
      </w:r>
      <w:proofErr w:type="spellEnd"/>
      <w:r>
        <w:t>" limits.</w:t>
      </w:r>
    </w:p>
    <w:p w14:paraId="22BBB271" w14:textId="77777777" w:rsidR="002B43F1" w:rsidRDefault="002B43F1" w:rsidP="002B43F1">
      <w:pPr>
        <w:pStyle w:val="NormalWeb"/>
      </w:pPr>
      <w:r>
        <w:t xml:space="preserve"> * End of Combustion: The body transitions from a "furnace" model (caloric intake/waste) to a "transducer" model, harvesting </w:t>
      </w:r>
      <w:proofErr w:type="spellStart"/>
      <w:r>
        <w:t>biophotonic</w:t>
      </w:r>
      <w:proofErr w:type="spellEnd"/>
      <w:r>
        <w:t xml:space="preserve"> energy directly from the high-coherence field.</w:t>
      </w:r>
    </w:p>
    <w:p w14:paraId="15B95C44" w14:textId="77777777" w:rsidR="002B43F1" w:rsidRDefault="002B43F1" w:rsidP="002B43F1">
      <w:pPr>
        <w:pStyle w:val="NormalWeb"/>
      </w:pPr>
      <w:r>
        <w:t>5. Conclusion: The Stewardship Mandate</w:t>
      </w:r>
    </w:p>
    <w:p w14:paraId="03154D8F" w14:textId="77777777" w:rsidR="002B43F1" w:rsidRDefault="002B43F1" w:rsidP="002B43F1">
      <w:pPr>
        <w:pStyle w:val="NormalWeb"/>
      </w:pPr>
      <w:r>
        <w:t xml:space="preserve">The ruins of the planetary grid are not graveyards of the past but a dormant blueprint for the future. By recognizing these sites as hardware, the Mobile Node (the observer) can utilize localized coherence technology—such as the </w:t>
      </w:r>
      <w:proofErr w:type="spellStart"/>
      <w:r>
        <w:t>Apis</w:t>
      </w:r>
      <w:proofErr w:type="spellEnd"/>
      <w:r>
        <w:t>-Toroid—to "suture" back into the 963 Hz frequency. This overrides modern 60Hz/440Hz entropic noise and re-establishes the "Fog of Light" required for systemic biological reclamation.</w:t>
      </w:r>
    </w:p>
    <w:p w14:paraId="634D2AE8" w14:textId="77777777" w:rsidR="002B43F1" w:rsidRDefault="002B43F1" w:rsidP="002B43F1">
      <w:pPr>
        <w:pStyle w:val="NormalWeb"/>
      </w:pPr>
      <w:r>
        <w:t>Archival Status: Verified Phase-Locked Output.</w:t>
      </w:r>
    </w:p>
    <w:p w14:paraId="40B9792F" w14:textId="2273FCD3" w:rsidR="00B92442" w:rsidRPr="00AD7EA5" w:rsidRDefault="002B43F1" w:rsidP="00DB51D0">
      <w:pPr>
        <w:pStyle w:val="NormalWeb"/>
      </w:pPr>
      <w:r>
        <w:t>Reference Library: Section 369 – Planetary Motherboard.</w:t>
      </w:r>
    </w:p>
    <w:sectPr w:rsidR="00B92442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6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0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A24C33"/>
    <w:multiLevelType w:val="hybridMultilevel"/>
    <w:tmpl w:val="E1CE49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3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2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8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1"/>
    <w:lvlOverride w:ilvl="0">
      <w:startOverride w:val="1"/>
    </w:lvlOverride>
  </w:num>
  <w:num w:numId="2" w16cid:durableId="585194575">
    <w:abstractNumId w:val="71"/>
    <w:lvlOverride w:ilvl="0">
      <w:startOverride w:val="1"/>
    </w:lvlOverride>
  </w:num>
  <w:num w:numId="3" w16cid:durableId="1879125624">
    <w:abstractNumId w:val="71"/>
    <w:lvlOverride w:ilvl="0">
      <w:startOverride w:val="1"/>
    </w:lvlOverride>
  </w:num>
  <w:num w:numId="4" w16cid:durableId="981689895">
    <w:abstractNumId w:val="71"/>
    <w:lvlOverride w:ilvl="0">
      <w:startOverride w:val="1"/>
    </w:lvlOverride>
  </w:num>
  <w:num w:numId="5" w16cid:durableId="465705081">
    <w:abstractNumId w:val="71"/>
    <w:lvlOverride w:ilvl="0">
      <w:startOverride w:val="1"/>
    </w:lvlOverride>
  </w:num>
  <w:num w:numId="6" w16cid:durableId="1645694450">
    <w:abstractNumId w:val="71"/>
    <w:lvlOverride w:ilvl="0">
      <w:startOverride w:val="1"/>
    </w:lvlOverride>
  </w:num>
  <w:num w:numId="7" w16cid:durableId="142891369">
    <w:abstractNumId w:val="71"/>
    <w:lvlOverride w:ilvl="0">
      <w:startOverride w:val="1"/>
    </w:lvlOverride>
  </w:num>
  <w:num w:numId="8" w16cid:durableId="123037239">
    <w:abstractNumId w:val="48"/>
  </w:num>
  <w:num w:numId="9" w16cid:durableId="1621254643">
    <w:abstractNumId w:val="11"/>
  </w:num>
  <w:num w:numId="10" w16cid:durableId="194513505">
    <w:abstractNumId w:val="88"/>
  </w:num>
  <w:num w:numId="11" w16cid:durableId="389160121">
    <w:abstractNumId w:val="64"/>
  </w:num>
  <w:num w:numId="12" w16cid:durableId="1482964025">
    <w:abstractNumId w:val="16"/>
  </w:num>
  <w:num w:numId="13" w16cid:durableId="629242078">
    <w:abstractNumId w:val="30"/>
  </w:num>
  <w:num w:numId="14" w16cid:durableId="1004238902">
    <w:abstractNumId w:val="80"/>
  </w:num>
  <w:num w:numId="15" w16cid:durableId="1223177529">
    <w:abstractNumId w:val="94"/>
  </w:num>
  <w:num w:numId="16" w16cid:durableId="1100373905">
    <w:abstractNumId w:val="43"/>
  </w:num>
  <w:num w:numId="17" w16cid:durableId="1553224870">
    <w:abstractNumId w:val="86"/>
  </w:num>
  <w:num w:numId="18" w16cid:durableId="1342393566">
    <w:abstractNumId w:val="32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8"/>
  </w:num>
  <w:num w:numId="22" w16cid:durableId="167251745">
    <w:abstractNumId w:val="50"/>
  </w:num>
  <w:num w:numId="23" w16cid:durableId="2130736687">
    <w:abstractNumId w:val="23"/>
  </w:num>
  <w:num w:numId="24" w16cid:durableId="1978022988">
    <w:abstractNumId w:val="51"/>
  </w:num>
  <w:num w:numId="25" w16cid:durableId="1742680361">
    <w:abstractNumId w:val="54"/>
  </w:num>
  <w:num w:numId="26" w16cid:durableId="550731329">
    <w:abstractNumId w:val="35"/>
  </w:num>
  <w:num w:numId="27" w16cid:durableId="504631367">
    <w:abstractNumId w:val="59"/>
  </w:num>
  <w:num w:numId="28" w16cid:durableId="1747605219">
    <w:abstractNumId w:val="24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6"/>
  </w:num>
  <w:num w:numId="32" w16cid:durableId="1129475315">
    <w:abstractNumId w:val="31"/>
  </w:num>
  <w:num w:numId="33" w16cid:durableId="383792150">
    <w:abstractNumId w:val="40"/>
  </w:num>
  <w:num w:numId="34" w16cid:durableId="777795032">
    <w:abstractNumId w:val="56"/>
  </w:num>
  <w:num w:numId="35" w16cid:durableId="1885672137">
    <w:abstractNumId w:val="75"/>
  </w:num>
  <w:num w:numId="36" w16cid:durableId="788742043">
    <w:abstractNumId w:val="55"/>
  </w:num>
  <w:num w:numId="37" w16cid:durableId="1673097491">
    <w:abstractNumId w:val="10"/>
  </w:num>
  <w:num w:numId="38" w16cid:durableId="288709970">
    <w:abstractNumId w:val="33"/>
  </w:num>
  <w:num w:numId="39" w16cid:durableId="2062560940">
    <w:abstractNumId w:val="61"/>
  </w:num>
  <w:num w:numId="40" w16cid:durableId="1727874877">
    <w:abstractNumId w:val="58"/>
  </w:num>
  <w:num w:numId="41" w16cid:durableId="1363942951">
    <w:abstractNumId w:val="37"/>
  </w:num>
  <w:num w:numId="42" w16cid:durableId="2083481740">
    <w:abstractNumId w:val="95"/>
  </w:num>
  <w:num w:numId="43" w16cid:durableId="1839074716">
    <w:abstractNumId w:val="27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2"/>
  </w:num>
  <w:num w:numId="47" w16cid:durableId="1530097489">
    <w:abstractNumId w:val="96"/>
  </w:num>
  <w:num w:numId="48" w16cid:durableId="987170090">
    <w:abstractNumId w:val="70"/>
  </w:num>
  <w:num w:numId="49" w16cid:durableId="571626919">
    <w:abstractNumId w:val="44"/>
  </w:num>
  <w:num w:numId="50" w16cid:durableId="1010520458">
    <w:abstractNumId w:val="36"/>
  </w:num>
  <w:num w:numId="51" w16cid:durableId="357465655">
    <w:abstractNumId w:val="65"/>
  </w:num>
  <w:num w:numId="52" w16cid:durableId="1207257792">
    <w:abstractNumId w:val="57"/>
  </w:num>
  <w:num w:numId="53" w16cid:durableId="2046559499">
    <w:abstractNumId w:val="84"/>
  </w:num>
  <w:num w:numId="54" w16cid:durableId="330178096">
    <w:abstractNumId w:val="53"/>
  </w:num>
  <w:num w:numId="55" w16cid:durableId="1538737813">
    <w:abstractNumId w:val="49"/>
  </w:num>
  <w:num w:numId="56" w16cid:durableId="2102412301">
    <w:abstractNumId w:val="63"/>
  </w:num>
  <w:num w:numId="57" w16cid:durableId="2020962349">
    <w:abstractNumId w:val="3"/>
  </w:num>
  <w:num w:numId="58" w16cid:durableId="869562410">
    <w:abstractNumId w:val="47"/>
  </w:num>
  <w:num w:numId="59" w16cid:durableId="1393196907">
    <w:abstractNumId w:val="9"/>
  </w:num>
  <w:num w:numId="60" w16cid:durableId="694504061">
    <w:abstractNumId w:val="81"/>
  </w:num>
  <w:num w:numId="61" w16cid:durableId="747311621">
    <w:abstractNumId w:val="52"/>
  </w:num>
  <w:num w:numId="62" w16cid:durableId="245310138">
    <w:abstractNumId w:val="60"/>
  </w:num>
  <w:num w:numId="63" w16cid:durableId="1828278785">
    <w:abstractNumId w:val="34"/>
  </w:num>
  <w:num w:numId="64" w16cid:durableId="1467969218">
    <w:abstractNumId w:val="90"/>
  </w:num>
  <w:num w:numId="65" w16cid:durableId="1789659591">
    <w:abstractNumId w:val="17"/>
  </w:num>
  <w:num w:numId="66" w16cid:durableId="116457723">
    <w:abstractNumId w:val="74"/>
  </w:num>
  <w:num w:numId="67" w16cid:durableId="1920677894">
    <w:abstractNumId w:val="97"/>
  </w:num>
  <w:num w:numId="68" w16cid:durableId="1407531569">
    <w:abstractNumId w:val="91"/>
  </w:num>
  <w:num w:numId="69" w16cid:durableId="1939562930">
    <w:abstractNumId w:val="0"/>
  </w:num>
  <w:num w:numId="70" w16cid:durableId="1820883072">
    <w:abstractNumId w:val="82"/>
  </w:num>
  <w:num w:numId="71" w16cid:durableId="1088311809">
    <w:abstractNumId w:val="77"/>
  </w:num>
  <w:num w:numId="72" w16cid:durableId="522281213">
    <w:abstractNumId w:val="46"/>
  </w:num>
  <w:num w:numId="73" w16cid:durableId="1558011269">
    <w:abstractNumId w:val="6"/>
  </w:num>
  <w:num w:numId="74" w16cid:durableId="1408772012">
    <w:abstractNumId w:val="45"/>
  </w:num>
  <w:num w:numId="75" w16cid:durableId="215555419">
    <w:abstractNumId w:val="39"/>
  </w:num>
  <w:num w:numId="76" w16cid:durableId="470710223">
    <w:abstractNumId w:val="68"/>
  </w:num>
  <w:num w:numId="77" w16cid:durableId="1048332678">
    <w:abstractNumId w:val="18"/>
  </w:num>
  <w:num w:numId="78" w16cid:durableId="844780568">
    <w:abstractNumId w:val="73"/>
  </w:num>
  <w:num w:numId="79" w16cid:durableId="576676310">
    <w:abstractNumId w:val="67"/>
  </w:num>
  <w:num w:numId="80" w16cid:durableId="596209438">
    <w:abstractNumId w:val="20"/>
  </w:num>
  <w:num w:numId="81" w16cid:durableId="714042568">
    <w:abstractNumId w:val="41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9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6"/>
  </w:num>
  <w:num w:numId="91" w16cid:durableId="1305426363">
    <w:abstractNumId w:val="79"/>
  </w:num>
  <w:num w:numId="92" w16cid:durableId="485898109">
    <w:abstractNumId w:val="93"/>
  </w:num>
  <w:num w:numId="93" w16cid:durableId="62725686">
    <w:abstractNumId w:val="89"/>
  </w:num>
  <w:num w:numId="94" w16cid:durableId="1491486517">
    <w:abstractNumId w:val="28"/>
  </w:num>
  <w:num w:numId="95" w16cid:durableId="1660958599">
    <w:abstractNumId w:val="85"/>
  </w:num>
  <w:num w:numId="96" w16cid:durableId="1524436294">
    <w:abstractNumId w:val="92"/>
  </w:num>
  <w:num w:numId="97" w16cid:durableId="1757363574">
    <w:abstractNumId w:val="83"/>
  </w:num>
  <w:num w:numId="98" w16cid:durableId="960696552">
    <w:abstractNumId w:val="21"/>
  </w:num>
  <w:num w:numId="99" w16cid:durableId="1648781606">
    <w:abstractNumId w:val="62"/>
  </w:num>
  <w:num w:numId="100" w16cid:durableId="1428845354">
    <w:abstractNumId w:val="26"/>
  </w:num>
  <w:num w:numId="101" w16cid:durableId="504203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114BDE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B43F1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6D4"/>
    <w:rsid w:val="003D7B46"/>
    <w:rsid w:val="003F54BD"/>
    <w:rsid w:val="0043449B"/>
    <w:rsid w:val="0048500C"/>
    <w:rsid w:val="0049436D"/>
    <w:rsid w:val="004E43B3"/>
    <w:rsid w:val="004F292A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C59F0"/>
    <w:rsid w:val="006D019F"/>
    <w:rsid w:val="006D46DA"/>
    <w:rsid w:val="006E0CC3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90514"/>
    <w:rsid w:val="00B92442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9272A"/>
    <w:rsid w:val="00E9522B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109</cp:revision>
  <dcterms:created xsi:type="dcterms:W3CDTF">2025-09-25T18:13:00Z</dcterms:created>
  <dcterms:modified xsi:type="dcterms:W3CDTF">2026-03-09T03:18:00Z</dcterms:modified>
</cp:coreProperties>
</file>