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2F5597"/>
          <w:sz w:val="32"/>
        </w:rPr>
        <w:t>SmartSense</w:t>
      </w:r>
    </w:p>
    <w:p>
      <w:pPr>
        <w:pStyle w:val="Title"/>
        <w:jc w:val="center"/>
      </w:pPr>
      <w:r>
        <w:rPr>
          <w:rFonts w:ascii="Aptos Display" w:hAnsi="Aptos Display" w:eastAsia="Aptos Display"/>
          <w:b/>
          <w:color w:val="15324B"/>
          <w:sz w:val="52"/>
        </w:rPr>
        <w:t>Critical Logic &amp; Process Specification</w:t>
      </w:r>
    </w:p>
    <w:p>
      <w:pPr>
        <w:jc w:val="center"/>
      </w:pPr>
      <w:r>
        <w:rPr>
          <w:rFonts w:ascii="Aptos" w:hAnsi="Aptos" w:eastAsia="Aptos"/>
          <w:b w:val="0"/>
        </w:rPr>
        <w:t>Controlled Baseline — Product-Owner Approved</w:t>
      </w:r>
    </w:p>
    <w:p>
      <w:pPr>
        <w:jc w:val="center"/>
      </w:pPr>
      <w:r>
        <w:rPr>
          <w:rFonts w:ascii="Aptos" w:hAnsi="Aptos" w:eastAsia="Aptos"/>
          <w:b w:val="0"/>
          <w:color w:val="15324B"/>
          <w:sz w:val="24"/>
        </w:rPr>
        <w:t>Merge IDs 1–72</w:t>
      </w:r>
    </w:p>
    <w:p/>
    <w:tbl>
      <w:tblPr>
        <w:tblStyle w:val="TableGrid"/>
        <w:tblW w:type="auto" w:w="0"/>
        <w:jc w:val="center"/>
        <w:tblLook w:firstColumn="1" w:firstRow="1" w:lastColumn="0" w:lastRow="0" w:noHBand="0" w:noVBand="1" w:val="04A0"/>
      </w:tblPr>
      <w:tblGrid>
        <w:gridCol w:w="5083"/>
        <w:gridCol w:w="5083"/>
      </w:tblGrid>
      <w:tr>
        <w:tc>
          <w:tcPr>
            <w:tcW w:type="dxa" w:w="5083"/>
            <w:shd w:fill="DCE6F1"/>
            <w:tcMar>
              <w:top w:w="70" w:type="dxa"/>
              <w:start w:w="80" w:type="dxa"/>
              <w:bottom w:w="70" w:type="dxa"/>
              <w:end w:w="80" w:type="dxa"/>
            </w:tcMar>
            <w:vAlign w:val="center"/>
          </w:tcPr>
          <w:p>
            <w:r>
              <w:rPr>
                <w:rFonts w:ascii="Aptos" w:hAnsi="Aptos" w:eastAsia="Aptos"/>
                <w:b w:val="0"/>
                <w:sz w:val="18"/>
              </w:rPr>
              <w:t>Package Version</w:t>
            </w:r>
          </w:p>
        </w:tc>
        <w:tc>
          <w:tcPr>
            <w:tcW w:type="dxa" w:w="5083"/>
            <w:tcMar>
              <w:top w:w="70" w:type="dxa"/>
              <w:start w:w="80" w:type="dxa"/>
              <w:bottom w:w="70" w:type="dxa"/>
              <w:end w:w="80" w:type="dxa"/>
            </w:tcMar>
            <w:vAlign w:val="center"/>
          </w:tcPr>
          <w:p>
            <w:r>
              <w:t>v0.8</w:t>
            </w:r>
          </w:p>
        </w:tc>
      </w:tr>
      <w:tr>
        <w:tc>
          <w:tcPr>
            <w:tcW w:type="dxa" w:w="5083"/>
            <w:shd w:fill="DCE6F1"/>
            <w:tcMar>
              <w:top w:w="70" w:type="dxa"/>
              <w:start w:w="80" w:type="dxa"/>
              <w:bottom w:w="70" w:type="dxa"/>
              <w:end w:w="80" w:type="dxa"/>
            </w:tcMar>
            <w:vAlign w:val="center"/>
          </w:tcPr>
          <w:p>
            <w:r>
              <w:rPr>
                <w:rFonts w:ascii="Aptos" w:hAnsi="Aptos" w:eastAsia="Aptos"/>
                <w:b w:val="0"/>
                <w:sz w:val="18"/>
              </w:rPr>
              <w:t>Candidate Date</w:t>
            </w:r>
          </w:p>
        </w:tc>
        <w:tc>
          <w:tcPr>
            <w:tcW w:type="dxa" w:w="5083"/>
            <w:tcMar>
              <w:top w:w="70" w:type="dxa"/>
              <w:start w:w="80" w:type="dxa"/>
              <w:bottom w:w="70" w:type="dxa"/>
              <w:end w:w="80" w:type="dxa"/>
            </w:tcMar>
            <w:vAlign w:val="center"/>
          </w:tcPr>
          <w:p>
            <w:r>
              <w:t>August 12, 2026</w:t>
            </w:r>
          </w:p>
        </w:tc>
      </w:tr>
      <w:tr>
        <w:tc>
          <w:tcPr>
            <w:tcW w:type="dxa" w:w="5083"/>
            <w:shd w:fill="DCE6F1"/>
            <w:tcMar>
              <w:top w:w="70" w:type="dxa"/>
              <w:start w:w="80" w:type="dxa"/>
              <w:bottom w:w="70" w:type="dxa"/>
              <w:end w:w="80" w:type="dxa"/>
            </w:tcMar>
            <w:vAlign w:val="center"/>
          </w:tcPr>
          <w:p>
            <w:r>
              <w:rPr>
                <w:rFonts w:ascii="Aptos" w:hAnsi="Aptos" w:eastAsia="Aptos"/>
                <w:b w:val="0"/>
                <w:sz w:val="18"/>
              </w:rPr>
              <w:t>Definition Authority</w:t>
            </w:r>
          </w:p>
        </w:tc>
        <w:tc>
          <w:tcPr>
            <w:tcW w:type="dxa" w:w="5083"/>
            <w:tcMar>
              <w:top w:w="70" w:type="dxa"/>
              <w:start w:w="80" w:type="dxa"/>
              <w:bottom w:w="70" w:type="dxa"/>
              <w:end w:w="80" w:type="dxa"/>
            </w:tcMar>
            <w:vAlign w:val="center"/>
          </w:tcPr>
          <w:p>
            <w:r>
              <w:t>Product-owner logic review through 2026-08-12</w:t>
            </w:r>
          </w:p>
        </w:tc>
      </w:tr>
      <w:tr>
        <w:tc>
          <w:tcPr>
            <w:tcW w:type="dxa" w:w="5083"/>
            <w:shd w:fill="DCE6F1"/>
            <w:tcMar>
              <w:top w:w="70" w:type="dxa"/>
              <w:start w:w="80" w:type="dxa"/>
              <w:bottom w:w="70" w:type="dxa"/>
              <w:end w:w="80" w:type="dxa"/>
            </w:tcMar>
            <w:vAlign w:val="center"/>
          </w:tcPr>
          <w:p>
            <w:r>
              <w:rPr>
                <w:rFonts w:ascii="Aptos" w:hAnsi="Aptos" w:eastAsia="Aptos"/>
                <w:b w:val="0"/>
                <w:sz w:val="18"/>
              </w:rPr>
              <w:t>Companion Register</w:t>
            </w:r>
          </w:p>
        </w:tc>
        <w:tc>
          <w:tcPr>
            <w:tcW w:type="dxa" w:w="5083"/>
            <w:tcMar>
              <w:top w:w="70" w:type="dxa"/>
              <w:start w:w="80" w:type="dxa"/>
              <w:bottom w:w="70" w:type="dxa"/>
              <w:end w:w="80" w:type="dxa"/>
            </w:tcMar>
            <w:vAlign w:val="center"/>
          </w:tcPr>
          <w:p>
            <w:r>
              <w:t>SmartSense Critical Logic Register v0.10</w:t>
            </w:r>
          </w:p>
        </w:tc>
      </w:tr>
      <w:tr>
        <w:tc>
          <w:tcPr>
            <w:tcW w:type="dxa" w:w="5083"/>
            <w:shd w:fill="DCE6F1"/>
            <w:tcMar>
              <w:top w:w="70" w:type="dxa"/>
              <w:start w:w="80" w:type="dxa"/>
              <w:bottom w:w="70" w:type="dxa"/>
              <w:end w:w="80" w:type="dxa"/>
            </w:tcMar>
            <w:vAlign w:val="center"/>
          </w:tcPr>
          <w:p>
            <w:r>
              <w:rPr>
                <w:rFonts w:ascii="Aptos" w:hAnsi="Aptos" w:eastAsia="Aptos"/>
                <w:b w:val="0"/>
                <w:sz w:val="18"/>
              </w:rPr>
              <w:t>Prior Controlled Baseline</w:t>
            </w:r>
          </w:p>
        </w:tc>
        <w:tc>
          <w:tcPr>
            <w:tcW w:type="dxa" w:w="5083"/>
            <w:tcMar>
              <w:top w:w="70" w:type="dxa"/>
              <w:start w:w="80" w:type="dxa"/>
              <w:bottom w:w="70" w:type="dxa"/>
              <w:end w:w="80" w:type="dxa"/>
            </w:tcMar>
            <w:vAlign w:val="center"/>
          </w:tcPr>
          <w:p>
            <w:r>
              <w:t>Superseded baseline: Register v0.9 + Process Specification v0.7</w:t>
            </w:r>
          </w:p>
        </w:tc>
      </w:tr>
      <w:tr>
        <w:tc>
          <w:tcPr>
            <w:tcW w:type="dxa" w:w="5083"/>
            <w:shd w:fill="DCE6F1"/>
            <w:tcMar>
              <w:top w:w="70" w:type="dxa"/>
              <w:start w:w="80" w:type="dxa"/>
              <w:bottom w:w="70" w:type="dxa"/>
              <w:end w:w="80" w:type="dxa"/>
            </w:tcMar>
            <w:vAlign w:val="center"/>
          </w:tcPr>
          <w:p>
            <w:r>
              <w:rPr>
                <w:rFonts w:ascii="Aptos" w:hAnsi="Aptos" w:eastAsia="Aptos"/>
                <w:b w:val="0"/>
                <w:sz w:val="18"/>
              </w:rPr>
              <w:t>Team Approval</w:t>
            </w:r>
          </w:p>
        </w:tc>
        <w:tc>
          <w:tcPr>
            <w:tcW w:type="dxa" w:w="5083"/>
            <w:tcMar>
              <w:top w:w="70" w:type="dxa"/>
              <w:start w:w="80" w:type="dxa"/>
              <w:bottom w:w="70" w:type="dxa"/>
              <w:end w:w="80" w:type="dxa"/>
            </w:tcMar>
            <w:vAlign w:val="center"/>
          </w:tcPr>
          <w:p>
            <w:r>
              <w:t>Product Owner approved controlled baseline; developer/team validation remains pending only where explicitly identified.</w:t>
            </w:r>
          </w:p>
        </w:tc>
      </w:tr>
      <w:tr>
        <w:tc>
          <w:tcPr>
            <w:tcW w:type="dxa" w:w="5083"/>
            <w:shd w:fill="DCE6F1"/>
            <w:tcMar>
              <w:top w:w="70" w:type="dxa"/>
              <w:start w:w="80" w:type="dxa"/>
              <w:bottom w:w="70" w:type="dxa"/>
              <w:end w:w="80" w:type="dxa"/>
            </w:tcMar>
            <w:vAlign w:val="center"/>
          </w:tcPr>
          <w:p>
            <w:r>
              <w:rPr>
                <w:rFonts w:ascii="Aptos" w:hAnsi="Aptos" w:eastAsia="Aptos"/>
                <w:b w:val="0"/>
                <w:sz w:val="18"/>
              </w:rPr>
              <w:t>Authority State</w:t>
            </w:r>
          </w:p>
        </w:tc>
        <w:tc>
          <w:tcPr>
            <w:tcW w:type="dxa" w:w="5083"/>
            <w:tcMar>
              <w:top w:w="70" w:type="dxa"/>
              <w:start w:w="80" w:type="dxa"/>
              <w:bottom w:w="70" w:type="dxa"/>
              <w:end w:w="80" w:type="dxa"/>
            </w:tcMar>
            <w:vAlign w:val="center"/>
          </w:tcPr>
          <w:p>
            <w:r>
              <w:t>CONTROLLED — CURRENT BASELINE effective August 12, 2026</w:t>
            </w:r>
          </w:p>
        </w:tc>
      </w:tr>
    </w:tbl>
    <w:p/>
    <w:p>
      <w:pPr>
        <w:jc w:val="center"/>
      </w:pPr>
      <w:r>
        <w:rPr>
          <w:rFonts w:ascii="Aptos" w:hAnsi="Aptos" w:eastAsia="Aptos"/>
          <w:b/>
          <w:color w:val="15324B"/>
          <w:sz w:val="20"/>
        </w:rPr>
        <w:t>Governance rule</w:t>
      </w:r>
    </w:p>
    <w:p>
      <w:pPr>
        <w:jc w:val="center"/>
      </w:pPr>
      <w:r>
        <w:rPr>
          <w:rFonts w:ascii="Aptos" w:hAnsi="Aptos" w:eastAsia="Aptos"/>
          <w:b w:val="0"/>
          <w:color w:val="334155"/>
          <w:sz w:val="20"/>
        </w:rPr>
        <w:t>Approved controlled SmartSense documentation defines target product behavior. Existing code, databases, prototypes, reviews, developer notes and historical documents are evidence of current state only and may not silently override controlled requirements.</w:t>
      </w:r>
    </w:p>
    <w:p>
      <w:pPr>
        <w:jc w:val="center"/>
      </w:pPr>
      <w:r>
        <w:t>Baseline update record: the Product Owner accepted the v0.7/v0.5 baseline on August 11, 2026; approved D-121 / CHG-035 for Gateway-only temperature/humidity and accelerometer capability; approved CHG-036 for mobile TPMS pairing responsiveness and Imperial first-use defaults; and on August 12, 2026 approved CHG-037 covering multi-RV retail access, Primary Owner TPMS service authority, server-authoritative cross-VIN sensor eligibility, and Significant G Event presentation/lifecycle. Current target behavior is controlled by Register v0.10 + this Specification v0.8. Legacy decision/change evidence remains preserved in the archived controlled chain.</w:t>
      </w:r>
    </w:p>
    <w:p>
      <w:r>
        <w:br w:type="page"/>
      </w:r>
    </w:p>
    <w:p>
      <w:pPr>
        <w:pStyle w:val="Heading1"/>
        <w:keepNext/>
      </w:pPr>
      <w:r>
        <w:t>Document Control &amp; Governance</w:t>
      </w:r>
    </w:p>
    <w:p>
      <w:r>
        <w:rPr>
          <w:b/>
        </w:rPr>
        <w:t xml:space="preserve">Role of this document. </w:t>
      </w:r>
      <w:r>
        <w:t>The Critical Logic Register answers what is controlled and its status/traceability; this specification answers what the behavior means. The two artifacts must remain synchronized.</w:t>
      </w:r>
    </w:p>
    <w:p>
      <w:pPr>
        <w:pStyle w:val="Heading2"/>
        <w:keepNext/>
      </w:pPr>
      <w:r>
        <w:t>Versioning Rules</w:t>
      </w:r>
    </w:p>
    <w:p>
      <w:pPr>
        <w:pStyle w:val="RequirementBullet"/>
      </w:pPr>
      <w:r>
        <w:t>• v0.x — draft, partial or work-in-progress process logic that is not yet fully defined.</w:t>
      </w:r>
    </w:p>
    <w:p>
      <w:pPr>
        <w:pStyle w:val="RequirementBullet"/>
      </w:pPr>
      <w:r>
        <w:t>• v1.0 — first product-owner-defined version of a process.</w:t>
      </w:r>
    </w:p>
    <w:p>
      <w:pPr>
        <w:pStyle w:val="RequirementBullet"/>
      </w:pPr>
      <w:r>
        <w:t>• v1.x — clarification or limited change that does not fundamentally replace the process model.</w:t>
      </w:r>
    </w:p>
    <w:p>
      <w:pPr>
        <w:pStyle w:val="RequirementBullet"/>
      </w:pPr>
      <w:r>
        <w:t>• v2.0+ — material behavioral change after a prior v1.x definition.</w:t>
      </w:r>
    </w:p>
    <w:p>
      <w:pPr>
        <w:pStyle w:val="RequirementBullet"/>
      </w:pPr>
      <w:r>
        <w:t>• Package version and per-process version are separate. Package v0.8 identifies this specification revision; each Merge ID retains its own process version.</w:t>
      </w:r>
    </w:p>
    <w:p>
      <w:pPr>
        <w:pStyle w:val="RequirementBullet"/>
      </w:pPr>
      <w:r>
        <w:t>• Approved logic is never silently overwritten. A material change requires a process-version increment, Decision Register traceability and an append-only Change Log entry.</w:t>
      </w:r>
    </w:p>
    <w:p>
      <w:pPr>
        <w:pStyle w:val="Heading2"/>
        <w:keepNext/>
      </w:pPr>
      <w:r>
        <w:t>Definition Status vs Phase / Scope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F5597"/>
          </w:tcPr>
          <w:p>
            <w:r>
              <w:rPr>
                <w:rFonts w:ascii="Aptos" w:hAnsi="Aptos" w:eastAsia="Aptos"/>
                <w:b/>
                <w:color w:val="FFFFFF"/>
                <w:sz w:val="17"/>
              </w:rPr>
              <w:t>Field</w:t>
            </w:r>
          </w:p>
        </w:tc>
        <w:tc>
          <w:tcPr>
            <w:tcW w:type="dxa" w:w="3389"/>
            <w:shd w:fill="2F5597"/>
          </w:tcPr>
          <w:p>
            <w:r>
              <w:rPr>
                <w:rFonts w:ascii="Aptos" w:hAnsi="Aptos" w:eastAsia="Aptos"/>
                <w:b/>
                <w:color w:val="FFFFFF"/>
                <w:sz w:val="17"/>
              </w:rPr>
              <w:t>Value</w:t>
            </w:r>
          </w:p>
        </w:tc>
        <w:tc>
          <w:tcPr>
            <w:tcW w:type="dxa" w:w="3389"/>
            <w:shd w:fill="2F5597"/>
          </w:tcPr>
          <w:p>
            <w:r>
              <w:rPr>
                <w:rFonts w:ascii="Aptos" w:hAnsi="Aptos" w:eastAsia="Aptos"/>
                <w:b/>
                <w:color w:val="FFFFFF"/>
                <w:sz w:val="17"/>
              </w:rPr>
              <w:t>Meaning</w:t>
            </w:r>
          </w:p>
        </w:tc>
      </w:tr>
      <w:tr>
        <w:tc>
          <w:tcPr>
            <w:tcW w:type="dxa" w:w="3389"/>
            <w:tcMar>
              <w:top w:w="70" w:type="dxa"/>
              <w:start w:w="80" w:type="dxa"/>
              <w:bottom w:w="70" w:type="dxa"/>
              <w:end w:w="80" w:type="dxa"/>
            </w:tcMar>
          </w:tcPr>
          <w:p>
            <w:r>
              <w:rPr>
                <w:rFonts w:ascii="Aptos" w:hAnsi="Aptos" w:eastAsia="Aptos"/>
                <w:b/>
                <w:sz w:val="16"/>
              </w:rPr>
              <w:t>Definition Status</w:t>
            </w:r>
          </w:p>
        </w:tc>
        <w:tc>
          <w:tcPr>
            <w:tcW w:type="dxa" w:w="3389"/>
            <w:tcMar>
              <w:top w:w="70" w:type="dxa"/>
              <w:start w:w="80" w:type="dxa"/>
              <w:bottom w:w="70" w:type="dxa"/>
              <w:end w:w="80" w:type="dxa"/>
            </w:tcMar>
          </w:tcPr>
          <w:p>
            <w:r>
              <w:rPr>
                <w:rFonts w:ascii="Aptos" w:hAnsi="Aptos" w:eastAsia="Aptos"/>
                <w:b w:val="0"/>
                <w:sz w:val="16"/>
              </w:rPr>
              <w:t>DEFINED</w:t>
            </w:r>
          </w:p>
        </w:tc>
        <w:tc>
          <w:tcPr>
            <w:tcW w:type="dxa" w:w="3389"/>
            <w:tcMar>
              <w:top w:w="70" w:type="dxa"/>
              <w:start w:w="80" w:type="dxa"/>
              <w:bottom w:w="70" w:type="dxa"/>
              <w:end w:w="80" w:type="dxa"/>
            </w:tcMar>
          </w:tcPr>
          <w:p>
            <w:r>
              <w:rPr>
                <w:rFonts w:ascii="Aptos" w:hAnsi="Aptos" w:eastAsia="Aptos"/>
                <w:b w:val="0"/>
                <w:sz w:val="16"/>
              </w:rPr>
              <w:t>Product-owner logic is sufficiently specified for the stated scope; team validation may still be pending.</w:t>
            </w:r>
          </w:p>
        </w:tc>
      </w:tr>
      <w:tr>
        <w:tc>
          <w:tcPr>
            <w:tcW w:type="dxa" w:w="3389"/>
            <w:tcMar>
              <w:top w:w="70" w:type="dxa"/>
              <w:start w:w="80" w:type="dxa"/>
              <w:bottom w:w="70" w:type="dxa"/>
              <w:end w:w="80" w:type="dxa"/>
            </w:tcMar>
          </w:tcPr>
          <w:p>
            <w:r>
              <w:rPr>
                <w:rFonts w:ascii="Aptos" w:hAnsi="Aptos" w:eastAsia="Aptos"/>
                <w:b/>
                <w:sz w:val="16"/>
              </w:rPr>
              <w:t>Definition Status</w:t>
            </w:r>
          </w:p>
        </w:tc>
        <w:tc>
          <w:tcPr>
            <w:tcW w:type="dxa" w:w="3389"/>
            <w:tcMar>
              <w:top w:w="70" w:type="dxa"/>
              <w:start w:w="80" w:type="dxa"/>
              <w:bottom w:w="70" w:type="dxa"/>
              <w:end w:w="80" w:type="dxa"/>
            </w:tcMar>
          </w:tcPr>
          <w:p>
            <w:r>
              <w:rPr>
                <w:rFonts w:ascii="Aptos" w:hAnsi="Aptos" w:eastAsia="Aptos"/>
                <w:b w:val="0"/>
                <w:sz w:val="16"/>
              </w:rPr>
              <w:t>PARTIAL / WIP</w:t>
            </w:r>
          </w:p>
        </w:tc>
        <w:tc>
          <w:tcPr>
            <w:tcW w:type="dxa" w:w="3389"/>
            <w:tcMar>
              <w:top w:w="70" w:type="dxa"/>
              <w:start w:w="80" w:type="dxa"/>
              <w:bottom w:w="70" w:type="dxa"/>
              <w:end w:w="80" w:type="dxa"/>
            </w:tcMar>
          </w:tcPr>
          <w:p>
            <w:r>
              <w:rPr>
                <w:rFonts w:ascii="Aptos" w:hAnsi="Aptos" w:eastAsia="Aptos"/>
                <w:b w:val="0"/>
                <w:sz w:val="16"/>
              </w:rPr>
              <w:t>Some behavior is confirmed but implementation-critical product or technical details remain explicitly open.</w:t>
            </w:r>
          </w:p>
        </w:tc>
      </w:tr>
      <w:tr>
        <w:tc>
          <w:tcPr>
            <w:tcW w:type="dxa" w:w="3389"/>
            <w:tcMar>
              <w:top w:w="70" w:type="dxa"/>
              <w:start w:w="80" w:type="dxa"/>
              <w:bottom w:w="70" w:type="dxa"/>
              <w:end w:w="80" w:type="dxa"/>
            </w:tcMar>
          </w:tcPr>
          <w:p>
            <w:r>
              <w:rPr>
                <w:rFonts w:ascii="Aptos" w:hAnsi="Aptos" w:eastAsia="Aptos"/>
                <w:b/>
                <w:sz w:val="16"/>
              </w:rPr>
              <w:t>Definition Status</w:t>
            </w:r>
          </w:p>
        </w:tc>
        <w:tc>
          <w:tcPr>
            <w:tcW w:type="dxa" w:w="3389"/>
            <w:tcMar>
              <w:top w:w="70" w:type="dxa"/>
              <w:start w:w="80" w:type="dxa"/>
              <w:bottom w:w="70" w:type="dxa"/>
              <w:end w:w="80" w:type="dxa"/>
            </w:tcMar>
          </w:tcPr>
          <w:p>
            <w:r>
              <w:rPr>
                <w:rFonts w:ascii="Aptos" w:hAnsi="Aptos" w:eastAsia="Aptos"/>
                <w:b w:val="0"/>
                <w:sz w:val="16"/>
              </w:rPr>
              <w:t>DEFERRED</w:t>
            </w:r>
          </w:p>
        </w:tc>
        <w:tc>
          <w:tcPr>
            <w:tcW w:type="dxa" w:w="3389"/>
            <w:tcMar>
              <w:top w:w="70" w:type="dxa"/>
              <w:start w:w="80" w:type="dxa"/>
              <w:bottom w:w="70" w:type="dxa"/>
              <w:end w:w="80" w:type="dxa"/>
            </w:tcMar>
          </w:tcPr>
          <w:p>
            <w:r>
              <w:rPr>
                <w:rFonts w:ascii="Aptos" w:hAnsi="Aptos" w:eastAsia="Aptos"/>
                <w:b w:val="0"/>
                <w:sz w:val="16"/>
              </w:rPr>
              <w:t>Process is intentionally not being defined now and must not block current development.</w:t>
            </w:r>
          </w:p>
        </w:tc>
      </w:tr>
      <w:tr>
        <w:tc>
          <w:tcPr>
            <w:tcW w:type="dxa" w:w="3389"/>
            <w:tcMar>
              <w:top w:w="70" w:type="dxa"/>
              <w:start w:w="80" w:type="dxa"/>
              <w:bottom w:w="70" w:type="dxa"/>
              <w:end w:w="80" w:type="dxa"/>
            </w:tcMar>
          </w:tcPr>
          <w:p>
            <w:r>
              <w:rPr>
                <w:rFonts w:ascii="Aptos" w:hAnsi="Aptos" w:eastAsia="Aptos"/>
                <w:b/>
                <w:sz w:val="16"/>
              </w:rPr>
              <w:t>Definition Status</w:t>
            </w:r>
          </w:p>
        </w:tc>
        <w:tc>
          <w:tcPr>
            <w:tcW w:type="dxa" w:w="3389"/>
            <w:tcMar>
              <w:top w:w="70" w:type="dxa"/>
              <w:start w:w="80" w:type="dxa"/>
              <w:bottom w:w="70" w:type="dxa"/>
              <w:end w:w="80" w:type="dxa"/>
            </w:tcMar>
          </w:tcPr>
          <w:p>
            <w:r>
              <w:rPr>
                <w:rFonts w:ascii="Aptos" w:hAnsi="Aptos" w:eastAsia="Aptos"/>
                <w:b w:val="0"/>
                <w:sz w:val="16"/>
              </w:rPr>
              <w:t>MERGED / DUPLICATE</w:t>
            </w:r>
          </w:p>
        </w:tc>
        <w:tc>
          <w:tcPr>
            <w:tcW w:type="dxa" w:w="3389"/>
            <w:tcMar>
              <w:top w:w="70" w:type="dxa"/>
              <w:start w:w="80" w:type="dxa"/>
              <w:bottom w:w="70" w:type="dxa"/>
              <w:end w:w="80" w:type="dxa"/>
            </w:tcMar>
          </w:tcPr>
          <w:p>
            <w:r>
              <w:rPr>
                <w:rFonts w:ascii="Aptos" w:hAnsi="Aptos" w:eastAsia="Aptos"/>
                <w:b w:val="0"/>
                <w:sz w:val="16"/>
              </w:rPr>
              <w:t>Source item remains traceable but its behavior is governed by another defined process.</w:t>
            </w:r>
          </w:p>
        </w:tc>
      </w:tr>
      <w:tr>
        <w:tc>
          <w:tcPr>
            <w:tcW w:type="dxa" w:w="3389"/>
            <w:tcMar>
              <w:top w:w="70" w:type="dxa"/>
              <w:start w:w="80" w:type="dxa"/>
              <w:bottom w:w="70" w:type="dxa"/>
              <w:end w:w="80" w:type="dxa"/>
            </w:tcMar>
          </w:tcPr>
          <w:p>
            <w:r>
              <w:rPr>
                <w:rFonts w:ascii="Aptos" w:hAnsi="Aptos" w:eastAsia="Aptos"/>
                <w:b/>
                <w:sz w:val="16"/>
              </w:rPr>
              <w:t>Phase / Scope</w:t>
            </w:r>
          </w:p>
        </w:tc>
        <w:tc>
          <w:tcPr>
            <w:tcW w:type="dxa" w:w="3389"/>
            <w:tcMar>
              <w:top w:w="70" w:type="dxa"/>
              <w:start w:w="80" w:type="dxa"/>
              <w:bottom w:w="70" w:type="dxa"/>
              <w:end w:w="80" w:type="dxa"/>
            </w:tcMar>
          </w:tcPr>
          <w:p>
            <w:r>
              <w:rPr>
                <w:rFonts w:ascii="Aptos" w:hAnsi="Aptos" w:eastAsia="Aptos"/>
                <w:b w:val="0"/>
                <w:sz w:val="16"/>
              </w:rPr>
              <w:t>Phase 1 / Current Scope</w:t>
            </w:r>
          </w:p>
        </w:tc>
        <w:tc>
          <w:tcPr>
            <w:tcW w:type="dxa" w:w="3389"/>
            <w:tcMar>
              <w:top w:w="70" w:type="dxa"/>
              <w:start w:w="80" w:type="dxa"/>
              <w:bottom w:w="70" w:type="dxa"/>
              <w:end w:w="80" w:type="dxa"/>
            </w:tcMar>
          </w:tcPr>
          <w:p>
            <w:r>
              <w:rPr>
                <w:rFonts w:ascii="Aptos" w:hAnsi="Aptos" w:eastAsia="Aptos"/>
                <w:b w:val="0"/>
                <w:sz w:val="16"/>
              </w:rPr>
              <w:t>Expected in current delivery scope; this field does not imply that implementation is complete.</w:t>
            </w:r>
          </w:p>
        </w:tc>
      </w:tr>
      <w:tr>
        <w:tc>
          <w:tcPr>
            <w:tcW w:type="dxa" w:w="3389"/>
            <w:tcMar>
              <w:top w:w="70" w:type="dxa"/>
              <w:start w:w="80" w:type="dxa"/>
              <w:bottom w:w="70" w:type="dxa"/>
              <w:end w:w="80" w:type="dxa"/>
            </w:tcMar>
          </w:tcPr>
          <w:p>
            <w:r>
              <w:rPr>
                <w:rFonts w:ascii="Aptos" w:hAnsi="Aptos" w:eastAsia="Aptos"/>
                <w:b/>
                <w:sz w:val="16"/>
              </w:rPr>
              <w:t>Phase / Scope</w:t>
            </w:r>
          </w:p>
        </w:tc>
        <w:tc>
          <w:tcPr>
            <w:tcW w:type="dxa" w:w="3389"/>
            <w:tcMar>
              <w:top w:w="70" w:type="dxa"/>
              <w:start w:w="80" w:type="dxa"/>
              <w:bottom w:w="70" w:type="dxa"/>
              <w:end w:w="80" w:type="dxa"/>
            </w:tcMar>
          </w:tcPr>
          <w:p>
            <w:r>
              <w:rPr>
                <w:rFonts w:ascii="Aptos" w:hAnsi="Aptos" w:eastAsia="Aptos"/>
                <w:b w:val="0"/>
                <w:sz w:val="16"/>
              </w:rPr>
              <w:t>Future / Deferred</w:t>
            </w:r>
          </w:p>
        </w:tc>
        <w:tc>
          <w:tcPr>
            <w:tcW w:type="dxa" w:w="3389"/>
            <w:tcMar>
              <w:top w:w="70" w:type="dxa"/>
              <w:start w:w="80" w:type="dxa"/>
              <w:bottom w:w="70" w:type="dxa"/>
              <w:end w:w="80" w:type="dxa"/>
            </w:tcMar>
          </w:tcPr>
          <w:p>
            <w:r>
              <w:rPr>
                <w:rFonts w:ascii="Aptos" w:hAnsi="Aptos" w:eastAsia="Aptos"/>
                <w:b w:val="0"/>
                <w:sz w:val="16"/>
              </w:rPr>
              <w:t>Not a current delivery requirement, even when high-level boundaries are already defined.</w:t>
            </w:r>
          </w:p>
        </w:tc>
      </w:tr>
    </w:tbl>
    <w:p>
      <w:pPr>
        <w:pStyle w:val="Heading2"/>
        <w:keepNext/>
      </w:pPr>
      <w:r>
        <w:t>Open-Item Vocabulary</w:t>
      </w:r>
    </w:p>
    <w:p>
      <w:pPr>
        <w:pStyle w:val="RequirementBullet"/>
      </w:pPr>
      <w:r>
        <w:rPr>
          <w:b/>
        </w:rPr>
        <w:t xml:space="preserve">• OPEN: </w:t>
      </w:r>
      <w:r>
        <w:t>A product decision/detail is still unresolved; implementation may not fill it by assumption.</w:t>
      </w:r>
    </w:p>
    <w:p>
      <w:pPr>
        <w:pStyle w:val="RequirementBullet"/>
      </w:pPr>
      <w:r>
        <w:rPr>
          <w:b/>
        </w:rPr>
        <w:t xml:space="preserve">• WIP: </w:t>
      </w:r>
      <w:r>
        <w:t>Product intent may be defined but developer/technical confirmation remains pending.</w:t>
      </w:r>
    </w:p>
    <w:p>
      <w:pPr>
        <w:pStyle w:val="RequirementBullet"/>
      </w:pPr>
      <w:r>
        <w:rPr>
          <w:b/>
        </w:rPr>
        <w:t xml:space="preserve">• DEFERRED: </w:t>
      </w:r>
      <w:r>
        <w:t>The item is intentionally postponed to a future phase and must not block current scope.</w:t>
      </w:r>
    </w:p>
    <w:p>
      <w:pPr>
        <w:pStyle w:val="RequirementBullet"/>
      </w:pPr>
      <w:r>
        <w:rPr>
          <w:b/>
        </w:rPr>
        <w:t xml:space="preserve">• RESOLVED BY: </w:t>
      </w:r>
      <w:r>
        <w:t>The prior open item remains traceable but has been closed by a controlled Merge/Decision.</w:t>
      </w:r>
    </w:p>
    <w:p>
      <w:pPr>
        <w:pStyle w:val="Heading2"/>
        <w:keepNext/>
      </w:pPr>
      <w:r>
        <w:t>Template Tiers</w:t>
      </w:r>
    </w:p>
    <w:p>
      <w:r>
        <w:rPr>
          <w:b/>
        </w:rPr>
        <w:t xml:space="preserve">Tier A — interaction/safety/high-risk processes: </w:t>
      </w:r>
      <w:r>
        <w:t>purpose, confirmed requirements, process flow where useful, operational boundaries, open items and acceptance/test implications.</w:t>
      </w:r>
    </w:p>
    <w:p>
      <w:r>
        <w:rPr>
          <w:b/>
        </w:rPr>
        <w:t xml:space="preserve">Tier B — lower-interaction/policy/future processes: </w:t>
      </w:r>
      <w:r>
        <w:t>purpose, controlled requirements/boundaries, open items and acceptance/test implications. Diagrams are used only when they reduce ambiguity; normative text remains controlling.</w:t>
      </w:r>
    </w:p>
    <w:p>
      <w:pPr>
        <w:pStyle w:val="Heading2"/>
        <w:keepNext/>
      </w:pPr>
      <w:r>
        <w:t>Source Integrity</w:t>
      </w:r>
    </w:p>
    <w:p>
      <w:r>
        <w:t>Current controlled baseline: SmartSense Critical Logic Register v0.10 and Critical Logic &amp; Process Specification v0.8, effective August 12, 2026.</w:t>
      </w:r>
    </w:p>
    <w:p>
      <w:r>
        <w:rPr>
          <w:b/>
        </w:rPr>
        <w:t xml:space="preserve">Approved change input: </w:t>
      </w:r>
      <w:r>
        <w:t>SmartSense v0.5 Change Candidate Register v0.5. Review recommendations that were rejected or modified are not imported as requirements.</w:t>
      </w:r>
    </w:p>
    <w:p>
      <w:r>
        <w:t>Historical traceability: Legacy D-001–D-103 and CHG-001–CHG-028 remain preserved in superseded Register v0.6. D-104–D-120 and CHG-029–CHG-034 remain controlled v0.7 history. D-121 / CHG-035 were incorporated in v0.8/v0.6. CHG-036 was incorporated in v0.9/v0.7; CHG-037 is incorporated in the current v0.10/v0.8 baseline. Where earlier history conflicts with current logic, explicit supersession/reframing trace and the current Merge specification govern.</w:t>
      </w:r>
    </w:p>
    <w:p>
      <w:r>
        <w:br w:type="page"/>
      </w:r>
    </w:p>
    <w:p>
      <w:pPr>
        <w:pStyle w:val="Heading1"/>
        <w:keepNext/>
      </w:pPr>
      <w:r>
        <w:t>Controlled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5597"/>
          </w:tcPr>
          <w:p>
            <w:r>
              <w:rPr>
                <w:rFonts w:ascii="Aptos" w:hAnsi="Aptos" w:eastAsia="Aptos"/>
                <w:b/>
                <w:color w:val="FFFFFF"/>
                <w:sz w:val="17"/>
              </w:rPr>
              <w:t>Term</w:t>
            </w:r>
          </w:p>
        </w:tc>
        <w:tc>
          <w:tcPr>
            <w:tcW w:type="dxa" w:w="5083"/>
            <w:shd w:fill="2F5597"/>
          </w:tcPr>
          <w:p>
            <w:r>
              <w:rPr>
                <w:rFonts w:ascii="Aptos" w:hAnsi="Aptos" w:eastAsia="Aptos"/>
                <w:b/>
                <w:color w:val="FFFFFF"/>
                <w:sz w:val="17"/>
              </w:rPr>
              <w:t>Controlled Definition</w:t>
            </w:r>
          </w:p>
        </w:tc>
      </w:tr>
      <w:tr>
        <w:tc>
          <w:tcPr>
            <w:tcW w:type="dxa" w:w="5083"/>
            <w:shd w:fill="EEF3F8"/>
            <w:tcMar>
              <w:top w:w="70" w:type="dxa"/>
              <w:start w:w="80" w:type="dxa"/>
              <w:bottom w:w="70" w:type="dxa"/>
              <w:end w:w="80" w:type="dxa"/>
            </w:tcMar>
          </w:tcPr>
          <w:p>
            <w:r>
              <w:rPr>
                <w:rFonts w:ascii="Aptos" w:hAnsi="Aptos" w:eastAsia="Aptos"/>
                <w:b/>
                <w:sz w:val="16"/>
              </w:rPr>
              <w:t>Condition</w:t>
            </w:r>
          </w:p>
        </w:tc>
        <w:tc>
          <w:tcPr>
            <w:tcW w:type="dxa" w:w="5083"/>
            <w:tcMar>
              <w:top w:w="70" w:type="dxa"/>
              <w:start w:w="80" w:type="dxa"/>
              <w:bottom w:w="70" w:type="dxa"/>
              <w:end w:w="80" w:type="dxa"/>
            </w:tcMar>
          </w:tcPr>
          <w:p>
            <w:r>
              <w:rPr>
                <w:rFonts w:ascii="Aptos" w:hAnsi="Aptos" w:eastAsia="Aptos"/>
                <w:b w:val="0"/>
                <w:sz w:val="16"/>
              </w:rPr>
              <w:t>A current evaluated state that may be normal, violating, unavailable or otherwise governed by a defined rule.</w:t>
            </w:r>
          </w:p>
        </w:tc>
      </w:tr>
      <w:tr>
        <w:tc>
          <w:tcPr>
            <w:tcW w:type="dxa" w:w="5083"/>
            <w:shd w:fill="EEF3F8"/>
            <w:tcMar>
              <w:top w:w="70" w:type="dxa"/>
              <w:start w:w="80" w:type="dxa"/>
              <w:bottom w:w="70" w:type="dxa"/>
              <w:end w:w="80" w:type="dxa"/>
            </w:tcMar>
          </w:tcPr>
          <w:p>
            <w:r>
              <w:rPr>
                <w:rFonts w:ascii="Aptos" w:hAnsi="Aptos" w:eastAsia="Aptos"/>
                <w:b/>
                <w:sz w:val="16"/>
              </w:rPr>
              <w:t>Alert Event</w:t>
            </w:r>
          </w:p>
        </w:tc>
        <w:tc>
          <w:tcPr>
            <w:tcW w:type="dxa" w:w="5083"/>
            <w:tcMar>
              <w:top w:w="70" w:type="dxa"/>
              <w:start w:w="80" w:type="dxa"/>
              <w:bottom w:w="70" w:type="dxa"/>
              <w:end w:w="80" w:type="dxa"/>
            </w:tcMar>
          </w:tcPr>
          <w:p>
            <w:r>
              <w:rPr>
                <w:rFonts w:ascii="Aptos" w:hAnsi="Aptos" w:eastAsia="Aptos"/>
                <w:b w:val="0"/>
                <w:sz w:val="16"/>
              </w:rPr>
              <w:t>The canonical, immutable episode/evidence record created for one condition episode; distinct from notifications.</w:t>
            </w:r>
          </w:p>
        </w:tc>
      </w:tr>
      <w:tr>
        <w:tc>
          <w:tcPr>
            <w:tcW w:type="dxa" w:w="5083"/>
            <w:shd w:fill="EEF3F8"/>
            <w:tcMar>
              <w:top w:w="70" w:type="dxa"/>
              <w:start w:w="80" w:type="dxa"/>
              <w:bottom w:w="70" w:type="dxa"/>
              <w:end w:w="80" w:type="dxa"/>
            </w:tcMar>
          </w:tcPr>
          <w:p>
            <w:r>
              <w:rPr>
                <w:rFonts w:ascii="Aptos" w:hAnsi="Aptos" w:eastAsia="Aptos"/>
                <w:b/>
                <w:sz w:val="16"/>
              </w:rPr>
              <w:t>Notification</w:t>
            </w:r>
          </w:p>
        </w:tc>
        <w:tc>
          <w:tcPr>
            <w:tcW w:type="dxa" w:w="5083"/>
            <w:tcMar>
              <w:top w:w="70" w:type="dxa"/>
              <w:start w:w="80" w:type="dxa"/>
              <w:bottom w:w="70" w:type="dxa"/>
              <w:end w:w="80" w:type="dxa"/>
            </w:tcMar>
          </w:tcPr>
          <w:p>
            <w:r>
              <w:rPr>
                <w:rFonts w:ascii="Aptos" w:hAnsi="Aptos" w:eastAsia="Aptos"/>
                <w:b w:val="0"/>
                <w:sz w:val="16"/>
              </w:rPr>
              <w:t>A delivery attempt/message to an eligible recipient or channel about an Alert Event or defined event.</w:t>
            </w:r>
          </w:p>
        </w:tc>
      </w:tr>
      <w:tr>
        <w:tc>
          <w:tcPr>
            <w:tcW w:type="dxa" w:w="5083"/>
            <w:shd w:fill="EEF3F8"/>
            <w:tcMar>
              <w:top w:w="70" w:type="dxa"/>
              <w:start w:w="80" w:type="dxa"/>
              <w:bottom w:w="70" w:type="dxa"/>
              <w:end w:w="80" w:type="dxa"/>
            </w:tcMar>
          </w:tcPr>
          <w:p>
            <w:r>
              <w:rPr>
                <w:rFonts w:ascii="Aptos" w:hAnsi="Aptos" w:eastAsia="Aptos"/>
                <w:b/>
                <w:sz w:val="16"/>
              </w:rPr>
              <w:t>Reminder</w:t>
            </w:r>
          </w:p>
        </w:tc>
        <w:tc>
          <w:tcPr>
            <w:tcW w:type="dxa" w:w="5083"/>
            <w:tcMar>
              <w:top w:w="70" w:type="dxa"/>
              <w:start w:w="80" w:type="dxa"/>
              <w:bottom w:w="70" w:type="dxa"/>
              <w:end w:w="80" w:type="dxa"/>
            </w:tcMar>
          </w:tcPr>
          <w:p>
            <w:r>
              <w:rPr>
                <w:rFonts w:ascii="Aptos" w:hAnsi="Aptos" w:eastAsia="Aptos"/>
                <w:b w:val="0"/>
                <w:sz w:val="16"/>
              </w:rPr>
              <w:t>A follow-up notification generated by configured cadence while an applicable Alert Event remains active and unacknowledged for that recipient.</w:t>
            </w:r>
          </w:p>
        </w:tc>
      </w:tr>
      <w:tr>
        <w:tc>
          <w:tcPr>
            <w:tcW w:type="dxa" w:w="5083"/>
            <w:shd w:fill="EEF3F8"/>
            <w:tcMar>
              <w:top w:w="70" w:type="dxa"/>
              <w:start w:w="80" w:type="dxa"/>
              <w:bottom w:w="70" w:type="dxa"/>
              <w:end w:w="80" w:type="dxa"/>
            </w:tcMar>
          </w:tcPr>
          <w:p>
            <w:r>
              <w:rPr>
                <w:rFonts w:ascii="Aptos" w:hAnsi="Aptos" w:eastAsia="Aptos"/>
                <w:b/>
                <w:sz w:val="16"/>
              </w:rPr>
              <w:t>Acknowledgement</w:t>
            </w:r>
          </w:p>
        </w:tc>
        <w:tc>
          <w:tcPr>
            <w:tcW w:type="dxa" w:w="5083"/>
            <w:tcMar>
              <w:top w:w="70" w:type="dxa"/>
              <w:start w:w="80" w:type="dxa"/>
              <w:bottom w:w="70" w:type="dxa"/>
              <w:end w:w="80" w:type="dxa"/>
            </w:tcMar>
          </w:tcPr>
          <w:p>
            <w:r>
              <w:rPr>
                <w:rFonts w:ascii="Aptos" w:hAnsi="Aptos" w:eastAsia="Aptos"/>
                <w:b w:val="0"/>
                <w:sz w:val="16"/>
              </w:rPr>
              <w:t>Per-user evidence that the user has seen/responded to an alert; it never clears the underlying condition.</w:t>
            </w:r>
          </w:p>
        </w:tc>
      </w:tr>
      <w:tr>
        <w:tc>
          <w:tcPr>
            <w:tcW w:type="dxa" w:w="5083"/>
            <w:shd w:fill="EEF3F8"/>
            <w:tcMar>
              <w:top w:w="70" w:type="dxa"/>
              <w:start w:w="80" w:type="dxa"/>
              <w:bottom w:w="70" w:type="dxa"/>
              <w:end w:w="80" w:type="dxa"/>
            </w:tcMar>
          </w:tcPr>
          <w:p>
            <w:r>
              <w:rPr>
                <w:rFonts w:ascii="Aptos" w:hAnsi="Aptos" w:eastAsia="Aptos"/>
                <w:b/>
                <w:sz w:val="16"/>
              </w:rPr>
              <w:t>Snooze</w:t>
            </w:r>
          </w:p>
        </w:tc>
        <w:tc>
          <w:tcPr>
            <w:tcW w:type="dxa" w:w="5083"/>
            <w:tcMar>
              <w:top w:w="70" w:type="dxa"/>
              <w:start w:w="80" w:type="dxa"/>
              <w:bottom w:w="70" w:type="dxa"/>
              <w:end w:w="80" w:type="dxa"/>
            </w:tcMar>
          </w:tcPr>
          <w:p>
            <w:r>
              <w:rPr>
                <w:rFonts w:ascii="Aptos" w:hAnsi="Aptos" w:eastAsia="Aptos"/>
                <w:b w:val="0"/>
                <w:sz w:val="16"/>
              </w:rPr>
              <w:t>Per-recipient temporary pause of reminder delivery; not acknowledgement, clear or severity change.</w:t>
            </w:r>
          </w:p>
        </w:tc>
      </w:tr>
      <w:tr>
        <w:tc>
          <w:tcPr>
            <w:tcW w:type="dxa" w:w="5083"/>
            <w:shd w:fill="EEF3F8"/>
            <w:tcMar>
              <w:top w:w="70" w:type="dxa"/>
              <w:start w:w="80" w:type="dxa"/>
              <w:bottom w:w="70" w:type="dxa"/>
              <w:end w:w="80" w:type="dxa"/>
            </w:tcMar>
          </w:tcPr>
          <w:p>
            <w:r>
              <w:rPr>
                <w:rFonts w:ascii="Aptos" w:hAnsi="Aptos" w:eastAsia="Aptos"/>
                <w:b/>
                <w:sz w:val="16"/>
              </w:rPr>
              <w:t>All-Clear</w:t>
            </w:r>
          </w:p>
        </w:tc>
        <w:tc>
          <w:tcPr>
            <w:tcW w:type="dxa" w:w="5083"/>
            <w:tcMar>
              <w:top w:w="70" w:type="dxa"/>
              <w:start w:w="80" w:type="dxa"/>
              <w:bottom w:w="70" w:type="dxa"/>
              <w:end w:w="80" w:type="dxa"/>
            </w:tcMar>
          </w:tcPr>
          <w:p>
            <w:r>
              <w:rPr>
                <w:rFonts w:ascii="Aptos" w:hAnsi="Aptos" w:eastAsia="Aptos"/>
                <w:b w:val="0"/>
                <w:sz w:val="16"/>
              </w:rPr>
              <w:t>Optional notification tied to the original Alert Event indicating that the condition returned to normal; not a repair diagnosis.</w:t>
            </w:r>
          </w:p>
        </w:tc>
      </w:tr>
      <w:tr>
        <w:tc>
          <w:tcPr>
            <w:tcW w:type="dxa" w:w="5083"/>
            <w:shd w:fill="EEF3F8"/>
            <w:tcMar>
              <w:top w:w="70" w:type="dxa"/>
              <w:start w:w="80" w:type="dxa"/>
              <w:bottom w:w="70" w:type="dxa"/>
              <w:end w:w="80" w:type="dxa"/>
            </w:tcMar>
          </w:tcPr>
          <w:p>
            <w:r>
              <w:rPr>
                <w:rFonts w:ascii="Aptos" w:hAnsi="Aptos" w:eastAsia="Aptos"/>
                <w:b/>
                <w:sz w:val="16"/>
              </w:rPr>
              <w:t>Custom Alert / Command</w:t>
            </w:r>
          </w:p>
        </w:tc>
        <w:tc>
          <w:tcPr>
            <w:tcW w:type="dxa" w:w="5083"/>
            <w:tcMar>
              <w:top w:w="70" w:type="dxa"/>
              <w:start w:w="80" w:type="dxa"/>
              <w:bottom w:w="70" w:type="dxa"/>
              <w:end w:w="80" w:type="dxa"/>
            </w:tcMar>
          </w:tcPr>
          <w:p>
            <w:r>
              <w:rPr>
                <w:rFonts w:ascii="Aptos" w:hAnsi="Aptos" w:eastAsia="Aptos"/>
                <w:b w:val="0"/>
                <w:sz w:val="16"/>
              </w:rPr>
              <w:t>SmartSense terminology treats Command as Custom Alert; it uses the established Alert/Notification lifecycle rather than a separate device-command lifecycle.</w:t>
            </w:r>
          </w:p>
        </w:tc>
      </w:tr>
      <w:tr>
        <w:tc>
          <w:tcPr>
            <w:tcW w:type="dxa" w:w="5083"/>
            <w:shd w:fill="EEF3F8"/>
            <w:tcMar>
              <w:top w:w="70" w:type="dxa"/>
              <w:start w:w="80" w:type="dxa"/>
              <w:bottom w:w="70" w:type="dxa"/>
              <w:end w:w="80" w:type="dxa"/>
            </w:tcMar>
          </w:tcPr>
          <w:p>
            <w:r>
              <w:rPr>
                <w:rFonts w:ascii="Aptos" w:hAnsi="Aptos" w:eastAsia="Aptos"/>
                <w:b/>
                <w:sz w:val="16"/>
              </w:rPr>
              <w:t>Product Mode</w:t>
            </w:r>
          </w:p>
        </w:tc>
        <w:tc>
          <w:tcPr>
            <w:tcW w:type="dxa" w:w="5083"/>
            <w:tcMar>
              <w:top w:w="70" w:type="dxa"/>
              <w:start w:w="80" w:type="dxa"/>
              <w:bottom w:w="70" w:type="dxa"/>
              <w:end w:w="80" w:type="dxa"/>
            </w:tcMar>
          </w:tcPr>
          <w:p>
            <w:r>
              <w:rPr>
                <w:rFonts w:ascii="Aptos" w:hAnsi="Aptos" w:eastAsia="Aptos"/>
                <w:b w:val="0"/>
                <w:sz w:val="16"/>
              </w:rPr>
              <w:t>Model-defined architecture for a VIN: GATEWAY or DIRECT_TPMS. One mode per VIN in current scope.</w:t>
            </w:r>
          </w:p>
        </w:tc>
      </w:tr>
      <w:tr>
        <w:tc>
          <w:tcPr>
            <w:tcW w:type="dxa" w:w="5083"/>
            <w:shd w:fill="EEF3F8"/>
            <w:tcMar>
              <w:top w:w="70" w:type="dxa"/>
              <w:start w:w="80" w:type="dxa"/>
              <w:bottom w:w="70" w:type="dxa"/>
              <w:end w:w="80" w:type="dxa"/>
            </w:tcMar>
          </w:tcPr>
          <w:p>
            <w:r>
              <w:rPr>
                <w:rFonts w:ascii="Aptos" w:hAnsi="Aptos" w:eastAsia="Aptos"/>
                <w:b/>
                <w:sz w:val="16"/>
              </w:rPr>
              <w:t>Essentials Floor</w:t>
            </w:r>
          </w:p>
        </w:tc>
        <w:tc>
          <w:tcPr>
            <w:tcW w:type="dxa" w:w="5083"/>
            <w:tcMar>
              <w:top w:w="70" w:type="dxa"/>
              <w:start w:w="80" w:type="dxa"/>
              <w:bottom w:w="70" w:type="dxa"/>
              <w:end w:w="80" w:type="dxa"/>
            </w:tcMar>
          </w:tcPr>
          <w:p>
            <w:r>
              <w:rPr>
                <w:rFonts w:ascii="Aptos" w:hAnsi="Aptos" w:eastAsia="Aptos"/>
                <w:b w:val="0"/>
                <w:sz w:val="16"/>
              </w:rPr>
              <w:t>Permanent safety functionality that remains available regardless of paid subscription state, including TPMS information and applicable local TPMS alerts.</w:t>
            </w:r>
          </w:p>
        </w:tc>
      </w:tr>
      <w:tr>
        <w:tc>
          <w:tcPr>
            <w:tcW w:type="dxa" w:w="5083"/>
            <w:shd w:fill="EEF3F8"/>
            <w:tcMar>
              <w:top w:w="70" w:type="dxa"/>
              <w:start w:w="80" w:type="dxa"/>
              <w:bottom w:w="70" w:type="dxa"/>
              <w:end w:w="80" w:type="dxa"/>
            </w:tcMar>
          </w:tcPr>
          <w:p>
            <w:r>
              <w:rPr>
                <w:rFonts w:ascii="Aptos" w:hAnsi="Aptos" w:eastAsia="Aptos"/>
                <w:b/>
                <w:sz w:val="16"/>
              </w:rPr>
              <w:t>VIN Operational Lifecycle</w:t>
            </w:r>
          </w:p>
        </w:tc>
        <w:tc>
          <w:tcPr>
            <w:tcW w:type="dxa" w:w="5083"/>
            <w:tcMar>
              <w:top w:w="70" w:type="dxa"/>
              <w:start w:w="80" w:type="dxa"/>
              <w:bottom w:w="70" w:type="dxa"/>
              <w:end w:w="80" w:type="dxa"/>
            </w:tcMar>
          </w:tcPr>
          <w:p>
            <w:r>
              <w:rPr>
                <w:rFonts w:ascii="Aptos" w:hAnsi="Aptos" w:eastAsia="Aptos"/>
                <w:b w:val="0"/>
                <w:sz w:val="16"/>
              </w:rPr>
              <w:t>The vehicle record's operational state dimension, separate from ownership/claim and Gateway lifecycle.</w:t>
            </w:r>
          </w:p>
        </w:tc>
      </w:tr>
      <w:tr>
        <w:tc>
          <w:tcPr>
            <w:tcW w:type="dxa" w:w="5083"/>
            <w:shd w:fill="EEF3F8"/>
            <w:tcMar>
              <w:top w:w="70" w:type="dxa"/>
              <w:start w:w="80" w:type="dxa"/>
              <w:bottom w:w="70" w:type="dxa"/>
              <w:end w:w="80" w:type="dxa"/>
            </w:tcMar>
          </w:tcPr>
          <w:p>
            <w:r>
              <w:rPr>
                <w:rFonts w:ascii="Aptos" w:hAnsi="Aptos" w:eastAsia="Aptos"/>
                <w:b/>
                <w:sz w:val="16"/>
              </w:rPr>
              <w:t>Retail Ownership / Claim State</w:t>
            </w:r>
          </w:p>
        </w:tc>
        <w:tc>
          <w:tcPr>
            <w:tcW w:type="dxa" w:w="5083"/>
            <w:tcMar>
              <w:top w:w="70" w:type="dxa"/>
              <w:start w:w="80" w:type="dxa"/>
              <w:bottom w:w="70" w:type="dxa"/>
              <w:end w:w="80" w:type="dxa"/>
            </w:tcMar>
          </w:tcPr>
          <w:p>
            <w:r>
              <w:rPr>
                <w:rFonts w:ascii="Aptos" w:hAnsi="Aptos" w:eastAsia="Aptos"/>
                <w:b w:val="0"/>
                <w:sz w:val="16"/>
              </w:rPr>
              <w:t>The current retail relationship to the VIN: claimable/unclaimed versus claimed by a Primary Owner with Authorized Users.</w:t>
            </w:r>
          </w:p>
        </w:tc>
      </w:tr>
      <w:tr>
        <w:tc>
          <w:tcPr>
            <w:tcW w:type="dxa" w:w="5083"/>
            <w:shd w:fill="EEF3F8"/>
            <w:tcMar>
              <w:top w:w="70" w:type="dxa"/>
              <w:start w:w="80" w:type="dxa"/>
              <w:bottom w:w="70" w:type="dxa"/>
              <w:end w:w="80" w:type="dxa"/>
            </w:tcMar>
          </w:tcPr>
          <w:p>
            <w:r>
              <w:rPr>
                <w:rFonts w:ascii="Aptos" w:hAnsi="Aptos" w:eastAsia="Aptos"/>
                <w:b/>
                <w:sz w:val="16"/>
              </w:rPr>
              <w:t>Gateway Lifecycle</w:t>
            </w:r>
          </w:p>
        </w:tc>
        <w:tc>
          <w:tcPr>
            <w:tcW w:type="dxa" w:w="5083"/>
            <w:tcMar>
              <w:top w:w="70" w:type="dxa"/>
              <w:start w:w="80" w:type="dxa"/>
              <w:bottom w:w="70" w:type="dxa"/>
              <w:end w:w="80" w:type="dxa"/>
            </w:tcMar>
          </w:tcPr>
          <w:p>
            <w:r>
              <w:rPr>
                <w:rFonts w:ascii="Aptos" w:hAnsi="Aptos" w:eastAsia="Aptos"/>
                <w:b w:val="0"/>
                <w:sz w:val="16"/>
              </w:rPr>
              <w:t>The Gateway device's lifecycle/association state, separate from VIN operational state and ownership.</w:t>
            </w:r>
          </w:p>
        </w:tc>
      </w:tr>
      <w:tr>
        <w:tc>
          <w:tcPr>
            <w:tcW w:type="dxa" w:w="5083"/>
            <w:shd w:fill="EEF3F8"/>
            <w:tcMar>
              <w:top w:w="70" w:type="dxa"/>
              <w:start w:w="80" w:type="dxa"/>
              <w:bottom w:w="70" w:type="dxa"/>
              <w:end w:w="80" w:type="dxa"/>
            </w:tcMar>
          </w:tcPr>
          <w:p>
            <w:r>
              <w:rPr>
                <w:rFonts w:ascii="Aptos" w:hAnsi="Aptos" w:eastAsia="Aptos"/>
                <w:b/>
                <w:sz w:val="16"/>
              </w:rPr>
              <w:t>Gateway Replacement Transaction</w:t>
            </w:r>
          </w:p>
        </w:tc>
        <w:tc>
          <w:tcPr>
            <w:tcW w:type="dxa" w:w="5083"/>
            <w:tcMar>
              <w:top w:w="70" w:type="dxa"/>
              <w:start w:w="80" w:type="dxa"/>
              <w:bottom w:w="70" w:type="dxa"/>
              <w:end w:w="80" w:type="dxa"/>
            </w:tcMar>
          </w:tcPr>
          <w:p>
            <w:r>
              <w:rPr>
                <w:rFonts w:ascii="Aptos" w:hAnsi="Aptos" w:eastAsia="Aptos"/>
                <w:b w:val="0"/>
                <w:sz w:val="16"/>
              </w:rPr>
              <w:t>A controlled job that prepares a replacement Gateway while the old Gateway remains Current until successful atomic cutover.</w:t>
            </w:r>
          </w:p>
        </w:tc>
      </w:tr>
      <w:tr>
        <w:tc>
          <w:tcPr>
            <w:tcW w:type="dxa" w:w="5083"/>
            <w:shd w:fill="EEF3F8"/>
            <w:tcMar>
              <w:top w:w="70" w:type="dxa"/>
              <w:start w:w="80" w:type="dxa"/>
              <w:bottom w:w="70" w:type="dxa"/>
              <w:end w:w="80" w:type="dxa"/>
            </w:tcMar>
          </w:tcPr>
          <w:p>
            <w:r>
              <w:rPr>
                <w:rFonts w:ascii="Aptos" w:hAnsi="Aptos" w:eastAsia="Aptos"/>
                <w:b/>
                <w:sz w:val="16"/>
              </w:rPr>
              <w:t>Stale</w:t>
            </w:r>
          </w:p>
        </w:tc>
        <w:tc>
          <w:tcPr>
            <w:tcW w:type="dxa" w:w="5083"/>
            <w:tcMar>
              <w:top w:w="70" w:type="dxa"/>
              <w:start w:w="80" w:type="dxa"/>
              <w:bottom w:w="70" w:type="dxa"/>
              <w:end w:w="80" w:type="dxa"/>
            </w:tcMar>
          </w:tcPr>
          <w:p>
            <w:r>
              <w:rPr>
                <w:rFonts w:ascii="Aptos" w:hAnsi="Aptos" w:eastAsia="Aptos"/>
                <w:b w:val="0"/>
                <w:sz w:val="16"/>
              </w:rPr>
              <w:t>Data exists but is older than the configured freshness expectation/grace.</w:t>
            </w:r>
          </w:p>
        </w:tc>
      </w:tr>
      <w:tr>
        <w:tc>
          <w:tcPr>
            <w:tcW w:type="dxa" w:w="5083"/>
            <w:shd w:fill="EEF3F8"/>
            <w:tcMar>
              <w:top w:w="70" w:type="dxa"/>
              <w:start w:w="80" w:type="dxa"/>
              <w:bottom w:w="70" w:type="dxa"/>
              <w:end w:w="80" w:type="dxa"/>
            </w:tcMar>
          </w:tcPr>
          <w:p>
            <w:r>
              <w:rPr>
                <w:rFonts w:ascii="Aptos" w:hAnsi="Aptos" w:eastAsia="Aptos"/>
                <w:b/>
                <w:sz w:val="16"/>
              </w:rPr>
              <w:t>Offline</w:t>
            </w:r>
          </w:p>
        </w:tc>
        <w:tc>
          <w:tcPr>
            <w:tcW w:type="dxa" w:w="5083"/>
            <w:tcMar>
              <w:top w:w="70" w:type="dxa"/>
              <w:start w:w="80" w:type="dxa"/>
              <w:bottom w:w="70" w:type="dxa"/>
              <w:end w:w="80" w:type="dxa"/>
            </w:tcMar>
          </w:tcPr>
          <w:p>
            <w:r>
              <w:rPr>
                <w:rFonts w:ascii="Aptos" w:hAnsi="Aptos" w:eastAsia="Aptos"/>
                <w:b w:val="0"/>
                <w:sz w:val="16"/>
              </w:rPr>
              <w:t>A known connectivity/availability condition; not synonymous with stale data.</w:t>
            </w:r>
          </w:p>
        </w:tc>
      </w:tr>
      <w:tr>
        <w:tc>
          <w:tcPr>
            <w:tcW w:type="dxa" w:w="5083"/>
            <w:shd w:fill="EEF3F8"/>
            <w:tcMar>
              <w:top w:w="70" w:type="dxa"/>
              <w:start w:w="80" w:type="dxa"/>
              <w:bottom w:w="70" w:type="dxa"/>
              <w:end w:w="80" w:type="dxa"/>
            </w:tcMar>
          </w:tcPr>
          <w:p>
            <w:r>
              <w:rPr>
                <w:rFonts w:ascii="Aptos" w:hAnsi="Aptos" w:eastAsia="Aptos"/>
                <w:b/>
                <w:sz w:val="16"/>
              </w:rPr>
              <w:t>Not Available</w:t>
            </w:r>
          </w:p>
        </w:tc>
        <w:tc>
          <w:tcPr>
            <w:tcW w:type="dxa" w:w="5083"/>
            <w:tcMar>
              <w:top w:w="70" w:type="dxa"/>
              <w:start w:w="80" w:type="dxa"/>
              <w:bottom w:w="70" w:type="dxa"/>
              <w:end w:w="80" w:type="dxa"/>
            </w:tcMar>
          </w:tcPr>
          <w:p>
            <w:r>
              <w:rPr>
                <w:rFonts w:ascii="Aptos" w:hAnsi="Aptos" w:eastAsia="Aptos"/>
                <w:b w:val="0"/>
                <w:sz w:val="16"/>
              </w:rPr>
              <w:t>A capability is not applicable to that Product Mode/current approved hardware architecture; must not be shown as Stale/Offline.</w:t>
            </w:r>
          </w:p>
        </w:tc>
      </w:tr>
      <w:tr>
        <w:tc>
          <w:tcPr>
            <w:tcW w:type="dxa" w:w="5083"/>
            <w:shd w:fill="EEF3F8"/>
            <w:tcMar>
              <w:top w:w="70" w:type="dxa"/>
              <w:start w:w="80" w:type="dxa"/>
              <w:bottom w:w="70" w:type="dxa"/>
              <w:end w:w="80" w:type="dxa"/>
            </w:tcMar>
          </w:tcPr>
          <w:p>
            <w:r>
              <w:rPr>
                <w:rFonts w:ascii="Aptos" w:hAnsi="Aptos" w:eastAsia="Aptos"/>
                <w:b/>
                <w:sz w:val="16"/>
              </w:rPr>
              <w:t>Holdership</w:t>
            </w:r>
          </w:p>
        </w:tc>
        <w:tc>
          <w:tcPr>
            <w:tcW w:type="dxa" w:w="5083"/>
            <w:tcMar>
              <w:top w:w="70" w:type="dxa"/>
              <w:start w:w="80" w:type="dxa"/>
              <w:bottom w:w="70" w:type="dxa"/>
              <w:end w:w="80" w:type="dxa"/>
            </w:tcMar>
          </w:tcPr>
          <w:p>
            <w:r>
              <w:rPr>
                <w:rFonts w:ascii="Aptos" w:hAnsi="Aptos" w:eastAsia="Aptos"/>
                <w:b w:val="0"/>
                <w:sz w:val="16"/>
              </w:rPr>
              <w:t>The VIN's commercial/subscription continuity through ownership changes; included term follows the VIN and does not reset on transfer.</w:t>
            </w:r>
          </w:p>
        </w:tc>
      </w:tr>
      <w:tr>
        <w:tc>
          <w:tcPr>
            <w:tcW w:type="dxa" w:w="5083"/>
          </w:tcPr>
          <w:p>
            <w:r>
              <w:t>Significant G Event</w:t>
            </w:r>
          </w:p>
        </w:tc>
        <w:tc>
          <w:tcPr>
            <w:tcW w:type="dxa" w:w="5083"/>
          </w:tcPr>
          <w:p>
            <w:r>
              <w:t>Gateway-mode momentary motion/impact event created when the cloud-configured significant-G rule is met. It is immutable historical evidence, not a persistent active condition; viewing or acknowledgement never clears/resolves it.</w:t>
            </w:r>
          </w:p>
        </w:tc>
      </w:tr>
      <w:tr>
        <w:tc>
          <w:tcPr>
            <w:tcW w:type="dxa" w:w="5083"/>
          </w:tcPr>
          <w:p>
            <w:r>
              <w:t>VIN-Scoped Retail Role</w:t>
            </w:r>
          </w:p>
        </w:tc>
        <w:tc>
          <w:tcPr>
            <w:tcW w:type="dxa" w:w="5083"/>
          </w:tcPr>
          <w:p>
            <w:r>
              <w:t>A user relationship evaluated independently per VIN. One account may be Primary Owner of multiple VINs and Authorized User on additional VINs; permissions, notifications and entitlement remain VIN-specific.</w:t>
            </w:r>
          </w:p>
        </w:tc>
      </w:tr>
    </w:tbl>
    <w:p>
      <w:r>
        <w:br w:type="page"/>
      </w:r>
    </w:p>
    <w:p>
      <w:pPr>
        <w:pStyle w:val="Heading1"/>
        <w:keepNext/>
      </w:pPr>
      <w:r>
        <w:t>Confirmed Global Principles</w:t>
      </w:r>
    </w:p>
    <w:p>
      <w:pPr>
        <w:pStyle w:val="RequirementBullet"/>
      </w:pPr>
      <w:r>
        <w:rPr>
          <w:rFonts w:ascii="Aptos" w:hAnsi="Aptos" w:eastAsia="Aptos"/>
          <w:sz w:val="18"/>
        </w:rPr>
        <w:t>• VIN is the permanent vehicle identity and anchor for operational history.</w:t>
      </w:r>
    </w:p>
    <w:p>
      <w:pPr>
        <w:pStyle w:val="RequirementBullet"/>
      </w:pPr>
      <w:r>
        <w:rPr>
          <w:rFonts w:ascii="Aptos" w:hAnsi="Aptos" w:eastAsia="Aptos"/>
          <w:sz w:val="18"/>
        </w:rPr>
        <w:t>• Two OEM-installed modes: GATEWAY and DIRECT_TPMS; Model property; one mode per VIN in current scope.</w:t>
      </w:r>
    </w:p>
    <w:p>
      <w:pPr>
        <w:pStyle w:val="RequirementBullet"/>
      </w:pPr>
      <w:r>
        <w:t>• Gateway Mode supports applicable TPMS, temperature/humidity and accelerometer information through the Gateway and Gateway mobile app. DIRECT_TPMS is a separate TPMS-only mobile experience; temperature/humidity and accelerometer are Not Available in Direct TPMS.</w:t>
      </w:r>
    </w:p>
    <w:p>
      <w:pPr>
        <w:pStyle w:val="RequirementBullet"/>
      </w:pPr>
      <w:r>
        <w:rPr>
          <w:rFonts w:ascii="Aptos" w:hAnsi="Aptos" w:eastAsia="Aptos"/>
          <w:sz w:val="18"/>
        </w:rPr>
        <w:t>• Factory configuration establishes VIN/Model/device/sensor relationships; corrections are controlled and auditable.</w:t>
      </w:r>
    </w:p>
    <w:p>
      <w:pPr>
        <w:pStyle w:val="RequirementBullet"/>
      </w:pPr>
      <w:r>
        <w:rPr>
          <w:rFonts w:ascii="Aptos" w:hAnsi="Aptos" w:eastAsia="Aptos"/>
          <w:sz w:val="18"/>
        </w:rPr>
        <w:t>• Model configuration is the authoritative source of TPMS tire configuration, thresholds and subscription definition.</w:t>
      </w:r>
    </w:p>
    <w:p>
      <w:pPr>
        <w:pStyle w:val="RequirementBullet"/>
      </w:pPr>
      <w:r>
        <w:rPr>
          <w:rFonts w:ascii="Aptos" w:hAnsi="Aptos" w:eastAsia="Aptos"/>
          <w:sz w:val="18"/>
        </w:rPr>
        <w:t>• VIN operational state, retail ownership/claim state and Gateway lifecycle are separate controlled dimensions.</w:t>
      </w:r>
    </w:p>
    <w:p>
      <w:pPr>
        <w:pStyle w:val="RequirementBullet"/>
      </w:pPr>
      <w:r>
        <w:rPr>
          <w:rFonts w:ascii="Aptos" w:hAnsi="Aptos" w:eastAsia="Aptos"/>
          <w:sz w:val="18"/>
        </w:rPr>
        <w:t>• Verified email + authentication is sufficient current retail identity; names are not required.</w:t>
      </w:r>
    </w:p>
    <w:p>
      <w:pPr>
        <w:pStyle w:val="RequirementBullet"/>
      </w:pPr>
      <w:r>
        <w:rPr>
          <w:rFonts w:ascii="Aptos" w:hAnsi="Aptos" w:eastAsia="Aptos"/>
          <w:sz w:val="18"/>
        </w:rPr>
        <w:t>• One Primary Owner may invite Authorized Users; no current product-defined Authorized User cap.</w:t>
      </w:r>
    </w:p>
    <w:p>
      <w:pPr>
        <w:pStyle w:val="RequirementBullet"/>
      </w:pPr>
      <w:r>
        <w:t>• One SmartSense account may be Primary Owner of multiple RVs and may also be an Authorized User on additional VINs; role, authorization, notifications and entitlement are evaluated per VIN.</w:t>
      </w:r>
    </w:p>
    <w:p>
      <w:pPr>
        <w:pStyle w:val="RequirementBullet"/>
      </w:pPr>
      <w:r>
        <w:t>• After retail ownership, the Primary Owner may replace/re-pair an individual TPMS sensor only within an existing Model-defined tire position. The owner may not alter OEM axle/tire layout; cross-VIN sensor eligibility is server-authoritative.</w:t>
      </w:r>
    </w:p>
    <w:p>
      <w:pPr>
        <w:pStyle w:val="RequirementBullet"/>
      </w:pPr>
      <w:r>
        <w:t>• RV Owner accelerometer presentation is limited to cloud-defined Significant G Events. Raw/live X/Y/Z accelerometer data is not an RV Owner feature; a Significant G Event is momentary historical evidence and never auto-resolves when viewed or acknowledged.</w:t>
      </w:r>
    </w:p>
    <w:p>
      <w:pPr>
        <w:pStyle w:val="RequirementBullet"/>
      </w:pPr>
      <w:r>
        <w:rPr>
          <w:rFonts w:ascii="Aptos" w:hAnsi="Aptos" w:eastAsia="Aptos"/>
          <w:sz w:val="18"/>
        </w:rPr>
        <w:t>• Gateway claim requires Current Gateway local BLE + manufactured pairing code + Gateway LTE + cloud claimability/current-Gateway confirmation.</w:t>
      </w:r>
    </w:p>
    <w:p>
      <w:pPr>
        <w:pStyle w:val="RequirementBullet"/>
      </w:pPr>
      <w:r>
        <w:rPr>
          <w:rFonts w:ascii="Aptos" w:hAnsi="Aptos" w:eastAsia="Aptos"/>
          <w:sz w:val="18"/>
        </w:rPr>
        <w:t>• Direct claim uses local BLE presence verification of the VIN factory sensor set; exact criterion stays OD-009.</w:t>
      </w:r>
    </w:p>
    <w:p>
      <w:pPr>
        <w:pStyle w:val="RequirementBullet"/>
      </w:pPr>
      <w:r>
        <w:rPr>
          <w:rFonts w:ascii="Aptos" w:hAnsi="Aptos" w:eastAsia="Aptos"/>
          <w:sz w:val="18"/>
        </w:rPr>
        <w:t>• Gateway evaluates live alerts in Gateway Mode; phone/app evaluates in Direct TPMS; cloud is not a competing sensor-threshold evaluator.</w:t>
      </w:r>
    </w:p>
    <w:p>
      <w:pPr>
        <w:pStyle w:val="RequirementBullet"/>
      </w:pPr>
      <w:r>
        <w:t>• Mobile TPMS pairing discovery must surface a valid qualifying sensor promptly after its qualifying BLE advertisement is received; intentional or avoidable application-layer delay is not acceptable. The exact numeric release criterion is established from measured benchmark/validation evidence rather than assumed.</w:t>
      </w:r>
    </w:p>
    <w:p>
      <w:pPr>
        <w:pStyle w:val="RequirementBullet"/>
      </w:pPr>
      <w:r>
        <w:t>• Both SmartSense mobile apps default to Imperial display units on first use when no saved user preference exists. A user-selected Metric/Imperial preference persists; display conversion does not alter canonical source/storage units or values.</w:t>
      </w:r>
    </w:p>
    <w:p>
      <w:pPr>
        <w:pStyle w:val="RequirementBullet"/>
      </w:pPr>
      <w:r>
        <w:rPr>
          <w:rFonts w:ascii="Aptos" w:hAnsi="Aptos" w:eastAsia="Aptos"/>
          <w:sz w:val="18"/>
        </w:rPr>
        <w:t>• Cloud may detect communication absence that an offline device cannot self-report.</w:t>
      </w:r>
    </w:p>
    <w:p>
      <w:pPr>
        <w:pStyle w:val="RequirementBullet"/>
      </w:pPr>
      <w:r>
        <w:rPr>
          <w:rFonts w:ascii="Aptos" w:hAnsi="Aptos" w:eastAsia="Aptos"/>
          <w:sz w:val="18"/>
        </w:rPr>
        <w:t>• Delta updates only present attributes; invalid/implausible data cannot overwrite last-valid state.</w:t>
      </w:r>
    </w:p>
    <w:p>
      <w:pPr>
        <w:pStyle w:val="RequirementBullet"/>
      </w:pPr>
      <w:r>
        <w:rPr>
          <w:rFonts w:ascii="Aptos" w:hAnsi="Aptos" w:eastAsia="Aptos"/>
          <w:sz w:val="18"/>
        </w:rPr>
        <w:t>• Stale, Offline and Not Available are distinct; connectivity is separate from per-attribute freshness.</w:t>
      </w:r>
    </w:p>
    <w:p>
      <w:pPr>
        <w:pStyle w:val="RequirementBullet"/>
      </w:pPr>
      <w:r>
        <w:rPr>
          <w:rFonts w:ascii="Aptos" w:hAnsi="Aptos" w:eastAsia="Aptos"/>
          <w:sz w:val="18"/>
        </w:rPr>
        <w:t>• Condition/AlertEvent is distinct from notifications/reminders; continuing violations do not create duplicate episodes.</w:t>
      </w:r>
    </w:p>
    <w:p>
      <w:pPr>
        <w:pStyle w:val="RequirementBullet"/>
      </w:pPr>
      <w:r>
        <w:rPr>
          <w:rFonts w:ascii="Aptos" w:hAnsi="Aptos" w:eastAsia="Aptos"/>
          <w:sz w:val="18"/>
        </w:rPr>
        <w:t>• AlertEvent retains triggering rule/version even when a new active rule changes subsequent evaluation.</w:t>
      </w:r>
    </w:p>
    <w:p>
      <w:pPr>
        <w:pStyle w:val="RequirementBullet"/>
      </w:pPr>
      <w:r>
        <w:rPr>
          <w:rFonts w:ascii="Aptos" w:hAnsi="Aptos" w:eastAsia="Aptos"/>
          <w:sz w:val="18"/>
        </w:rPr>
        <w:t>• Original event time is preserved; cleared historical backfill does not create a new live alert; still-active backfill may enter normal recipient workflow.</w:t>
      </w:r>
    </w:p>
    <w:p>
      <w:pPr>
        <w:pStyle w:val="RequirementBullet"/>
      </w:pPr>
      <w:r>
        <w:rPr>
          <w:rFonts w:ascii="Aptos" w:hAnsi="Aptos" w:eastAsia="Aptos"/>
          <w:sz w:val="18"/>
        </w:rPr>
        <w:t>• Primary Owner + Authorized Users are retail recipients; OEM users are not current mobile-alert recipients.</w:t>
      </w:r>
    </w:p>
    <w:p>
      <w:pPr>
        <w:pStyle w:val="RequirementBullet"/>
      </w:pPr>
      <w:r>
        <w:rPr>
          <w:rFonts w:ascii="Aptos" w:hAnsi="Aptos" w:eastAsia="Aptos"/>
          <w:sz w:val="18"/>
        </w:rPr>
        <w:t>• Per-user acknowledgement/snooze are auditable and never clear the underlying condition.</w:t>
      </w:r>
    </w:p>
    <w:p>
      <w:pPr>
        <w:pStyle w:val="RequirementBullet"/>
      </w:pPr>
      <w:r>
        <w:rPr>
          <w:rFonts w:ascii="Aptos" w:hAnsi="Aptos" w:eastAsia="Aptos"/>
          <w:sz w:val="18"/>
        </w:rPr>
        <w:t>• Applicable safety notifications operate 24/7 independent of final severity-label taxonomy.</w:t>
      </w:r>
    </w:p>
    <w:p>
      <w:pPr>
        <w:pStyle w:val="RequirementBullet"/>
      </w:pPr>
      <w:r>
        <w:rPr>
          <w:rFonts w:ascii="Aptos" w:hAnsi="Aptos" w:eastAsia="Aptos"/>
          <w:sz w:val="18"/>
        </w:rPr>
        <w:t>• Gateway GPS is current authoritative vehicle mileage/location source; Direct TPMS shows these capabilities Not Available.</w:t>
      </w:r>
    </w:p>
    <w:p>
      <w:pPr>
        <w:pStyle w:val="RequirementBullet"/>
      </w:pPr>
      <w:r>
        <w:rPr>
          <w:rFonts w:ascii="Aptos" w:hAnsi="Aptos" w:eastAsia="Aptos"/>
          <w:sz w:val="18"/>
        </w:rPr>
        <w:t>• OEM may see activation/ownership status and dates, but retail login identity is not exposed by default.</w:t>
      </w:r>
    </w:p>
    <w:p>
      <w:pPr>
        <w:pStyle w:val="RequirementBullet"/>
      </w:pPr>
      <w:r>
        <w:rPr>
          <w:rFonts w:ascii="Aptos" w:hAnsi="Aptos" w:eastAsia="Aptos"/>
          <w:sz w:val="18"/>
        </w:rPr>
        <w:t>• Backend default-deny tenant/role/scope enforcement is mandatory; UI/app flavor is not a security boundary.</w:t>
      </w:r>
    </w:p>
    <w:p>
      <w:pPr>
        <w:pStyle w:val="RequirementBullet"/>
      </w:pPr>
      <w:r>
        <w:rPr>
          <w:rFonts w:ascii="Aptos" w:hAnsi="Aptos" w:eastAsia="Aptos"/>
          <w:sz w:val="18"/>
        </w:rPr>
        <w:t>• Stable immutable User ID anchors retained evidence even if display PII is later minimized/anonymized.</w:t>
      </w:r>
    </w:p>
    <w:p>
      <w:pPr>
        <w:pStyle w:val="RequirementBullet"/>
      </w:pPr>
      <w:r>
        <w:rPr>
          <w:rFonts w:ascii="Aptos" w:hAnsi="Aptos" w:eastAsia="Aptos"/>
          <w:sz w:val="18"/>
        </w:rPr>
        <w:t>• Server-authoritative Model plan definition; VIN snapshots included term at OEM registration; 36 months is initial/default configurable value.</w:t>
      </w:r>
    </w:p>
    <w:p>
      <w:pPr>
        <w:pStyle w:val="RequirementBullet"/>
      </w:pPr>
      <w:r>
        <w:rPr>
          <w:rFonts w:ascii="Aptos" w:hAnsi="Aptos" w:eastAsia="Aptos"/>
          <w:sz w:val="18"/>
        </w:rPr>
        <w:t>• TPMS information and applicable local TPMS safety alerts remain available regardless of subscription lapse.</w:t>
      </w:r>
    </w:p>
    <w:p>
      <w:pPr>
        <w:pStyle w:val="RequirementBullet"/>
      </w:pPr>
      <w:r>
        <w:rPr>
          <w:rFonts w:ascii="Aptos" w:hAnsi="Aptos" w:eastAsia="Aptos"/>
          <w:sz w:val="18"/>
        </w:rPr>
        <w:t>• Current OTA release/rollback scope is SmartSense Gateway firmware only.</w:t>
      </w:r>
    </w:p>
    <w:p>
      <w:pPr>
        <w:pStyle w:val="RequirementBullet"/>
      </w:pPr>
      <w:r>
        <w:rPr>
          <w:rFonts w:ascii="Aptos" w:hAnsi="Aptos" w:eastAsia="Aptos"/>
          <w:sz w:val="18"/>
        </w:rPr>
        <w:t>• Flutter flavors support branding; runtime product behavior remains server-configured in one multi-tenant platform.</w:t>
      </w:r>
    </w:p>
    <w:p>
      <w:pPr>
        <w:pStyle w:val="RequirementBullet"/>
      </w:pPr>
      <w:r>
        <w:rPr>
          <w:rFonts w:ascii="Aptos" w:hAnsi="Aptos" w:eastAsia="Aptos"/>
          <w:sz w:val="18"/>
        </w:rPr>
        <w:t>• Command = Custom Alert; no separate command lifecycle in current scope.</w:t>
      </w:r>
    </w:p>
    <w:p>
      <w:pPr>
        <w:pStyle w:val="RequirementBullet"/>
      </w:pPr>
      <w:r>
        <w:rPr>
          <w:rFonts w:ascii="Aptos" w:hAnsi="Aptos" w:eastAsia="Aptos"/>
          <w:sz w:val="18"/>
        </w:rPr>
        <w:t>• Critical Logic states cloud/backend behavior and does not pre-commit framework/provider choices.</w:t>
      </w:r>
    </w:p>
    <w:p>
      <w:pPr>
        <w:pStyle w:val="RequirementBullet"/>
      </w:pPr>
      <w:r>
        <w:rPr>
          <w:rFonts w:ascii="Aptos" w:hAnsi="Aptos" w:eastAsia="Aptos"/>
          <w:sz w:val="18"/>
        </w:rPr>
        <w:t>• Bulk export is Phase 1; OEM external API and advanced AI are future/next-phase.</w:t>
      </w:r>
    </w:p>
    <w:p>
      <w:pPr>
        <w:pStyle w:val="RequirementBullet"/>
      </w:pPr>
      <w:r>
        <w:rPr>
          <w:rFonts w:ascii="Aptos" w:hAnsi="Aptos" w:eastAsia="Aptos"/>
          <w:sz w:val="18"/>
        </w:rPr>
        <w:t>• SmartSense preserves objective evidence but does not determine warranty coverage, legal liability or financial fault.</w:t>
      </w:r>
    </w:p>
    <w:p>
      <w:pPr>
        <w:pStyle w:val="Heading1"/>
        <w:keepNext/>
      </w:pPr>
      <w:r>
        <w:t>Current Package Contents</w:t>
      </w:r>
    </w:p>
    <w:p>
      <w:pPr>
        <w:pStyle w:val="SmartSenseMeta"/>
      </w:pPr>
      <w:r>
        <w:t>Merge ID 1 — VIN master creation &amp; OEM/model/model-year association</w:t>
      </w:r>
    </w:p>
    <w:p>
      <w:pPr>
        <w:pStyle w:val="SmartSenseMeta"/>
      </w:pPr>
      <w:r>
        <w:t>Merge ID 2 — Factory gateway-to-VIN binding</w:t>
      </w:r>
    </w:p>
    <w:p>
      <w:pPr>
        <w:pStyle w:val="SmartSenseMeta"/>
      </w:pPr>
      <w:r>
        <w:t>Merge ID 3 — Owner account creation &amp; pairing</w:t>
      </w:r>
    </w:p>
    <w:p>
      <w:pPr>
        <w:pStyle w:val="SmartSenseMeta"/>
      </w:pPr>
      <w:r>
        <w:t>Merge ID 4 — Gateway replacement on a vehicle</w:t>
      </w:r>
    </w:p>
    <w:p>
      <w:pPr>
        <w:pStyle w:val="SmartSenseMeta"/>
      </w:pPr>
      <w:r>
        <w:t>Merge ID 5 — Unpairing &amp; ownership transfer</w:t>
      </w:r>
    </w:p>
    <w:p>
      <w:pPr>
        <w:pStyle w:val="SmartSenseMeta"/>
      </w:pPr>
      <w:r>
        <w:t>Merge ID 6 — Account deletion &amp; data retention</w:t>
      </w:r>
    </w:p>
    <w:p>
      <w:pPr>
        <w:pStyle w:val="SmartSenseMeta"/>
      </w:pPr>
      <w:r>
        <w:t>Merge ID 7 — Dealer &amp; service-organisation assignment</w:t>
      </w:r>
    </w:p>
    <w:p>
      <w:pPr>
        <w:pStyle w:val="SmartSenseMeta"/>
      </w:pPr>
      <w:r>
        <w:t>Merge ID 8 — Owner activation effects</w:t>
      </w:r>
    </w:p>
    <w:p>
      <w:pPr>
        <w:pStyle w:val="SmartSenseMeta"/>
      </w:pPr>
      <w:r>
        <w:t>Merge ID 9 — TPMS sensor registration &amp; pairing</w:t>
      </w:r>
    </w:p>
    <w:p>
      <w:pPr>
        <w:pStyle w:val="SmartSenseMeta"/>
      </w:pPr>
      <w:r>
        <w:t>Merge ID 10 — Direct-to-sensor mobile mode</w:t>
      </w:r>
    </w:p>
    <w:p>
      <w:pPr>
        <w:pStyle w:val="SmartSenseMeta"/>
      </w:pPr>
      <w:r>
        <w:t>Merge ID 11 — Gateway-to-mobile BLE mode</w:t>
      </w:r>
    </w:p>
    <w:p>
      <w:pPr>
        <w:pStyle w:val="SmartSenseMeta"/>
      </w:pPr>
      <w:r>
        <w:t>Merge ID 12 — Report cadence &amp; wake behaviour</w:t>
      </w:r>
    </w:p>
    <w:p>
      <w:pPr>
        <w:pStyle w:val="SmartSenseMeta"/>
      </w:pPr>
      <w:r>
        <w:t>Merge ID 13 — Ingestion, normalisation &amp; schema validation</w:t>
      </w:r>
    </w:p>
    <w:p>
      <w:pPr>
        <w:pStyle w:val="SmartSenseMeta"/>
      </w:pPr>
      <w:r>
        <w:t>Merge ID 14 — Invalid &amp; out-of-range reading handling</w:t>
      </w:r>
    </w:p>
    <w:p>
      <w:pPr>
        <w:pStyle w:val="SmartSenseMeta"/>
      </w:pPr>
      <w:r>
        <w:t>Merge ID 15 — Latest-state projection</w:t>
      </w:r>
    </w:p>
    <w:p>
      <w:pPr>
        <w:pStyle w:val="SmartSenseMeta"/>
      </w:pPr>
      <w:r>
        <w:t>Merge ID 16 — Data freshness &amp; offline determination</w:t>
      </w:r>
    </w:p>
    <w:p>
      <w:pPr>
        <w:pStyle w:val="SmartSenseMeta"/>
      </w:pPr>
      <w:r>
        <w:t>Merge ID 17 — Buffered &amp; backfilled reports</w:t>
      </w:r>
    </w:p>
    <w:p>
      <w:pPr>
        <w:pStyle w:val="SmartSenseMeta"/>
      </w:pPr>
      <w:r>
        <w:t>Merge ID 18 — Historical telemetry &amp; retention tiering</w:t>
      </w:r>
    </w:p>
    <w:p>
      <w:pPr>
        <w:pStyle w:val="SmartSenseMeta"/>
      </w:pPr>
      <w:r>
        <w:t>Merge ID 19 — Canonical data / attribute catalog</w:t>
      </w:r>
    </w:p>
    <w:p>
      <w:pPr>
        <w:pStyle w:val="SmartSenseMeta"/>
      </w:pPr>
      <w:r>
        <w:t>Merge ID 20 — Time / date &amp; timestamp authority</w:t>
      </w:r>
    </w:p>
    <w:p>
      <w:pPr>
        <w:pStyle w:val="SmartSenseMeta"/>
      </w:pPr>
      <w:r>
        <w:t>Merge ID 21 — Mileage logic</w:t>
      </w:r>
    </w:p>
    <w:p>
      <w:pPr>
        <w:pStyle w:val="SmartSenseMeta"/>
      </w:pPr>
      <w:r>
        <w:t>Merge ID 22 — GPS / location logic</w:t>
      </w:r>
    </w:p>
    <w:p>
      <w:pPr>
        <w:pStyle w:val="SmartSenseMeta"/>
      </w:pPr>
      <w:r>
        <w:t>Merge ID 23 — Alert-rule authoring &amp; versioning</w:t>
      </w:r>
    </w:p>
    <w:p>
      <w:pPr>
        <w:pStyle w:val="SmartSenseMeta"/>
      </w:pPr>
      <w:r>
        <w:t>Merge ID 24 — Threshold source precedence</w:t>
      </w:r>
    </w:p>
    <w:p>
      <w:pPr>
        <w:pStyle w:val="SmartSenseMeta"/>
      </w:pPr>
      <w:r>
        <w:t>Merge ID 25 — Rule distribution to devices</w:t>
      </w:r>
    </w:p>
    <w:p>
      <w:pPr>
        <w:pStyle w:val="SmartSenseMeta"/>
      </w:pPr>
      <w:r>
        <w:t>Merge ID 26 — Local vs. cloud evaluation</w:t>
      </w:r>
    </w:p>
    <w:p>
      <w:pPr>
        <w:pStyle w:val="SmartSenseMeta"/>
      </w:pPr>
      <w:r>
        <w:t>Merge ID 27 — Condition trigger / debounce / persistence</w:t>
      </w:r>
    </w:p>
    <w:p>
      <w:pPr>
        <w:pStyle w:val="SmartSenseMeta"/>
      </w:pPr>
      <w:r>
        <w:t>Merge ID 28 — Condition clearing / hysteresis / re-arm</w:t>
      </w:r>
    </w:p>
    <w:p>
      <w:pPr>
        <w:pStyle w:val="SmartSenseMeta"/>
      </w:pPr>
      <w:r>
        <w:t>Merge ID 29 — Flapping detection &amp; suppression</w:t>
      </w:r>
    </w:p>
    <w:p>
      <w:pPr>
        <w:pStyle w:val="SmartSenseMeta"/>
      </w:pPr>
      <w:r>
        <w:t>Merge ID 30 — Active condition while device is offline / unknown state</w:t>
      </w:r>
    </w:p>
    <w:p>
      <w:pPr>
        <w:pStyle w:val="SmartSenseMeta"/>
      </w:pPr>
      <w:r>
        <w:t>Merge ID 31 — Severity assignment &amp; escalation by magnitude / duration</w:t>
      </w:r>
    </w:p>
    <w:p>
      <w:pPr>
        <w:pStyle w:val="SmartSenseMeta"/>
      </w:pPr>
      <w:r>
        <w:t>Merge ID 32 — Alert-event creation / identity / dedup / re-trigger</w:t>
      </w:r>
    </w:p>
    <w:p>
      <w:pPr>
        <w:pStyle w:val="SmartSenseMeta"/>
      </w:pPr>
      <w:r>
        <w:t>Merge ID 33 — Communication-loss condition generation</w:t>
      </w:r>
    </w:p>
    <w:p>
      <w:pPr>
        <w:pStyle w:val="SmartSenseMeta"/>
      </w:pPr>
      <w:r>
        <w:t>Merge ID 34 — Notification eligibility</w:t>
      </w:r>
    </w:p>
    <w:p>
      <w:pPr>
        <w:pStyle w:val="SmartSenseMeta"/>
      </w:pPr>
      <w:r>
        <w:t>Merge ID 35 — Recipient resolution</w:t>
      </w:r>
    </w:p>
    <w:p>
      <w:pPr>
        <w:pStyle w:val="SmartSenseMeta"/>
      </w:pPr>
      <w:r>
        <w:t>Merge ID 36 — Delivery &amp; channel fallback</w:t>
      </w:r>
    </w:p>
    <w:p>
      <w:pPr>
        <w:pStyle w:val="SmartSenseMeta"/>
      </w:pPr>
      <w:r>
        <w:t>Merge ID 37 — Delivery confirmation</w:t>
      </w:r>
    </w:p>
    <w:p>
      <w:pPr>
        <w:pStyle w:val="SmartSenseMeta"/>
      </w:pPr>
      <w:r>
        <w:t>Merge ID 38 — Reminder cadence until acknowledgement</w:t>
      </w:r>
    </w:p>
    <w:p>
      <w:pPr>
        <w:pStyle w:val="SmartSenseMeta"/>
      </w:pPr>
      <w:r>
        <w:t>Merge ID 39 — Acknowledgement semantics &amp; recipient scope</w:t>
      </w:r>
    </w:p>
    <w:p>
      <w:pPr>
        <w:pStyle w:val="SmartSenseMeta"/>
      </w:pPr>
      <w:r>
        <w:t>Merge ID 40 — Snooze &amp; expiry</w:t>
      </w:r>
    </w:p>
    <w:p>
      <w:pPr>
        <w:pStyle w:val="SmartSenseMeta"/>
      </w:pPr>
      <w:r>
        <w:t>Merge ID 41 — All-clear notification</w:t>
      </w:r>
    </w:p>
    <w:p>
      <w:pPr>
        <w:pStyle w:val="SmartSenseMeta"/>
      </w:pPr>
      <w:r>
        <w:t>Merge ID 42 — Notification escalation</w:t>
      </w:r>
    </w:p>
    <w:p>
      <w:pPr>
        <w:pStyle w:val="SmartSenseMeta"/>
      </w:pPr>
      <w:r>
        <w:t>Merge ID 43 — Quiet hours &amp; rate limiting</w:t>
      </w:r>
    </w:p>
    <w:p>
      <w:pPr>
        <w:pStyle w:val="SmartSenseMeta"/>
      </w:pPr>
      <w:r>
        <w:t>Merge ID 44 — Per-unit health</w:t>
      </w:r>
    </w:p>
    <w:p>
      <w:pPr>
        <w:pStyle w:val="SmartSenseMeta"/>
      </w:pPr>
      <w:r>
        <w:t>Merge ID 45 — Fleet health rollup</w:t>
      </w:r>
    </w:p>
    <w:p>
      <w:pPr>
        <w:pStyle w:val="SmartSenseMeta"/>
      </w:pPr>
      <w:r>
        <w:t>Merge ID 46 — Status age</w:t>
      </w:r>
    </w:p>
    <w:p>
      <w:pPr>
        <w:pStyle w:val="SmartSenseMeta"/>
      </w:pPr>
      <w:r>
        <w:t>Merge ID 47 — Warranty period determination</w:t>
      </w:r>
    </w:p>
    <w:p>
      <w:pPr>
        <w:pStyle w:val="SmartSenseMeta"/>
      </w:pPr>
      <w:r>
        <w:t>Merge ID 48 — Liability attribution</w:t>
      </w:r>
    </w:p>
    <w:p>
      <w:pPr>
        <w:pStyle w:val="SmartSenseMeta"/>
      </w:pPr>
      <w:r>
        <w:t>Merge ID 49 — Service campaign lifecycle</w:t>
      </w:r>
    </w:p>
    <w:p>
      <w:pPr>
        <w:pStyle w:val="SmartSenseMeta"/>
      </w:pPr>
      <w:r>
        <w:t>Merge ID 50 — Fault-pattern clustering / fleet issue detection</w:t>
      </w:r>
    </w:p>
    <w:p>
      <w:pPr>
        <w:pStyle w:val="SmartSenseMeta"/>
      </w:pPr>
      <w:r>
        <w:t>Merge ID 51 — AI / data-analysis access &amp; governance</w:t>
      </w:r>
    </w:p>
    <w:p>
      <w:pPr>
        <w:pStyle w:val="SmartSenseMeta"/>
      </w:pPr>
      <w:r>
        <w:t>Merge ID 52 — Plan attachment at plant registration</w:t>
      </w:r>
    </w:p>
    <w:p>
      <w:pPr>
        <w:pStyle w:val="SmartSenseMeta"/>
      </w:pPr>
      <w:r>
        <w:t>Merge ID 53 — Included period &amp; holdership transfer</w:t>
      </w:r>
    </w:p>
    <w:p>
      <w:pPr>
        <w:pStyle w:val="SmartSenseMeta"/>
      </w:pPr>
      <w:r>
        <w:t>Merge ID 54 — Store subscription renewal &amp; lapse</w:t>
      </w:r>
    </w:p>
    <w:p>
      <w:pPr>
        <w:pStyle w:val="SmartSenseMeta"/>
      </w:pPr>
      <w:r>
        <w:t>Merge ID 55 — Essentials floor</w:t>
      </w:r>
    </w:p>
    <w:p>
      <w:pPr>
        <w:pStyle w:val="SmartSenseMeta"/>
      </w:pPr>
      <w:r>
        <w:t>Merge ID 56 — Entitlement enforcement on the device</w:t>
      </w:r>
    </w:p>
    <w:p>
      <w:pPr>
        <w:pStyle w:val="SmartSenseMeta"/>
      </w:pPr>
      <w:r>
        <w:t>Merge ID 57 — OEM feature configuration / white labeling</w:t>
      </w:r>
    </w:p>
    <w:p>
      <w:pPr>
        <w:pStyle w:val="SmartSenseMeta"/>
      </w:pPr>
      <w:r>
        <w:t>Merge ID 58 — Configuration application &amp; drift detection</w:t>
      </w:r>
    </w:p>
    <w:p>
      <w:pPr>
        <w:pStyle w:val="SmartSenseMeta"/>
      </w:pPr>
      <w:r>
        <w:t>Merge ID 59 — Firmware release &amp; health gating</w:t>
      </w:r>
    </w:p>
    <w:p>
      <w:pPr>
        <w:pStyle w:val="SmartSenseMeta"/>
      </w:pPr>
      <w:r>
        <w:t>Merge ID 60 — Command dispatch &amp; confirmation</w:t>
      </w:r>
    </w:p>
    <w:p>
      <w:pPr>
        <w:pStyle w:val="SmartSenseMeta"/>
      </w:pPr>
      <w:r>
        <w:t>Merge ID 61 — Firmware rollback</w:t>
      </w:r>
    </w:p>
    <w:p>
      <w:pPr>
        <w:pStyle w:val="SmartSenseMeta"/>
      </w:pPr>
      <w:r>
        <w:t>Merge ID 62 — System failure &amp; recovery</w:t>
      </w:r>
    </w:p>
    <w:p>
      <w:pPr>
        <w:pStyle w:val="SmartSenseMeta"/>
      </w:pPr>
      <w:r>
        <w:t>Merge ID 63 — Geofence definition &amp; assignment</w:t>
      </w:r>
    </w:p>
    <w:p>
      <w:pPr>
        <w:pStyle w:val="SmartSenseMeta"/>
      </w:pPr>
      <w:r>
        <w:t>Merge ID 64 — Geofence entry &amp; exit evaluation</w:t>
      </w:r>
    </w:p>
    <w:p>
      <w:pPr>
        <w:pStyle w:val="SmartSenseMeta"/>
      </w:pPr>
      <w:r>
        <w:t>Merge ID 65 — Geofence dwell &amp; in-transit expectation</w:t>
      </w:r>
    </w:p>
    <w:p>
      <w:pPr>
        <w:pStyle w:val="SmartSenseMeta"/>
      </w:pPr>
      <w:r>
        <w:t>Merge ID 66 — Authorization &amp; tenant isolation</w:t>
      </w:r>
    </w:p>
    <w:p>
      <w:pPr>
        <w:pStyle w:val="SmartSenseMeta"/>
      </w:pPr>
      <w:r>
        <w:t>Merge ID 67 — Audit emission</w:t>
      </w:r>
    </w:p>
    <w:p>
      <w:pPr>
        <w:pStyle w:val="SmartSenseMeta"/>
      </w:pPr>
      <w:r>
        <w:t>Merge ID 68 — OEM external API</w:t>
      </w:r>
    </w:p>
    <w:p>
      <w:pPr>
        <w:pStyle w:val="SmartSenseMeta"/>
      </w:pPr>
      <w:r>
        <w:t>Merge ID 69 — Bulk export</w:t>
      </w:r>
    </w:p>
    <w:p>
      <w:pPr>
        <w:pStyle w:val="SmartSenseMeta"/>
      </w:pPr>
      <w:r>
        <w:t>Merge ID 70 — Maintenance scheduling</w:t>
      </w:r>
    </w:p>
    <w:p>
      <w:pPr>
        <w:pStyle w:val="SmartSenseMeta"/>
      </w:pPr>
      <w:r>
        <w:t>Merge ID 71 — Cross-field data quality &amp; plausibility</w:t>
      </w:r>
    </w:p>
    <w:p>
      <w:pPr>
        <w:pStyle w:val="SmartSenseMeta"/>
      </w:pPr>
      <w:r>
        <w:t>Merge ID 72 — Product Mode &amp; capability architecture</w:t>
      </w:r>
    </w:p>
    <w:p>
      <w:pPr>
        <w:pStyle w:val="SmartSenseMeta"/>
      </w:pPr>
      <w:r>
        <w:t>Appendix A — Open / Deferred Decision Register</w:t>
      </w:r>
    </w:p>
    <w:p>
      <w:pPr>
        <w:pStyle w:val="SmartSenseMeta"/>
      </w:pPr>
      <w:r>
        <w:t>Appendix B — v0.8 New Decision Register (D-104–D-121)</w:t>
      </w:r>
    </w:p>
    <w:p>
      <w:pPr>
        <w:pStyle w:val="SmartSenseMeta"/>
      </w:pPr>
      <w:r>
        <w:t>Appendix C — v0.5 Review-to-Control Trace (historical change-cycle evidence)</w:t>
      </w:r>
    </w:p>
    <w:p>
      <w:pPr>
        <w:pStyle w:val="SmartSenseMeta"/>
      </w:pPr>
      <w:r>
        <w:rPr>
          <w:rFonts w:ascii="Aptos" w:hAnsi="Aptos" w:eastAsia="Aptos"/>
          <w:b w:val="0"/>
        </w:rPr>
        <w:t>Appendix D — Developer Use / Baseline Control</w:t>
      </w:r>
    </w:p>
    <w:p>
      <w:r>
        <w:br w:type="page"/>
      </w:r>
    </w:p>
    <w:p>
      <w:pPr>
        <w:pStyle w:val="Heading1"/>
        <w:keepNext/>
      </w:pPr>
      <w:r>
        <w:t>Merge ID Specifications</w:t>
      </w:r>
    </w:p>
    <w:p>
      <w:pPr>
        <w:pStyle w:val="Heading2"/>
        <w:keepNext/>
      </w:pPr>
      <w:r>
        <w:t>Merge ID 1 — VIN master creation &amp; OEM/model/model-year association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 Factory Mobile App  |  Team approval: Pending where applicable</w:t>
      </w:r>
    </w:p>
    <w:p>
      <w:pPr>
        <w:pStyle w:val="Heading3"/>
        <w:keepNext/>
      </w:pPr>
      <w:r>
        <w:t>Purpose</w:t>
      </w:r>
    </w:p>
    <w:p>
      <w:r>
        <w:t>Define the controlled SmartSense behavior for vin master creation &amp; oem/model/model-year association and its boundaries within the VIN-centered, multi-tenant Product Mode architecture.</w:t>
      </w:r>
    </w:p>
    <w:p>
      <w:pPr>
        <w:pStyle w:val="Heading3"/>
        <w:keepNext/>
      </w:pPr>
      <w:r>
        <w:t>Confirmed Requirements</w:t>
      </w:r>
    </w:p>
    <w:p>
      <w:pPr>
        <w:pStyle w:val="RequirementBullet"/>
      </w:pPr>
      <w:r>
        <w:t>• VIN remains the permanent vehicle identity.</w:t>
      </w:r>
    </w:p>
    <w:p>
      <w:pPr>
        <w:pStyle w:val="RequirementBullet"/>
      </w:pPr>
      <w:r>
        <w:t>• VIN operational lifecycle, retail ownership/claim state, and Gateway lifecycle are separate state dimensions; factory corrections use controlled void/rollback and protected operational history is not destructively deleted.</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Protected-history rollback; lifecycle-state implementation/audit details</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VIN remains the permanent vehicle identity. VIN operational lifecycle, retail ownership/claim state, and Gateway lifecycle are separate state dimensions; factory corrections use controlled void/rollback and protected operational history is not destructively deleted.</w:t>
      </w:r>
    </w:p>
    <w:p>
      <w:pPr>
        <w:pStyle w:val="Heading2"/>
        <w:keepNext/>
      </w:pPr>
      <w:r>
        <w:t>Merge ID 2 — Factory gateway-to-VIN binding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Gateway / location-capable only</w:t>
            </w:r>
          </w:p>
        </w:tc>
      </w:tr>
    </w:tbl>
    <w:p>
      <w:pPr>
        <w:pStyle w:val="SmartSenseMeta"/>
      </w:pPr>
      <w:r>
        <w:t>Priority: P0  |  Authoritative execution: Factory Mobile App + Cloud + Gateway  |  Team approval: Pending where applicable</w:t>
      </w:r>
    </w:p>
    <w:p>
      <w:pPr>
        <w:pStyle w:val="Heading3"/>
        <w:keepNext/>
      </w:pPr>
      <w:r>
        <w:t>Purpose</w:t>
      </w:r>
    </w:p>
    <w:p>
      <w:r>
        <w:t>Define the controlled SmartSense behavior for factory gateway-to-vin binding and its boundaries within the VIN-centered, multi-tenant Product Mode architecture.</w:t>
      </w:r>
    </w:p>
    <w:p>
      <w:pPr>
        <w:pStyle w:val="Heading3"/>
        <w:keepNext/>
      </w:pPr>
      <w:r>
        <w:t>Confirmed Requirements</w:t>
      </w:r>
    </w:p>
    <w:p>
      <w:pPr>
        <w:pStyle w:val="RequirementBullet"/>
      </w:pPr>
      <w:r>
        <w:t>• One Current Gateway may be bound to a Gateway-mode VIN.</w:t>
      </w:r>
    </w:p>
    <w:p>
      <w:pPr>
        <w:pStyle w:val="RequirementBullet"/>
      </w:pPr>
      <w:r>
        <w:t>• Factory binding requires an online/unassigned Gateway; association corrections retain history.</w:t>
      </w:r>
    </w:p>
    <w:p>
      <w:pPr>
        <w:pStyle w:val="RequirementBullet"/>
      </w:pPr>
      <w:r>
        <w:t>• Gateway lifecycle is tracked separately from VIN and ownership state.</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Gateway / location-capable only; unsupported capabilities must not be implied by another Product Mode or by current implementation evidence.</w:t>
      </w:r>
    </w:p>
    <w:p>
      <w:pPr>
        <w:pStyle w:val="Heading3"/>
        <w:keepNext/>
      </w:pPr>
      <w:r>
        <w:t>Developer Confirmation / Open Items</w:t>
      </w:r>
    </w:p>
    <w:p>
      <w:r>
        <w:t>None for current scope; lifecycle-state implementation details</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One Current Gateway may be bound to a Gateway-mode VIN. Factory binding requires an online/unassigned Gateway; association corrections retain history. Gateway lifecycle is tracked separately from VIN and ownership state.</w:t>
      </w:r>
    </w:p>
    <w:p>
      <w:pPr>
        <w:pStyle w:val="Heading2"/>
        <w:keepNext/>
      </w:pPr>
      <w:r>
        <w:t>Merge ID 3 — Owner account creation &amp; pairing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v2.1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Mobile App + Cloud; Gateway BLE/LTE checks in Gateway mode  |  Team approval: Pending where applicable</w:t>
      </w:r>
    </w:p>
    <w:p>
      <w:pPr>
        <w:pStyle w:val="Heading3"/>
        <w:keepNext/>
      </w:pPr>
      <w:r>
        <w:t>Purpose</w:t>
      </w:r>
    </w:p>
    <w:p>
      <w:r>
        <w:t>Define the controlled SmartSense behavior for owner account creation &amp; pairing and its boundaries within the VIN-centered, multi-tenant Product Mode architecture.</w:t>
      </w:r>
    </w:p>
    <w:p>
      <w:pPr>
        <w:pStyle w:val="Heading3"/>
        <w:keepNext/>
      </w:pPr>
      <w:r>
        <w:t>Confirmed Requirements</w:t>
      </w:r>
    </w:p>
    <w:p>
      <w:pPr>
        <w:pStyle w:val="RequirementBullet"/>
      </w:pPr>
      <w:r>
        <w:t>• Retail account identity uses verified email plus authentication; names are not required in current scope.</w:t>
      </w:r>
    </w:p>
    <w:p>
      <w:pPr>
        <w:pStyle w:val="RequirementBullet"/>
      </w:pPr>
      <w:r>
        <w:t>• First successful claimant becomes Primary Owner for that VIN. Additional Authorized Users join by verified-email invitation; no current product-defined Authorized User cap exists. One account may be Primary Owner of multiple VINs and Authorized User on additional VINs, with role/access evaluated independently for each VIN.</w:t>
      </w:r>
    </w:p>
    <w:p>
      <w:pPr>
        <w:pStyle w:val="RequirementBullet"/>
      </w:pPr>
      <w:r>
        <w:t>• For Gateway Product Mode, the pairing code is a Gateway-manufactured credential, printed on the device label and included in Gateway data reported to cloud. It is not a VIN credential.</w:t>
      </w:r>
    </w:p>
    <w:p>
      <w:pPr>
        <w:pStyle w:val="RequirementBullet"/>
      </w:pPr>
      <w:r>
        <w:t>• Gateway-mode claim requires local BLE communication with the currently registered/current Gateway, the code from that Gateway, the Gateway itself online through LTE, and cloud confirmation that the VIN is claimable and the communicating Gateway is the Current registered Gateway.</w:t>
      </w:r>
    </w:p>
    <w:p>
      <w:pPr>
        <w:pStyle w:val="RequirementBullet"/>
      </w:pPr>
      <w:r>
        <w:t>• Phone-only cloud connectivity is not a substitute for Gateway LTE; without Gateway LTE, Gateway-mode owner claim/activation cannot complete in current scope.</w:t>
      </w:r>
    </w:p>
    <w:p>
      <w:pPr>
        <w:pStyle w:val="RequirementBullet"/>
      </w:pPr>
      <w:r>
        <w:t>• For Direct TPMS, no Gateway pairing code is used. Claim requires verified account + VIN + cloud confirmation that the VIN is claimable + local BLE presence verification of the VIN's factory-registered TPMS sensor set.</w:t>
      </w:r>
    </w:p>
    <w:p>
      <w:pPr>
        <w:pStyle w:val="RequirementBullet"/>
      </w:pPr>
      <w:r>
        <w:t>• OD-009 remains open only for the exact Direct TPMS sensor-count/timing/presence criterion; the architecture itself is approved.</w:t>
      </w:r>
    </w:p>
    <w:p>
      <w:pPr>
        <w:pStyle w:val="RequirementBullet"/>
      </w:pPr>
      <w:r>
        <w:t>• Authenticated email change requires new-email verification before effective and prior-email security notice where possible. Lost-access recovery uses controlled/audited SmartSense support/admin recovery; VIN + Gateway code alone is insufficient.</w:t>
      </w:r>
    </w:p>
    <w:p>
      <w:pPr>
        <w:pStyle w:val="Heading3"/>
        <w:keepNext/>
      </w:pPr>
      <w:r>
        <w:t>Process Flow</w:t>
      </w:r>
    </w:p>
    <w:p>
      <w:pPr>
        <w:ind w:left="173"/>
      </w:pPr>
      <w:r>
        <w:rPr>
          <w:rFonts w:ascii="Consolas" w:hAnsi="Consolas" w:eastAsia="Consolas"/>
          <w:b w:val="0"/>
          <w:color w:val="334155"/>
          <w:sz w:val="17"/>
        </w:rPr>
        <w:t>Gateway claim: Verified account → VIN → Cloud confirms Product Mode=GATEWAY and claimable state → App establishes local BLE with Current Gateway → User/app presents that Gateway's manufactured pairing code → Gateway itself confirms LTE/cloud connectivity → Cloud confirms communicating Gateway is Current for VIN → Claim succeeds → user becomes Primary Owner.</w:t>
      </w:r>
    </w:p>
    <w:p>
      <w:pPr>
        <w:ind w:left="173"/>
      </w:pPr>
      <w:r>
        <w:rPr>
          <w:rFonts w:ascii="Consolas" w:hAnsi="Consolas" w:eastAsia="Consolas"/>
          <w:b w:val="0"/>
          <w:color w:val="334155"/>
          <w:sz w:val="17"/>
        </w:rPr>
        <w:t>Direct claim: Verified account → VIN → Cloud confirms Product Mode=DIRECT_TPMS and claimable state → App locally verifies BLE presence of VIN's factory sensor set according to OD-009 criterion → Claim succeeds → user becomes Primary Owner.</w:t>
      </w:r>
    </w:p>
    <w:p>
      <w:pPr/>
      <w:r>
        <w:t>Multi-RV relationship rule: each VIN is claimed/released independently. Claiming or accessing one RV does not broaden access to any other VIN on the same user account.</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OD-009 exact Direct TPMS sensor-presence count/timing; exact account-recovery proof procedure</w:t>
      </w:r>
    </w:p>
    <w:p>
      <w:pPr>
        <w:pStyle w:val="Heading3"/>
        <w:keepNext/>
      </w:pPr>
      <w:r>
        <w:t>Acceptance / Test Implications</w:t>
      </w:r>
    </w:p>
    <w:p>
      <w:pPr>
        <w:pStyle w:val="RequirementBullet"/>
      </w:pPr>
      <w:r>
        <w:t>• Authorization, ownership/privacy and audit evidence must be tested across allowed and denied tenant/user scenarios.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Verified-email account identity. Primary Owner and invited Authorized Users are VIN-scoped relationships; one account may be Primary Owner of multiple RVs and Authorized User on additional RVs. Gateway claim requires local BLE to the Current Gateway, its manufactured pairing code, Gateway LTE, and cloud confirmation of claimable VIN/current Gateway. Direct TPMS claim uses verified account + VIN + local BLE presence proof of the factory sensor set; OD-009 defines the remaining exact criterion. No product-defined Authorized User cap.</w:t>
      </w:r>
    </w:p>
    <w:p>
      <w:pPr>
        <w:pStyle w:val="Heading2"/>
        <w:keepNext/>
      </w:pPr>
      <w:r>
        <w:t>Merge ID 4 — Gateway replacement on a vehicle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Gateway / location-capable only</w:t>
            </w:r>
          </w:p>
        </w:tc>
      </w:tr>
    </w:tbl>
    <w:p>
      <w:pPr>
        <w:pStyle w:val="SmartSenseMeta"/>
      </w:pPr>
      <w:r>
        <w:t>Priority: P0  |  Authoritative execution: Cloud + service/OEM workflow + replacement Gateway  |  Team approval: Pending where applicable</w:t>
      </w:r>
    </w:p>
    <w:p>
      <w:pPr>
        <w:pStyle w:val="Heading3"/>
        <w:keepNext/>
      </w:pPr>
      <w:r>
        <w:t>Purpose</w:t>
      </w:r>
    </w:p>
    <w:p>
      <w:r>
        <w:t>Define the controlled SmartSense behavior for gateway replacement on a vehicle and its boundaries within the VIN-centered, multi-tenant Product Mode architecture.</w:t>
      </w:r>
    </w:p>
    <w:p>
      <w:pPr>
        <w:pStyle w:val="Heading3"/>
        <w:keepNext/>
      </w:pPr>
      <w:r>
        <w:t>Confirmed Requirements</w:t>
      </w:r>
    </w:p>
    <w:p>
      <w:pPr>
        <w:pStyle w:val="RequirementBullet"/>
      </w:pPr>
      <w:r>
        <w:t>• Replacement is modeled as a separate Gateway Replacement Transaction/Job rather than changing the old Gateway association at the start.</w:t>
      </w:r>
    </w:p>
    <w:p>
      <w:pPr>
        <w:pStyle w:val="RequirementBullet"/>
      </w:pPr>
      <w:r>
        <w:t>• Transaction states include Started / Setup In Progress / Ready for Cutover / Complete, with an Aborted path. Exact technical state names may be implementation-specific if these semantics are preserved.</w:t>
      </w:r>
    </w:p>
    <w:p>
      <w:pPr>
        <w:pStyle w:val="RequirementBullet"/>
      </w:pPr>
      <w:r>
        <w:t>• The old Gateway remains the Current association until successful cutover.</w:t>
      </w:r>
    </w:p>
    <w:p>
      <w:pPr>
        <w:pStyle w:val="RequirementBullet"/>
      </w:pPr>
      <w:r>
        <w:t>• The replacement Gateway is reserved/pending and may not become Current until required configuration and all required TPMS pairing are complete.</w:t>
      </w:r>
    </w:p>
    <w:p>
      <w:pPr>
        <w:pStyle w:val="RequirementBullet"/>
      </w:pPr>
      <w:r>
        <w:t>• Mid-process failure may be resumed or aborted without losing the old Current Gateway relationship.</w:t>
      </w:r>
    </w:p>
    <w:p>
      <w:pPr>
        <w:pStyle w:val="RequirementBullet"/>
      </w:pPr>
      <w:r>
        <w:t>• Cutover is atomic from the product perspective: new Gateway becomes Current; old Gateway becomes Replaced/Removed From Service; VIN history remains continuous.</w:t>
      </w:r>
    </w:p>
    <w:p>
      <w:pPr>
        <w:pStyle w:val="RequirementBullet"/>
      </w:pPr>
      <w:r>
        <w:t>• Delayed telemetry from the replaced Gateway follows the controlled buffered/backfill/timestamp rules and cannot silently overwrite newer current state.</w:t>
      </w:r>
    </w:p>
    <w:p>
      <w:pPr>
        <w:pStyle w:val="Heading3"/>
        <w:keepNext/>
      </w:pPr>
      <w:r>
        <w:t>Process Flow</w:t>
      </w:r>
    </w:p>
    <w:p>
      <w:pPr>
        <w:ind w:left="173"/>
      </w:pPr>
      <w:r>
        <w:rPr>
          <w:rFonts w:ascii="Consolas" w:hAnsi="Consolas" w:eastAsia="Consolas"/>
          <w:b w:val="0"/>
          <w:color w:val="334155"/>
          <w:sz w:val="17"/>
        </w:rPr>
        <w:t>Start replacement job → reserve eligible replacement Gateway → deliver/apply required configuration → pair all required Model TPMS positions → mark Ready for Cutover → atomic Current-Gateway switch → old Gateway becomes Replaced/Removed → retain VIN/device history. Abort at any pre-cutover point leaves old Gateway Current.</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Gateway / location-capable only; unsupported capabilities must not be implied by another Product Mode or by current implementation evidence.</w:t>
      </w:r>
    </w:p>
    <w:p>
      <w:pPr>
        <w:pStyle w:val="Heading3"/>
        <w:keepNext/>
      </w:pPr>
      <w:r>
        <w:t>Developer Confirmation / Open Items</w:t>
      </w:r>
    </w:p>
    <w:p>
      <w:r>
        <w:t>Delayed telemetry follows M17; exact replacement-job implementation mechanics</w:t>
      </w:r>
    </w:p>
    <w:p>
      <w:pPr>
        <w:pStyle w:val="Heading3"/>
        <w:keepNext/>
      </w:pPr>
      <w:r>
        <w:t>Acceptance / Test Implications</w:t>
      </w:r>
    </w:p>
    <w:p>
      <w:pPr>
        <w:pStyle w:val="RequirementBullet"/>
      </w:pPr>
      <w:r>
        <w:t>• Authorization, ownership/privacy and audit evidence must be tested across allowed and denied tenant/user scenarios.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Gateway replacement is a controlled transaction (Started / Setup In Progress / Ready for Cutover / Complete, with Aborted). Old Gateway remains Current until atomic successful cutover; replacement must complete required configuration and TPMS pairing first.</w:t>
      </w:r>
    </w:p>
    <w:p>
      <w:pPr>
        <w:pStyle w:val="Heading2"/>
        <w:keepNext/>
      </w:pPr>
      <w:r>
        <w:t>Merge ID 5 — Unpairing &amp; ownership transfer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v2.1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Mobile App + Cloud  |  Team approval: Pending where applicable</w:t>
      </w:r>
    </w:p>
    <w:p>
      <w:pPr>
        <w:pStyle w:val="Heading3"/>
        <w:keepNext/>
      </w:pPr>
      <w:r>
        <w:t>Purpose</w:t>
      </w:r>
    </w:p>
    <w:p>
      <w:r>
        <w:t>Define the controlled SmartSense behavior for unpairing &amp; ownership transfer and its boundaries within the VIN-centered, multi-tenant Product Mode architecture.</w:t>
      </w:r>
    </w:p>
    <w:p>
      <w:pPr>
        <w:pStyle w:val="Heading3"/>
        <w:keepNext/>
      </w:pPr>
      <w:r>
        <w:t>Confirmed Requirements</w:t>
      </w:r>
    </w:p>
    <w:p>
      <w:pPr>
        <w:pStyle w:val="RequirementBullet"/>
      </w:pPr>
      <w:r>
        <w:t>• Ownership release is VIN-scoped: it removes the prior Primary Owner and all Authorized User access for that VIN, makes that VIN claimable, and retains VIN history. Other VIN relationships held by the same account are unaffected.</w:t>
      </w:r>
    </w:p>
    <w:p>
      <w:pPr>
        <w:pStyle w:val="RequirementBullet"/>
      </w:pPr>
      <w:r>
        <w:t>• Gateway-mode re-claim uses the Current Gateway's manufactured credential; Direct TPMS uses local factory-sensor presence proof.</w:t>
      </w:r>
    </w:p>
    <w:p>
      <w:pPr>
        <w:pStyle w:val="RequirementBullet"/>
      </w:pPr>
      <w:r>
        <w:t>• New-owner history visibility remains explicitly deferred.</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OD-007 new-owner history; OD-010 dealer/service transfer roles</w:t>
      </w:r>
    </w:p>
    <w:p>
      <w:pPr>
        <w:pStyle w:val="Heading3"/>
        <w:keepNext/>
      </w:pPr>
      <w:r>
        <w:t>Acceptance / Test Implications</w:t>
      </w:r>
    </w:p>
    <w:p>
      <w:pPr>
        <w:pStyle w:val="RequirementBullet"/>
      </w:pPr>
      <w:r>
        <w:t>• Authorization, ownership/privacy and audit evidence must be tested across allowed and denied tenant/user scenarios.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Ownership release is VIN-scoped: it removes the prior Primary Owner and Authorized User access for that VIN, makes that VIN claimable and retains VIN history; other RV relationships on the same account are unaffected. Gateway-mode re-claim uses the Current Gateway's manufactured credential; Direct TPMS uses local factory-sensor presence proof. New-owner history visibility remains explicitly deferred.</w:t>
      </w:r>
    </w:p>
    <w:p>
      <w:pPr>
        <w:pStyle w:val="Heading2"/>
        <w:keepNext/>
      </w:pPr>
      <w:r>
        <w:t>Merge ID 6 — Account deletion &amp; data retention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 Mobile App  |  Team approval: Pending where applicable</w:t>
      </w:r>
    </w:p>
    <w:p>
      <w:pPr>
        <w:pStyle w:val="Heading3"/>
        <w:keepNext/>
      </w:pPr>
      <w:r>
        <w:t>Purpose</w:t>
      </w:r>
    </w:p>
    <w:p>
      <w:r>
        <w:t>Define the controlled SmartSense behavior for account deletion &amp; data retention and its boundaries within the VIN-centered, multi-tenant Product Mode architecture.</w:t>
      </w:r>
    </w:p>
    <w:p>
      <w:pPr>
        <w:pStyle w:val="Heading3"/>
        <w:keepNext/>
      </w:pPr>
      <w:r>
        <w:t>Confirmed Requirements</w:t>
      </w:r>
    </w:p>
    <w:p>
      <w:pPr>
        <w:pStyle w:val="RequirementBullet"/>
      </w:pPr>
      <w:r>
        <w:t>• Account closure never deletes VIN or operational history.</w:t>
      </w:r>
    </w:p>
    <w:p>
      <w:pPr>
        <w:pStyle w:val="RequirementBullet"/>
      </w:pPr>
      <w:r>
        <w:t>• Historical/audit evidence retains a stable immutable internal User ID while display PII may be removed/anonymized under privacy/security procedures.</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Exact anonymization/legal retention procedure remains privacy/security work</w:t>
      </w:r>
    </w:p>
    <w:p>
      <w:pPr>
        <w:pStyle w:val="Heading3"/>
        <w:keepNext/>
      </w:pPr>
      <w:r>
        <w:t>Acceptance / Test Implications</w:t>
      </w:r>
    </w:p>
    <w:p>
      <w:pPr>
        <w:pStyle w:val="RequirementBullet"/>
      </w:pPr>
      <w:r>
        <w:t>• Authorization, ownership/privacy and audit evidence must be tested across allowed and denied tenant/user scenarios.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Account closure never deletes VIN or operational history. Historical/audit evidence retains a stable immutable internal User ID while display PII may be removed/anonymized under privacy/security procedures.</w:t>
      </w:r>
    </w:p>
    <w:p>
      <w:pPr>
        <w:pStyle w:val="Heading2"/>
        <w:keepNext/>
      </w:pPr>
      <w:r>
        <w:t>Merge ID 7 — Dealer &amp; service-organisation assignment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DEFERRED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Future / Deferred</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v0.1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TBD — deferred  |  Team approval: Pending where applicable</w:t>
      </w:r>
    </w:p>
    <w:p>
      <w:pPr>
        <w:pStyle w:val="Heading3"/>
        <w:keepNext/>
      </w:pPr>
      <w:r>
        <w:t>Purpose</w:t>
      </w:r>
    </w:p>
    <w:p>
      <w:r>
        <w:t>Preserve a clear deferred boundary for dealer/service-organization relationships so current OEM/retail development is not blocked or filled by assumption.</w:t>
      </w:r>
    </w:p>
    <w:p>
      <w:pPr>
        <w:pStyle w:val="Heading3"/>
        <w:keepNext/>
      </w:pPr>
      <w:r>
        <w:t>Confirmed Requirements</w:t>
      </w:r>
    </w:p>
    <w:p>
      <w:pPr>
        <w:pStyle w:val="RequirementBullet"/>
      </w:pPr>
      <w:r>
        <w:t>• Dealer/service organization assignment remains intentionally deferred and must not block current OEM/retail implementation.</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OD-002 / OD-010 — intentionally deferred</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Dealer/service organization assignment remains intentionally deferred and must not block current OEM/retail implementation.</w:t>
      </w:r>
    </w:p>
    <w:p>
      <w:pPr>
        <w:pStyle w:val="Heading2"/>
        <w:keepNext/>
      </w:pPr>
      <w:r>
        <w:t>Merge ID 8 — Owner activation effects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 Mobile App + OEM Portal  |  Team approval: Pending where applicable</w:t>
      </w:r>
    </w:p>
    <w:p>
      <w:pPr>
        <w:pStyle w:val="Heading3"/>
        <w:keepNext/>
      </w:pPr>
      <w:r>
        <w:t>Purpose</w:t>
      </w:r>
    </w:p>
    <w:p>
      <w:r>
        <w:t>Define the controlled SmartSense behavior for owner activation effects and its boundaries within the VIN-centered, multi-tenant Product Mode architecture.</w:t>
      </w:r>
    </w:p>
    <w:p>
      <w:pPr>
        <w:pStyle w:val="Heading3"/>
        <w:keepNext/>
      </w:pPr>
      <w:r>
        <w:t>Confirmed Requirements</w:t>
      </w:r>
    </w:p>
    <w:p>
      <w:pPr>
        <w:pStyle w:val="RequirementBullet"/>
      </w:pPr>
      <w:r>
        <w:t>• Owner Activation enables retail access/notifications and records immutable Original Activation Date.</w:t>
      </w:r>
    </w:p>
    <w:p>
      <w:pPr>
        <w:pStyle w:val="RequirementBullet"/>
      </w:pPr>
      <w:r>
        <w:t>• Subscription start is not Owner Activation; it is defined by M52 at OEM VIN registration.</w:t>
      </w:r>
    </w:p>
    <w:p>
      <w:pPr>
        <w:pStyle w:val="RequirementBullet"/>
      </w:pPr>
      <w:r>
        <w:t>• OEM may see activation/ownership status and dates but not retail login identity by default.</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OD-003 maintenance effects; subscription timing resolved by M52</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Owner Activation enables retail access/notifications and records immutable Original Activation Date. Subscription start is not Owner Activation; it is defined by M52 at OEM VIN registration. OEM may see activation/ownership status and dates but not retail login identity by default.</w:t>
      </w:r>
    </w:p>
    <w:p>
      <w:r>
        <w:br w:type="page"/>
      </w:r>
    </w:p>
    <w:p>
      <w:pPr>
        <w:pStyle w:val="Heading2"/>
        <w:keepNext/>
      </w:pPr>
      <w:r>
        <w:t>Merge ID 9 — TPMS sensor registration &amp; pairing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v1.3</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Factory/Service/Primary Owner Mobile App + Cloud; mode-specific pairing target  |  Team approval: Pending where applicable</w:t>
      </w:r>
    </w:p>
    <w:p>
      <w:pPr>
        <w:pStyle w:val="Heading3"/>
        <w:keepNext/>
      </w:pPr>
      <w:r>
        <w:t>Purpose</w:t>
      </w:r>
    </w:p>
    <w:p>
      <w:r>
        <w:t>Define the controlled SmartSense behavior for tpms sensor registration &amp; pairing and its boundaries within the VIN-centered, multi-tenant Product Mode architecture.</w:t>
      </w:r>
    </w:p>
    <w:p>
      <w:pPr>
        <w:pStyle w:val="Heading3"/>
        <w:keepNext/>
      </w:pPr>
      <w:r>
        <w:t>Confirmed Requirements</w:t>
      </w:r>
    </w:p>
    <w:p>
      <w:pPr>
        <w:pStyle w:val="RequirementBullet"/>
      </w:pPr>
      <w:r>
        <w:t>• Factory pairing discovers TPMS by pressure change/MAC and requires all Model-defined tire positions.</w:t>
      </w:r>
    </w:p>
    <w:p>
      <w:pPr>
        <w:pStyle w:val="RequirementBullet"/>
      </w:pPr>
      <w:r>
        <w:t>• After retail ownership, the Primary Owner may replace/re-pair one TPMS sensor only into an existing Model-defined tire position. This service workflow does not authorize changes to axle count, tire count, tire-position layout or other OEM Model wheel configuration.</w:t>
      </w:r>
    </w:p>
    <w:p>
      <w:pPr>
        <w:pStyle w:val="RequirementBullet"/>
      </w:pPr>
      <w:r>
        <w:t>• Cross-VIN sensor ownership/eligibility is server-authoritative. If a discovered sensor is already associated with another VIN, the pairing attempt must be rejected unless server state confirms the sensor was properly released and is eligible.</w:t>
      </w:r>
    </w:p>
    <w:p>
      <w:pPr>
        <w:pStyle w:val="RequirementBullet"/>
      </w:pPr>
      <w:r>
        <w:t>• Pairing terminates at Gateway in Gateway Mode and at phone/app in Direct TPMS.</w:t>
      </w:r>
    </w:p>
    <w:p>
      <w:pPr>
        <w:pStyle w:val="RequirementBullet"/>
      </w:pPr>
      <w:r>
        <w:t>• Pairing discovery must begin without intentional application-layer delay and the mobile UI must surface a valid qualifying TPMS sensor promptly after its qualifying BLE advertisement is received.</w:t>
      </w:r>
    </w:p>
    <w:p>
      <w:pPr>
        <w:pStyle w:val="RequirementBullet"/>
      </w:pPr>
      <w:r>
        <w:t>• Current observed Gateway-mode pairing discovery delay is not acceptable for production. Engineering shall instrument and benchmark the scan-to-presentation path on supported iOS/Android and establish the final numeric release criterion from measured evidence.</w:t>
      </w:r>
    </w:p>
    <w:p>
      <w:pPr>
        <w:pStyle w:val="RequirementBullet"/>
      </w:pPr>
      <w:r>
        <w:t>• Spare-tire monitoring is not in current scope.</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No spare monitoring in current scope. Exact numeric pairing-discovery acceptance timing remains technical validation/benchmarking. Dealer/service role details remain deferred; current retail service authority is Primary Owner only. Cross-VIN sensor eligibility is not a local-app-only decision.</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Factory pairing discovers TPMS by pressure change/MAC and requires all Model-defined tire positions. Pairing terminates at Gateway in Gateway Mode and at phone/app in Direct TPMS. After retail ownership, the Primary Owner may replace/re-pair an individual sensor only in an existing Model-defined position, without altering OEM wheel layout; cross-VIN eligibility is server-authoritative. Pairing discovery must be responsive and benchmarked; spare monitoring is not current scope.</w:t>
      </w:r>
    </w:p>
    <w:p>
      <w:pPr>
        <w:pStyle w:val="Heading2"/>
        <w:keepNext/>
      </w:pPr>
      <w:r>
        <w:t>Merge ID 10 — Direct-to-sensor mobile mode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PARTIAL / WIP</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Current WIP</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v0.10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Direct TPMS only</w:t>
            </w:r>
          </w:p>
        </w:tc>
      </w:tr>
    </w:tbl>
    <w:p>
      <w:pPr>
        <w:pStyle w:val="SmartSenseMeta"/>
      </w:pPr>
      <w:r>
        <w:t>Priority: P1  |  Authoritative execution: Direct TPMS App/Phone + TPMS Sensors + Cloud  |  Team approval: Pending where applicable</w:t>
      </w:r>
    </w:p>
    <w:p>
      <w:pPr>
        <w:pStyle w:val="Heading3"/>
        <w:keepNext/>
      </w:pPr>
      <w:r>
        <w:t>Purpose</w:t>
      </w:r>
    </w:p>
    <w:p>
      <w:r>
        <w:t>Define the controlled SmartSense behavior for direct-to-sensor mobile mode and its boundaries within the VIN-centered, multi-tenant Product Mode architecture.</w:t>
      </w:r>
    </w:p>
    <w:p>
      <w:pPr>
        <w:pStyle w:val="Heading3"/>
        <w:keepNext/>
      </w:pPr>
      <w:r>
        <w:t>Confirmed Requirements</w:t>
      </w:r>
    </w:p>
    <w:p>
      <w:pPr>
        <w:pStyle w:val="RequirementBullet"/>
      </w:pPr>
      <w:r>
        <w:t>• Direct TPMS communicates directly only with the VIN's factory-registered TPMS sensor MAC set; no Gateway is part of this Product Mode.</w:t>
      </w:r>
    </w:p>
    <w:p>
      <w:pPr>
        <w:pStyle w:val="RequirementBullet"/>
      </w:pPr>
      <w:r>
        <w:t>• DIRECT_TPMS is TPMS-only. Temperature/humidity and accelerometer sensing are not Direct TPMS capabilities and must be represented as Not Available rather than inferred from phone sensors or Gateway-mode behavior.</w:t>
      </w:r>
    </w:p>
    <w:p>
      <w:pPr>
        <w:pStyle w:val="RequirementBullet"/>
      </w:pPr>
      <w:r>
        <w:t>• Local alert evaluation continues without internet using the last successfully downloaded valid cloud/Model thresholds.</w:t>
      </w:r>
    </w:p>
    <w:p>
      <w:pPr>
        <w:pStyle w:val="RequirementBullet"/>
      </w:pPr>
      <w:r>
        <w:t>• The app must clearly indicate whether local TPMS monitoring is active or not active.</w:t>
      </w:r>
    </w:p>
    <w:p>
      <w:pPr>
        <w:pStyle w:val="RequirementBullet"/>
      </w:pPr>
      <w:r>
        <w:t>• Where feasible, preserve monitoring-session evidence including session start, last-known monitoring heartbeat/time and a known stop/loss reason when the OS provides it. Do not require an impossible exact termination timestamp when the OS kills the app without notice.</w:t>
      </w:r>
    </w:p>
    <w:p>
      <w:pPr>
        <w:pStyle w:val="RequirementBullet"/>
      </w:pPr>
      <w:r>
        <w:t>• Applicable telemetry/events are buffered and later synchronized without fabricating event time.</w:t>
      </w:r>
    </w:p>
    <w:p>
      <w:pPr>
        <w:pStyle w:val="RequirementBullet"/>
      </w:pPr>
      <w:r>
        <w:t>• Initial owner claim requires local BLE presence proof of the factory sensor set; exact sensor count/timing remains OD-009.</w:t>
      </w:r>
    </w:p>
    <w:p>
      <w:pPr>
        <w:pStyle w:val="RequirementBullet"/>
      </w:pPr>
      <w:r>
        <w:t>• Exact background BLE behavior, local read/alert latency, routine cloud cadence and missing-sensor behavior remain controlled WIP/developer-validation items.</w:t>
      </w:r>
    </w:p>
    <w:p>
      <w:pPr>
        <w:pStyle w:val="RequirementBullet"/>
      </w:pPr>
      <w:r>
        <w:t>• Alert/read latency acceptance traces to the controlled J3309 test definition; OS-specific persistent/background UX is implementation-specific.</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Direct TPMS only; unsupported capabilities must not be implied by another Product Mode or by current implementation evidence.</w:t>
      </w:r>
    </w:p>
    <w:p>
      <w:pPr>
        <w:pStyle w:val="Heading3"/>
        <w:keepNext/>
      </w:pPr>
      <w:r>
        <w:t>Developer Confirmation / Open Items</w:t>
      </w:r>
    </w:p>
    <w:p>
      <w:r>
        <w:t>OD-004, OD-005, OD-006, OD-008, OD-009</w:t>
      </w:r>
    </w:p>
    <w:p>
      <w:pPr>
        <w:pStyle w:val="Heading3"/>
        <w:keepNext/>
      </w:pPr>
      <w:r>
        <w:t>Acceptance / Test Implications</w:t>
      </w:r>
    </w:p>
    <w:p>
      <w:pPr>
        <w:pStyle w:val="RequirementBullet"/>
      </w:pPr>
      <w:r>
        <w:t>• Safety/alert behavior must trace to applicable controlled TPMS/J3309 validation specifications and preserve the authoritative evaluator split.</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t>Direct TPMS app communicates only with the factory-registered TPMS sensor set, evaluates TPMS locally with last-valid cloud thresholds, buffers applicable TPMS data/events, and clearly shows monitoring active/not active. Temperature/humidity and accelerometer are Not Available in Direct TPMS. Feasible monitoring-session evidence is retained; exact background BLE/latency and initial sensor-presence timing remain open.</w:t>
      </w:r>
    </w:p>
    <w:p>
      <w:pPr>
        <w:pStyle w:val="Heading2"/>
        <w:keepNext/>
      </w:pPr>
      <w:r>
        <w:t>Merge ID 11 — Gateway-to-mobile BLE mode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v1.4</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Gateway / location-capable only</w:t>
            </w:r>
          </w:p>
        </w:tc>
      </w:tr>
    </w:tbl>
    <w:p>
      <w:pPr>
        <w:pStyle w:val="SmartSenseMeta"/>
      </w:pPr>
      <w:r>
        <w:t>Priority: P0  |  Authoritative execution: Gateway + Gateway App over BLE; Cloud fallback  |  Team approval: Pending where applicable</w:t>
      </w:r>
    </w:p>
    <w:p>
      <w:pPr>
        <w:pStyle w:val="Heading3"/>
        <w:keepNext/>
      </w:pPr>
      <w:r>
        <w:t>Purpose</w:t>
      </w:r>
    </w:p>
    <w:p>
      <w:r>
        <w:t>Define the controlled SmartSense behavior for gateway-to-mobile ble mode and its boundaries within the VIN-centered, multi-tenant Product Mode architecture.</w:t>
      </w:r>
    </w:p>
    <w:p>
      <w:pPr>
        <w:pStyle w:val="Heading3"/>
        <w:keepNext/>
      </w:pPr>
      <w:r>
        <w:t>Confirmed Requirements</w:t>
      </w:r>
    </w:p>
    <w:p>
      <w:pPr>
        <w:pStyle w:val="RequirementBullet"/>
      </w:pPr>
      <w:r>
        <w:t>• The Gateway App communicates with the registered Current Gateway and does not independently pair to or evaluate the TPMS sensors in Gateway Mode.</w:t>
      </w:r>
    </w:p>
    <w:p>
      <w:pPr>
        <w:pStyle w:val="RequirementBullet"/>
      </w:pPr>
      <w:r>
        <w:t>• RV Owner motion/accelerometer presentation is limited to Significant G Events produced under the cloud-configured significant-G rule. Raw/live X/Y/Z accelerometer data is not presented to the RV Owner.</w:t>
      </w:r>
    </w:p>
    <w:p>
      <w:pPr>
        <w:pStyle w:val="RequirementBullet"/>
      </w:pPr>
      <w:r>
        <w:t>• The app must not hard-code or independently define the numeric significant-G threshold. It consumes the configured/event result from the authoritative Gateway/cloud rule path.</w:t>
      </w:r>
    </w:p>
    <w:p>
      <w:pPr>
        <w:pStyle w:val="RequirementBullet"/>
      </w:pPr>
      <w:r>
        <w:t>• The Gateway App presents applicable data provided by the Gateway, including TPMS plus temperature/humidity and accelerometer information when those Gateway-mode capabilities are configured/available.</w:t>
      </w:r>
    </w:p>
    <w:p>
      <w:pPr>
        <w:pStyle w:val="RequirementBullet"/>
      </w:pPr>
      <w:r>
        <w:t>• Temperature/humidity and accelerometer are Gateway Mode-only capabilities in current scope; the Gateway App does not create a competing direct-phone sensor path for those capabilities.</w:t>
      </w:r>
    </w:p>
    <w:p>
      <w:pPr>
        <w:pStyle w:val="RequirementBullet"/>
      </w:pPr>
      <w:r>
        <w:t>• Gateway is the sole authoritative local TPMS alert evaluator in Gateway Mode.</w:t>
      </w:r>
    </w:p>
    <w:p>
      <w:pPr>
        <w:pStyle w:val="RequirementBullet"/>
      </w:pPr>
      <w:r>
        <w:t>• Faster or event-driven BLE delivery to the phone may reduce HMI latency but does not create a second mobile threshold evaluator.</w:t>
      </w:r>
    </w:p>
    <w:p>
      <w:pPr>
        <w:pStyle w:val="RequirementBullet"/>
      </w:pPr>
      <w:r>
        <w:t>• BLE is the preferred local data path when available; cloud is the automatic fallback path.</w:t>
      </w:r>
    </w:p>
    <w:p>
      <w:pPr>
        <w:pStyle w:val="RequirementBullet"/>
      </w:pPr>
      <w:r>
        <w:t>• On BLE loss the app attempts automatic reconnect and may use cloud data. On total BLE+cloud loss, the app displays last-known data with clear Offline/Stale indication governed by M16.</w:t>
      </w:r>
    </w:p>
    <w:p>
      <w:pPr>
        <w:pStyle w:val="RequirementBullet"/>
      </w:pPr>
      <w:r>
        <w:t>• Exact foreground/background BLE implementation and transport latency remain developer/OS validation work.</w:t>
      </w:r>
    </w:p>
    <w:p>
      <w:pPr>
        <w:pStyle w:val="RequirementBullet"/>
      </w:pPr>
      <w:r>
        <w:t>• During Gateway-mode TPMS pairing, the phone may transiently scan qualifying TPMS advertisements to orchestrate pairing, but persistent sensor association and local TPMS evaluation remain at the Gateway. Candidate presentation must not add avoidable application-layer delay.</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Gateway / location-capable only; unsupported capabilities must not be implied by another Product Mode or by current implementation evidence.</w:t>
      </w:r>
    </w:p>
    <w:p>
      <w:pPr>
        <w:pStyle w:val="Heading3"/>
        <w:keepNext/>
      </w:pPr>
      <w:r>
        <w:t>Developer Confirmation / Open Items</w:t>
      </w:r>
    </w:p>
    <w:p>
      <w:r>
        <w:t>OD-004, OD-012; stale semantics controlled by M16. Exact numeric Gateway-mode TPMS pairing-discovery acceptance timing remains technical validation/benchmarking.</w:t>
      </w:r>
    </w:p>
    <w:p>
      <w:pPr>
        <w:pStyle w:val="Heading3"/>
        <w:keepNext/>
      </w:pPr>
      <w:r>
        <w:t>Acceptance / Test Implications</w:t>
      </w:r>
    </w:p>
    <w:p>
      <w:pPr>
        <w:pStyle w:val="RequirementBullet"/>
      </w:pPr>
      <w:r>
        <w:t>• Safety/alert behavior must trace to applicable controlled TPMS/J3309 validation specifications and preserve the authoritative evaluator split.</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t>Gateway App connects only to the registered Current Gateway and presents applicable Gateway-provided TPMS and temperature/humidity information. RV Owner motion presentation is Significant G Events only; raw/live accelerometer axes are not owner-facing and the significance threshold is cloud-configured. Gateway remains the sole authoritative local TPMS evaluator. BLE-first/cloud-fallback, automatic reconnect and responsive pairing orchestration remain.</w:t>
      </w:r>
    </w:p>
    <w:p>
      <w:r>
        <w:br w:type="page"/>
      </w:r>
    </w:p>
    <w:p>
      <w:pPr>
        <w:pStyle w:val="Heading2"/>
        <w:keepNext/>
      </w:pPr>
      <w:r>
        <w:t>Merge ID 12 — Report cadence &amp; wake behaviour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TPMS Sensor + Gateway/Direct App + Cloud  |  Team approval: Pending where applicable</w:t>
      </w:r>
    </w:p>
    <w:p>
      <w:pPr>
        <w:pStyle w:val="Heading3"/>
        <w:keepNext/>
      </w:pPr>
      <w:r>
        <w:t>Purpose</w:t>
      </w:r>
    </w:p>
    <w:p>
      <w:r>
        <w:t>Define the controlled SmartSense behavior for report cadence &amp; wake behaviour and its boundaries within the VIN-centered, multi-tenant Product Mode architecture.</w:t>
      </w:r>
    </w:p>
    <w:p>
      <w:pPr>
        <w:pStyle w:val="Heading3"/>
        <w:keepNext/>
      </w:pPr>
      <w:r>
        <w:t>Confirmed Requirements</w:t>
      </w:r>
    </w:p>
    <w:p>
      <w:pPr>
        <w:pStyle w:val="RequirementBullet"/>
      </w:pPr>
      <w:r>
        <w:t>• Local processing is independent of routine cloud cadence.</w:t>
      </w:r>
    </w:p>
    <w:p>
      <w:pPr>
        <w:pStyle w:val="RequirementBullet"/>
      </w:pPr>
      <w:r>
        <w:t>• Sensor motion/wake behavior and report cadence are configurable where defined; threshold events report immediately; exact implementation timing remains technical/WIP.</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OD-004, OD-005, OD-008, OD-013</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Local processing is independent of routine cloud cadence. Sensor motion/wake behavior and report cadence are configurable where defined; threshold events report immediately; exact implementation timing remains technical/WIP.</w:t>
      </w:r>
    </w:p>
    <w:p>
      <w:pPr>
        <w:pStyle w:val="Heading2"/>
        <w:keepNext/>
      </w:pPr>
      <w:r>
        <w:t>Merge ID 13 — Ingestion, normalisation &amp; schema validation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ingestion + source validation  |  Team approval: Pending where applicable</w:t>
      </w:r>
    </w:p>
    <w:p>
      <w:pPr>
        <w:pStyle w:val="Heading3"/>
        <w:keepNext/>
      </w:pPr>
      <w:r>
        <w:t>Purpose</w:t>
      </w:r>
    </w:p>
    <w:p>
      <w:r>
        <w:t>Define the controlled SmartSense behavior for ingestion, normalisation &amp; schema validation and its boundaries within the VIN-centered, multi-tenant Product Mode architecture.</w:t>
      </w:r>
    </w:p>
    <w:p>
      <w:pPr>
        <w:pStyle w:val="Heading3"/>
        <w:keepNext/>
      </w:pPr>
      <w:r>
        <w:t>Confirmed Requirements</w:t>
      </w:r>
    </w:p>
    <w:p>
      <w:pPr>
        <w:pStyle w:val="RequirementBullet"/>
      </w:pPr>
      <w:r>
        <w:t>• Invalid or unbound telemetry cannot overwrite last-valid state.</w:t>
      </w:r>
    </w:p>
    <w:p>
      <w:pPr>
        <w:pStyle w:val="RequirementBullet"/>
      </w:pPr>
      <w:r>
        <w:t>• Delta messages update only included attributes.</w:t>
      </w:r>
    </w:p>
    <w:p>
      <w:pPr>
        <w:pStyle w:val="RequirementBullet"/>
      </w:pPr>
      <w:r>
        <w:t>• Detailed schema/authentication/normalization/reject mechanics remain developer-confirmation.</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OD-014</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Invalid or unbound telemetry cannot overwrite last-valid state. Delta messages update only included attributes. Detailed schema/authentication/normalization/reject mechanics remain developer-confirmation.</w:t>
      </w:r>
    </w:p>
    <w:p>
      <w:pPr>
        <w:pStyle w:val="Heading2"/>
        <w:keepNext/>
      </w:pPr>
      <w:r>
        <w:t>Merge ID 14 — Invalid &amp; out-of-range reading handling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Authoritative local evaluator + Cloud data quality  |  Team approval: Pending where applicable</w:t>
      </w:r>
    </w:p>
    <w:p>
      <w:pPr>
        <w:pStyle w:val="Heading3"/>
        <w:keepNext/>
      </w:pPr>
      <w:r>
        <w:t>Purpose</w:t>
      </w:r>
    </w:p>
    <w:p>
      <w:r>
        <w:t>Define the controlled SmartSense behavior for invalid &amp; out-of-range reading handling and its boundaries within the VIN-centered, multi-tenant Product Mode architecture.</w:t>
      </w:r>
    </w:p>
    <w:p>
      <w:pPr>
        <w:pStyle w:val="Heading3"/>
        <w:keepNext/>
      </w:pPr>
      <w:r>
        <w:t>Confirmed Requirements</w:t>
      </w:r>
    </w:p>
    <w:p>
      <w:pPr>
        <w:pStyle w:val="RequirementBullet"/>
      </w:pPr>
      <w:r>
        <w:t>• Impossible/corrupt/out-of-range values are rejected/ignored for normal state and alerts, preserve last-valid values, and may create diagnostic evidence rather than normal safety alerts.</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OD-014</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Impossible/corrupt/out-of-range values are rejected/ignored for normal state and alerts, preserve last-valid values, and may create diagnostic evidence rather than normal safety alerts.</w:t>
      </w:r>
    </w:p>
    <w:p>
      <w:pPr>
        <w:pStyle w:val="Heading2"/>
        <w:keepNext/>
      </w:pPr>
      <w:r>
        <w:t>Merge ID 15 — Latest-state projection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current-state projection  |  Team approval: Pending where applicable</w:t>
      </w:r>
    </w:p>
    <w:p>
      <w:pPr>
        <w:pStyle w:val="Heading3"/>
        <w:keepNext/>
      </w:pPr>
      <w:r>
        <w:t>Purpose</w:t>
      </w:r>
    </w:p>
    <w:p>
      <w:r>
        <w:t>Define the controlled SmartSense behavior for latest-state projection and its boundaries within the VIN-centered, multi-tenant Product Mode architecture.</w:t>
      </w:r>
    </w:p>
    <w:p>
      <w:pPr>
        <w:pStyle w:val="Heading3"/>
        <w:keepNext/>
      </w:pPr>
      <w:r>
        <w:t>Confirmed Requirements</w:t>
      </w:r>
    </w:p>
    <w:p>
      <w:pPr>
        <w:pStyle w:val="RequirementBullet"/>
      </w:pPr>
      <w:r>
        <w:t>• Current state is projected per attribute from the newest valid value, with independent last-updated timestamps; history is separate from current projection.</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None for current scope</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Current state is projected per attribute from the newest valid value, with independent last-updated timestamps; history is separate from current projection.</w:t>
      </w:r>
    </w:p>
    <w:p>
      <w:pPr>
        <w:pStyle w:val="Heading2"/>
        <w:keepNext/>
      </w:pPr>
      <w:r>
        <w:t>Merge ID 16 — Data freshness &amp; offline determination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 Mobile/Portal UX  |  Team approval: Pending where applicable</w:t>
      </w:r>
    </w:p>
    <w:p>
      <w:pPr>
        <w:pStyle w:val="Heading3"/>
        <w:keepNext/>
      </w:pPr>
      <w:r>
        <w:t>Purpose</w:t>
      </w:r>
    </w:p>
    <w:p>
      <w:r>
        <w:t>Define the controlled SmartSense behavior for data freshness &amp; offline determination and its boundaries within the VIN-centered, multi-tenant Product Mode architecture.</w:t>
      </w:r>
    </w:p>
    <w:p>
      <w:pPr>
        <w:pStyle w:val="Heading3"/>
        <w:keepNext/>
      </w:pPr>
      <w:r>
        <w:t>Confirmed Requirements</w:t>
      </w:r>
    </w:p>
    <w:p>
      <w:pPr>
        <w:pStyle w:val="RequirementBullet"/>
      </w:pPr>
      <w:r>
        <w:t>• Freshness is cadence-relative with configurable grace.</w:t>
      </w:r>
    </w:p>
    <w:p>
      <w:pPr>
        <w:pStyle w:val="RequirementBullet"/>
      </w:pPr>
      <w:r>
        <w:t>• Stale and Offline are distinct; device connectivity is separate from attribute freshness.</w:t>
      </w:r>
    </w:p>
    <w:p>
      <w:pPr>
        <w:pStyle w:val="RequirementBullet"/>
      </w:pPr>
      <w:r>
        <w:t>• Unsupported capability is Not Available, not Stale/Offline.</w:t>
      </w:r>
    </w:p>
    <w:p>
      <w:pPr>
        <w:pStyle w:val="RequirementBullet"/>
      </w:pPr>
      <w:r>
        <w:t>• For DIRECT_TPMS, temperature/humidity and accelerometer capabilities are Not Available. Their absence must not be presented as Stale, Offline or a failed sensor condition.</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None for current scope</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t>Freshness is cadence-relative with configurable grace. Stale and Offline are distinct; device connectivity is separate from attribute freshness. Unsupported capability is Not Available, not Stale/Offline. This includes Gateway-only temperature/humidity and accelerometer capabilities when viewing a Direct TPMS VIN.</w:t>
      </w:r>
    </w:p>
    <w:p>
      <w:pPr>
        <w:pStyle w:val="Heading2"/>
        <w:keepNext/>
      </w:pPr>
      <w:r>
        <w:t>Merge ID 17 — Buffered &amp; backfilled reports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Gateway/Direct App + Cloud  |  Team approval: Pending where applicable</w:t>
      </w:r>
    </w:p>
    <w:p>
      <w:pPr>
        <w:pStyle w:val="Heading3"/>
        <w:keepNext/>
      </w:pPr>
      <w:r>
        <w:t>Purpose</w:t>
      </w:r>
    </w:p>
    <w:p>
      <w:r>
        <w:t>Define the controlled SmartSense behavior for buffered &amp; backfilled reports and its boundaries within the VIN-centered, multi-tenant Product Mode architecture.</w:t>
      </w:r>
    </w:p>
    <w:p>
      <w:pPr>
        <w:pStyle w:val="Heading3"/>
        <w:keepNext/>
      </w:pPr>
      <w:r>
        <w:t>Confirmed Requirements</w:t>
      </w:r>
    </w:p>
    <w:p>
      <w:pPr>
        <w:pStyle w:val="RequirementBullet"/>
      </w:pPr>
      <w:r>
        <w:t>• Applicable telemetry and event evidence may buffer while connectivity is unavailable and must replay using original event timestamps with duplicate protection.</w:t>
      </w:r>
    </w:p>
    <w:p>
      <w:pPr>
        <w:pStyle w:val="RequirementBullet"/>
      </w:pPr>
      <w:r>
        <w:t>• Cloud reconciliation must be idempotent and must not create a duplicate canonical AlertEvent for the same episode.</w:t>
      </w:r>
    </w:p>
    <w:p>
      <w:pPr>
        <w:pStyle w:val="RequirementBullet"/>
      </w:pPr>
      <w:r>
        <w:t>• If an offline AlertEvent already cleared before reconnection, upload it as historical evidence and do not create a new live notification merely because it arrived late.</w:t>
      </w:r>
    </w:p>
    <w:p>
      <w:pPr>
        <w:pStyle w:val="RequirementBullet"/>
      </w:pPr>
      <w:r>
        <w:t>• If the condition is still actively violating when connectivity returns, the canonical event may enter the normal notification workflow for eligible recipients not already notified/acknowledged.</w:t>
      </w:r>
    </w:p>
    <w:p>
      <w:pPr>
        <w:pStyle w:val="RequirementBullet"/>
      </w:pPr>
      <w:r>
        <w:t>• Late older values cannot replace newer valid current state.</w:t>
      </w:r>
    </w:p>
    <w:p>
      <w:pPr>
        <w:pStyle w:val="Heading3"/>
        <w:keepNext/>
      </w:pPr>
      <w:r>
        <w:t>Process Flow</w:t>
      </w:r>
    </w:p>
    <w:p>
      <w:pPr>
        <w:ind w:left="173"/>
      </w:pPr>
      <w:r>
        <w:rPr>
          <w:rFonts w:ascii="Consolas" w:hAnsi="Consolas" w:eastAsia="Consolas"/>
          <w:b w:val="0"/>
          <w:color w:val="334155"/>
          <w:sz w:val="17"/>
        </w:rPr>
        <w:t>Local evidence created → connectivity unavailable → buffer with original event time → connectivity returns → idempotent cloud reconciliation → if episode already cleared, store historical/no new live notification; if still active, canonical event may enter normal recipient notification workflow.</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OD-005; exact canonical-ID/dedup algorithm remains developer confirmation (do not repurpose OD-025)</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Applicable telemetry/events buffer during connectivity loss and replay chronologically with original event time and duplicate protection. Cleared-before-reconnect alert evidence stays historical; still-active canonical events may enter normal notification workflow on reconnect for eligible recipients not already notified/acknowledged.</w:t>
      </w:r>
    </w:p>
    <w:p>
      <w:pPr>
        <w:pStyle w:val="Heading2"/>
        <w:keepNext/>
      </w:pPr>
      <w:r>
        <w:t>Merge ID 18 — Historical telemetry &amp; retention tiering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  Team approval: Pending where applicable</w:t>
      </w:r>
    </w:p>
    <w:p>
      <w:pPr>
        <w:pStyle w:val="Heading3"/>
        <w:keepNext/>
      </w:pPr>
      <w:r>
        <w:t>Purpose</w:t>
      </w:r>
    </w:p>
    <w:p>
      <w:r>
        <w:t>Define the controlled SmartSense behavior for historical telemetry &amp; retention tiering and its boundaries within the VIN-centered, multi-tenant Product Mode architecture.</w:t>
      </w:r>
    </w:p>
    <w:p>
      <w:pPr>
        <w:pStyle w:val="Heading3"/>
        <w:keepNext/>
      </w:pPr>
      <w:r>
        <w:t>Confirmed Requirements</w:t>
      </w:r>
    </w:p>
    <w:p>
      <w:pPr>
        <w:pStyle w:val="RequirementBullet"/>
      </w:pPr>
      <w:r>
        <w:t>• VIN-centered history is retained; routine raw telemetry may be summarized/archived while alerts, threshold violations, mileage, major events, configuration and device associations remain full-fidelity as required.</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OD-015</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VIN-centered history is retained; routine raw telemetry may be summarized/archived while alerts, threshold violations, mileage, major events, configuration and device associations remain full-fidelity as required.</w:t>
      </w:r>
    </w:p>
    <w:p>
      <w:pPr>
        <w:pStyle w:val="Heading2"/>
        <w:keepNext/>
      </w:pPr>
      <w:r>
        <w:t>Merge ID 19 — Canonical data / attribute catalog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v1.2</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canonical catalog  |  Team approval: Pending where applicable</w:t>
      </w:r>
    </w:p>
    <w:p>
      <w:pPr>
        <w:pStyle w:val="Heading3"/>
        <w:keepNext/>
      </w:pPr>
      <w:r>
        <w:t>Purpose</w:t>
      </w:r>
    </w:p>
    <w:p>
      <w:r>
        <w:t>Define the controlled SmartSense behavior for canonical data / attribute catalog and its boundaries within the VIN-centered, multi-tenant Product Mode architecture.</w:t>
      </w:r>
    </w:p>
    <w:p>
      <w:pPr>
        <w:pStyle w:val="Heading3"/>
        <w:keepNext/>
      </w:pPr>
      <w:r>
        <w:t>Confirmed Requirements</w:t>
      </w:r>
    </w:p>
    <w:p>
      <w:pPr>
        <w:pStyle w:val="RequirementBullet"/>
      </w:pPr>
      <w:r>
        <w:t>• One canonical attribute catalog governs identity, type, units, ranges, applicability, conversions, eligibility and data-quality meaning.</w:t>
      </w:r>
    </w:p>
    <w:p>
      <w:pPr>
        <w:pStyle w:val="RequirementBullet"/>
      </w:pPr>
      <w:r>
        <w:t>• Attribute applicability is Product-Mode aware. Gateway Mode may include TPMS, Gateway temperature/humidity and Gateway accelerometer data; DIRECT_TPMS includes only its direct TPMS sensor data set.</w:t>
      </w:r>
    </w:p>
    <w:p>
      <w:pPr>
        <w:pStyle w:val="RequirementBullet"/>
      </w:pPr>
      <w:r>
        <w:t>• Both SmartSense mobile apps default to Imperial display units on first use when no prior saved preference exists.</w:t>
      </w:r>
    </w:p>
    <w:p>
      <w:pPr>
        <w:pStyle w:val="RequirementBullet"/>
      </w:pPr>
      <w:r>
        <w:t>• An explicit user Metric/Imperial selection persists across normal sessions/upgrades. Unit conversion is presentation-only and must not change canonical stored/source values, threshold meaning or attribute unit identity.</w:t>
      </w:r>
    </w:p>
    <w:p>
      <w:pPr>
        <w:pStyle w:val="RequirementBullet"/>
      </w:pPr>
      <w:r>
        <w:t>• The catalog and APIs must expose non-applicable Direct environmental/motion attributes as Not Available / not applicable rather than fabricating values or treating them as stale telemetry.</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OD-016. The exact preference-storage/synchronization mechanism is implementation detail; the first-use mobile default is controlled as Imperial.</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t>One canonical attribute catalog governs identity, type, units, ranges, applicability, conversions, eligibility and data-quality meaning. Product Mode applicability explicitly distinguishes Gateway TPMS/environmental/motion data from the TPMS-only Direct data set. Both mobile apps default to Imperial on first use when no saved preference exists and persist explicit Metric/Imperial preference; display conversion does not redefine canonical data.</w:t>
      </w:r>
    </w:p>
    <w:p>
      <w:pPr>
        <w:pStyle w:val="Heading2"/>
        <w:keepNext/>
      </w:pPr>
      <w:r>
        <w:t>Merge ID 20 — Time / date &amp; timestamp authority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Device/App event time + Cloud receive time  |  Team approval: Pending where applicable</w:t>
      </w:r>
    </w:p>
    <w:p>
      <w:pPr>
        <w:pStyle w:val="Heading3"/>
        <w:keepNext/>
      </w:pPr>
      <w:r>
        <w:t>Purpose</w:t>
      </w:r>
    </w:p>
    <w:p>
      <w:r>
        <w:t>Define the controlled SmartSense behavior for time / date &amp; timestamp authority and its boundaries within the VIN-centered, multi-tenant Product Mode architecture.</w:t>
      </w:r>
    </w:p>
    <w:p>
      <w:pPr>
        <w:pStyle w:val="Heading3"/>
        <w:keepNext/>
      </w:pPr>
      <w:r>
        <w:t>Confirmed Requirements</w:t>
      </w:r>
    </w:p>
    <w:p>
      <w:pPr>
        <w:pStyle w:val="RequirementBullet"/>
      </w:pPr>
      <w:r>
        <w:t>• Use UTC for stored times.</w:t>
      </w:r>
    </w:p>
    <w:p>
      <w:pPr>
        <w:pStyle w:val="RequirementBullet"/>
      </w:pPr>
      <w:r>
        <w:t>• Preserve event/source time and cloud receive time where applicable.</w:t>
      </w:r>
    </w:p>
    <w:p>
      <w:pPr>
        <w:pStyle w:val="RequirementBullet"/>
      </w:pPr>
      <w:r>
        <w:t>• Delayed older data cannot replace newer current state.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OD-017</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Use UTC for stored times. Preserve event/source time and cloud receive time where applicable. Delayed older data cannot replace newer current state.</w:t>
      </w:r>
    </w:p>
    <w:p>
      <w:pPr>
        <w:pStyle w:val="Heading2"/>
        <w:keepNext/>
      </w:pPr>
      <w:r>
        <w:t>Merge ID 21 — Mileage logic</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Gateway / location-capable only</w:t>
            </w:r>
          </w:p>
        </w:tc>
      </w:tr>
    </w:tbl>
    <w:p>
      <w:pPr>
        <w:pStyle w:val="SmartSenseMeta"/>
      </w:pPr>
      <w:r>
        <w:t>Priority: P1  |  Authoritative execution: Gateway/GPS + Cloud  |  Team approval: Pending where applicable</w:t>
      </w:r>
    </w:p>
    <w:p>
      <w:pPr>
        <w:pStyle w:val="Heading3"/>
        <w:keepNext/>
      </w:pPr>
      <w:r>
        <w:t>Purpose</w:t>
      </w:r>
    </w:p>
    <w:p>
      <w:r>
        <w:t>Define the controlled SmartSense behavior for mileage logic and its boundaries within the VIN-centered, multi-tenant Product Mode architecture.</w:t>
      </w:r>
    </w:p>
    <w:p>
      <w:pPr>
        <w:pStyle w:val="Heading3"/>
        <w:keepNext/>
      </w:pPr>
      <w:r>
        <w:t>Confirmed Requirements</w:t>
      </w:r>
    </w:p>
    <w:p>
      <w:pPr>
        <w:pStyle w:val="RequirementBullet"/>
      </w:pPr>
      <w:r>
        <w:t>• Gateway GPS odometer is the current authoritative mileage source.</w:t>
      </w:r>
    </w:p>
    <w:p>
      <w:pPr>
        <w:pStyle w:val="RequirementBullet"/>
      </w:pPr>
      <w:r>
        <w:t>• Lifetime VIN mileage includes factory/dealer travel; consumer baseline may be zeroed at first retail activation; continuity survives ownership and Gateway replacement.</w:t>
      </w:r>
    </w:p>
    <w:p>
      <w:pPr>
        <w:pStyle w:val="RequirementBullet"/>
      </w:pPr>
      <w:r>
        <w:t>• Direct TPMS mileage is Not Available.</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Gateway / location-capable only; unsupported capabilities must not be implied by another Product Mode or by current implementation evidence.</w:t>
      </w:r>
    </w:p>
    <w:p>
      <w:pPr>
        <w:pStyle w:val="Heading3"/>
        <w:keepNext/>
      </w:pPr>
      <w:r>
        <w:t>Developer Confirmation / Open Items</w:t>
      </w:r>
    </w:p>
    <w:p>
      <w:r>
        <w:t>OD-018</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Gateway GPS odometer is the current authoritative mileage source. Lifetime VIN mileage includes factory/dealer travel; consumer baseline may be zeroed at first retail activation; continuity survives ownership and Gateway replacement. Direct TPMS mileage is Not Available.</w:t>
      </w:r>
    </w:p>
    <w:p>
      <w:pPr>
        <w:pStyle w:val="Heading2"/>
        <w:keepNext/>
      </w:pPr>
      <w:r>
        <w:t>Merge ID 22 — GPS / location logic</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Gateway / location-capable only</w:t>
            </w:r>
          </w:p>
        </w:tc>
      </w:tr>
    </w:tbl>
    <w:p>
      <w:pPr>
        <w:pStyle w:val="SmartSenseMeta"/>
      </w:pPr>
      <w:r>
        <w:t>Priority: P1  |  Authoritative execution: Gateway/GPS + Cloud  |  Team approval: Pending where applicable</w:t>
      </w:r>
    </w:p>
    <w:p>
      <w:pPr>
        <w:pStyle w:val="Heading3"/>
        <w:keepNext/>
      </w:pPr>
      <w:r>
        <w:t>Purpose</w:t>
      </w:r>
    </w:p>
    <w:p>
      <w:r>
        <w:t>Define the controlled SmartSense behavior for gps / location logic and its boundaries within the VIN-centered, multi-tenant Product Mode architecture.</w:t>
      </w:r>
    </w:p>
    <w:p>
      <w:pPr>
        <w:pStyle w:val="Heading3"/>
        <w:keepNext/>
      </w:pPr>
      <w:r>
        <w:t>Confirmed Requirements</w:t>
      </w:r>
    </w:p>
    <w:p>
      <w:pPr>
        <w:pStyle w:val="RequirementBullet"/>
      </w:pPr>
      <w:r>
        <w:t>• Gateway GPS is the current authoritative vehicle location source.</w:t>
      </w:r>
    </w:p>
    <w:p>
      <w:pPr>
        <w:pStyle w:val="RequirementBullet"/>
      </w:pPr>
      <w:r>
        <w:t>• Retain last-known location and timestamp with freshness/validity handling.</w:t>
      </w:r>
    </w:p>
    <w:p>
      <w:pPr>
        <w:pStyle w:val="RequirementBullet"/>
      </w:pPr>
      <w:r>
        <w:t>• Direct TPMS vehicle location/geofence is Not Available unless a future approved authoritative source exists.</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Gateway / location-capable only; unsupported capabilities must not be implied by another Product Mode or by current implementation evidence.</w:t>
      </w:r>
    </w:p>
    <w:p>
      <w:pPr>
        <w:pStyle w:val="Heading3"/>
        <w:keepNext/>
      </w:pPr>
      <w:r>
        <w:t>Developer Confirmation / Open Items</w:t>
      </w:r>
    </w:p>
    <w:p>
      <w:r>
        <w:t>OD-019</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Gateway GPS is the current authoritative vehicle location source. Retain last-known location and timestamp with freshness/validity handling. Direct TPMS vehicle location/geofence is Not Available unless a future approved authoritative source exists.</w:t>
      </w:r>
    </w:p>
    <w:p>
      <w:r>
        <w:br w:type="page"/>
      </w:r>
    </w:p>
    <w:p>
      <w:pPr>
        <w:pStyle w:val="Heading2"/>
        <w:keepNext/>
      </w:pPr>
      <w:r>
        <w:t>Merge ID 23 — Alert-rule authoring &amp; versioning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v1.2</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rule/config authority  |  Team approval: Pending where applicable</w:t>
      </w:r>
    </w:p>
    <w:p>
      <w:pPr>
        <w:pStyle w:val="Heading3"/>
        <w:keepNext/>
      </w:pPr>
      <w:r>
        <w:t>Purpose</w:t>
      </w:r>
    </w:p>
    <w:p>
      <w:r>
        <w:t>Define the controlled SmartSense behavior for alert-rule authoring &amp; versioning and its boundaries within the VIN-centered, multi-tenant Product Mode architecture.</w:t>
      </w:r>
    </w:p>
    <w:p>
      <w:pPr>
        <w:pStyle w:val="Heading3"/>
        <w:keepNext/>
      </w:pPr>
      <w:r>
        <w:t>Confirmed Requirements</w:t>
      </w:r>
    </w:p>
    <w:p>
      <w:pPr>
        <w:pStyle w:val="RequirementBullet"/>
      </w:pPr>
      <w:r>
        <w:t>• Alert definitions/rules are server/cloud authoritative, versioned and auditable.</w:t>
      </w:r>
    </w:p>
    <w:p>
      <w:pPr>
        <w:pStyle w:val="RequirementBullet"/>
      </w:pPr>
      <w:r>
        <w:t>• Rule applicability is capability-aware. Rules targeting Gateway-only temperature/humidity or accelerometer attributes are not applicable to DIRECT_TPMS VINs.</w:t>
      </w:r>
    </w:p>
    <w:p>
      <w:pPr>
        <w:pStyle w:val="RequirementBullet"/>
      </w:pPr>
      <w:r>
        <w:t>• For Gateway motion sensing, the server/cloud alert definition determines what qualifies as a Significant G Event. The RV Owner app does not define the numeric G threshold locally.</w:t>
      </w:r>
    </w:p>
    <w:p>
      <w:pPr>
        <w:pStyle w:val="RequirementBullet"/>
      </w:pPr>
      <w:r>
        <w:t>• Every AlertEvent retains the rule/version that triggered it permanently.</w:t>
      </w:r>
    </w:p>
    <w:p>
      <w:pPr>
        <w:pStyle w:val="RequirementBullet"/>
      </w:pPr>
      <w:r>
        <w:t>• Only a rule/configuration version successfully active at the authoritative local evaluator governs subsequent live evaluation.</w:t>
      </w:r>
    </w:p>
    <w:p>
      <w:pPr>
        <w:pStyle w:val="RequirementBullet"/>
      </w:pPr>
      <w:r>
        <w:t>• When a new version becomes active during an existing episode, do not rewrite the triggering version on historical evidence.</w:t>
      </w:r>
    </w:p>
    <w:p>
      <w:pPr>
        <w:pStyle w:val="Heading3"/>
        <w:keepNext/>
      </w:pPr>
      <w:r>
        <w:t>Process Flow</w:t>
      </w:r>
    </w:p>
    <w:p>
      <w:pPr>
        <w:ind w:left="173"/>
      </w:pPr>
      <w:r>
        <w:rPr>
          <w:rFonts w:ascii="Consolas" w:hAnsi="Consolas" w:eastAsia="Consolas"/>
          <w:b w:val="0"/>
          <w:color w:val="334155"/>
          <w:sz w:val="17"/>
        </w:rPr>
        <w:t>Cloud creates new rule/config version → distribute to authoritative evaluator → valid receipt/application makes version Active → subsequent evaluation uses Active version → existing AlertEvent keeps its triggering version → same event stays active if violating or clears normally if compliant.</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OD-020 where distribution/application applies</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t>Alert rules are centrally defined, versioned and auditable. AlertEvent permanently retains its triggering rule/version. Once a new version is actually active at the evaluator, subsequent evaluation uses it without rewriting event history. Rule applicability must respect Product Mode; Gateway-only temperature/humidity and accelerometer rules are not applied to Direct TPMS VINs.</w:t>
      </w:r>
    </w:p>
    <w:p>
      <w:pPr>
        <w:pStyle w:val="Heading2"/>
        <w:keepNext/>
      </w:pPr>
      <w:r>
        <w:t>Merge ID 24 — Threshold source precedence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Cloud-resolved config + authoritative local evaluator  |  Team approval: Pending where applicable</w:t>
      </w:r>
    </w:p>
    <w:p>
      <w:pPr>
        <w:pStyle w:val="Heading3"/>
        <w:keepNext/>
      </w:pPr>
      <w:r>
        <w:t>Purpose</w:t>
      </w:r>
    </w:p>
    <w:p>
      <w:r>
        <w:t>Define the controlled SmartSense behavior for threshold source precedence and its boundaries within the VIN-centered, multi-tenant Product Mode architecture.</w:t>
      </w:r>
    </w:p>
    <w:p>
      <w:pPr>
        <w:pStyle w:val="Heading3"/>
        <w:keepNext/>
      </w:pPr>
      <w:r>
        <w:t>Confirmed Requirements</w:t>
      </w:r>
    </w:p>
    <w:p>
      <w:pPr>
        <w:pStyle w:val="RequirementBullet"/>
      </w:pPr>
      <w:r>
        <w:t>• Cloud-resolved configuration is authoritative.</w:t>
      </w:r>
    </w:p>
    <w:p>
      <w:pPr>
        <w:pStyle w:val="RequirementBullet"/>
      </w:pPr>
      <w:r>
        <w:t>• Local evaluator uses the last successfully received valid configuration and must not invent independent thresholds.</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None for product precedence</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Cloud-resolved configuration is authoritative. Local evaluator uses the last successfully received valid configuration and must not invent independent thresholds.</w:t>
      </w:r>
    </w:p>
    <w:p>
      <w:pPr>
        <w:pStyle w:val="Heading2"/>
        <w:keepNext/>
      </w:pPr>
      <w:r>
        <w:t>Merge ID 25 — Rule distribution to devices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distribution + Gateway/Direct App  |  Team approval: Pending where applicable</w:t>
      </w:r>
    </w:p>
    <w:p>
      <w:pPr>
        <w:pStyle w:val="Heading3"/>
        <w:keepNext/>
      </w:pPr>
      <w:r>
        <w:t>Purpose</w:t>
      </w:r>
    </w:p>
    <w:p>
      <w:r>
        <w:t>Define the controlled SmartSense behavior for rule distribution to devices and its boundaries within the VIN-centered, multi-tenant Product Mode architecture.</w:t>
      </w:r>
    </w:p>
    <w:p>
      <w:pPr>
        <w:pStyle w:val="Heading3"/>
        <w:keepNext/>
      </w:pPr>
      <w:r>
        <w:t>Confirmed Requirements</w:t>
      </w:r>
    </w:p>
    <w:p>
      <w:pPr>
        <w:pStyle w:val="RequirementBullet"/>
      </w:pPr>
      <w:r>
        <w:t>• Desired, delivered, applied and reported configuration states are distinct.</w:t>
      </w:r>
    </w:p>
    <w:p>
      <w:pPr>
        <w:pStyle w:val="RequirementBullet"/>
      </w:pPr>
      <w:r>
        <w:t>• Local evaluator retains last-known-good valid configuration during failed delivery/offline periods.</w:t>
      </w:r>
    </w:p>
    <w:p>
      <w:pPr>
        <w:pStyle w:val="RequirementBullet"/>
      </w:pPr>
      <w:r>
        <w:t>• A new configuration/rule becomes active only after valid receipt/application at the authoritative evaluator.</w:t>
      </w:r>
    </w:p>
    <w:p>
      <w:pPr>
        <w:pStyle w:val="RequirementBullet"/>
      </w:pPr>
      <w:r>
        <w:t>• Active configuration/version must be identifiable and auditable so rule-transition effects on existing AlertEvents can be explained.</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OD-020</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Desired/delivered/applied/reported configuration states are distinct. New configuration becomes active only after valid receipt/application; last-known-good remains during failure/offline. Rule-version transition context is auditable.</w:t>
      </w:r>
    </w:p>
    <w:p>
      <w:pPr>
        <w:pStyle w:val="Heading2"/>
        <w:keepNext/>
      </w:pPr>
      <w:r>
        <w:t>Merge ID 26 — Local vs. cloud evaluation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Gateway local evaluator or Direct App local evaluator; Cloud for absence detection  |  Team approval: Pending where applicable</w:t>
      </w:r>
    </w:p>
    <w:p>
      <w:pPr>
        <w:pStyle w:val="Heading3"/>
        <w:keepNext/>
      </w:pPr>
      <w:r>
        <w:t>Purpose</w:t>
      </w:r>
    </w:p>
    <w:p>
      <w:r>
        <w:t>Define the controlled SmartSense behavior for local vs. cloud evaluation and its boundaries within the VIN-centered, multi-tenant Product Mode architecture.</w:t>
      </w:r>
    </w:p>
    <w:p>
      <w:pPr>
        <w:pStyle w:val="Heading3"/>
        <w:keepNext/>
      </w:pPr>
      <w:r>
        <w:t>Confirmed Requirements</w:t>
      </w:r>
    </w:p>
    <w:p>
      <w:pPr>
        <w:pStyle w:val="RequirementBullet"/>
      </w:pPr>
      <w:r>
        <w:t>• Gateway is live evaluator in Gateway Mode; phone/app is live evaluator in Direct TPMS.</w:t>
      </w:r>
    </w:p>
    <w:p>
      <w:pPr>
        <w:pStyle w:val="RequirementBullet"/>
      </w:pPr>
      <w:r>
        <w:t>• Cloud is not a competing sensor-threshold evaluator.</w:t>
      </w:r>
    </w:p>
    <w:p>
      <w:pPr>
        <w:pStyle w:val="RequirementBullet"/>
      </w:pPr>
      <w:r>
        <w:t>• Cloud may detect communication absence that cannot be self-reported by an offline device.</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Communication-loss specifics in OD-024</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Gateway is live evaluator in Gateway Mode; phone/app is live evaluator in Direct TPMS. Cloud is not a competing sensor-threshold evaluator. Cloud may detect communication absence that cannot be self-reported by an offline device.</w:t>
      </w:r>
    </w:p>
    <w:p>
      <w:pPr>
        <w:pStyle w:val="Heading2"/>
        <w:keepNext/>
      </w:pPr>
      <w:r>
        <w:t>Merge ID 27 — Condition trigger / debounce / persistence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Authoritative local evaluator + Cloud episode record  |  Team approval: Pending where applicable</w:t>
      </w:r>
    </w:p>
    <w:p>
      <w:pPr>
        <w:pStyle w:val="Heading3"/>
        <w:keepNext/>
      </w:pPr>
      <w:r>
        <w:t>Purpose</w:t>
      </w:r>
    </w:p>
    <w:p>
      <w:r>
        <w:t>Define the controlled SmartSense behavior for condition trigger / debounce / persistence and its boundaries within the VIN-centered, multi-tenant Product Mode architecture.</w:t>
      </w:r>
    </w:p>
    <w:p>
      <w:pPr>
        <w:pStyle w:val="Heading3"/>
        <w:keepNext/>
      </w:pPr>
      <w:r>
        <w:t>Confirmed Requirements</w:t>
      </w:r>
    </w:p>
    <w:p>
      <w:pPr>
        <w:pStyle w:val="RequirementBullet"/>
      </w:pPr>
      <w:r>
        <w:t>• For persistent conditions, the first valid violation creates one alert episode; continued violating readings do not create duplicates.</w:t>
      </w:r>
    </w:p>
    <w:p>
      <w:pPr>
        <w:pStyle w:val="RequirementBullet"/>
      </w:pPr>
      <w:r>
        <w:t>• A Significant G Event is a momentary event rather than a persistent active condition. One qualifying crossing creates one immutable historical event/evidence record; it does not remain Active waiting for a later clear.</w:t>
      </w:r>
    </w:p>
    <w:p>
      <w:pPr>
        <w:pStyle w:val="RequirementBullet"/>
      </w:pPr>
      <w:r>
        <w:t>• Notifications/reminders are separate from the condition/episode.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OD-004 as latency transport validation where applicable</w:t>
      </w:r>
    </w:p>
    <w:p>
      <w:pPr>
        <w:pStyle w:val="Heading3"/>
        <w:keepNext/>
      </w:pPr>
      <w:r>
        <w:t>Acceptance / Test Implications</w:t>
      </w:r>
    </w:p>
    <w:p>
      <w:pPr>
        <w:pStyle w:val="RequirementBullet"/>
      </w:pPr>
      <w:r>
        <w:t>• Safety/alert behavior must trace to applicable controlled TPMS/J3309 validation specifications and preserve the authoritative evaluator split.</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Persistent conditions create one canonical episode per valid violation period. A Significant G Event is a momentary immutable historical event at the qualifying crossing and does not remain active waiting for a clear. Notifications/reminders remain separate from event evidence.</w:t>
      </w:r>
    </w:p>
    <w:p>
      <w:pPr>
        <w:pStyle w:val="Heading2"/>
        <w:keepNext/>
      </w:pPr>
      <w:r>
        <w:t>Merge ID 28 — Condition clearing / hysteresis / re-arm</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v1.2</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Authoritative local evaluator + Cloud episode record  |  Team approval: Pending where applicable</w:t>
      </w:r>
    </w:p>
    <w:p>
      <w:pPr>
        <w:pStyle w:val="Heading3"/>
        <w:keepNext/>
      </w:pPr>
      <w:r>
        <w:t>Purpose</w:t>
      </w:r>
    </w:p>
    <w:p>
      <w:r>
        <w:t>Define the controlled SmartSense behavior for condition clearing / hysteresis / re-arm and its boundaries within the VIN-centered, multi-tenant Product Mode architecture.</w:t>
      </w:r>
    </w:p>
    <w:p>
      <w:pPr>
        <w:pStyle w:val="Heading3"/>
        <w:keepNext/>
      </w:pPr>
      <w:r>
        <w:t>Confirmed Requirements</w:t>
      </w:r>
    </w:p>
    <w:p>
      <w:pPr>
        <w:pStyle w:val="RequirementBullet"/>
      </w:pPr>
      <w:r>
        <w:t>• Clear applies to the same AlertEvent episode and is based on valid evidence according to controlled clear/hysteresis/re-arm rules.</w:t>
      </w:r>
    </w:p>
    <w:p>
      <w:pPr>
        <w:pStyle w:val="RequirementBullet"/>
      </w:pPr>
      <w:r>
        <w:t>• Significant G Events do not require or receive an artificial clear/resolution event. Viewing or acknowledging a Significant G Event is not a clear condition.</w:t>
      </w:r>
    </w:p>
    <w:p>
      <w:pPr>
        <w:pStyle w:val="RequirementBullet"/>
      </w:pPr>
      <w:r>
        <w:t>• If a newly active rule/configuration makes the current reading compliant, the same AlertEvent clears through the normal clear path.</w:t>
      </w:r>
    </w:p>
    <w:p>
      <w:pPr>
        <w:pStyle w:val="RequirementBullet"/>
      </w:pPr>
      <w:r>
        <w:t>• Audit evidence must show that the clear followed a rule/configuration change; the triggering rule/version remains unchanged in event history.</w:t>
      </w:r>
    </w:p>
    <w:p>
      <w:pPr>
        <w:pStyle w:val="RequirementBullet"/>
      </w:pPr>
      <w:r>
        <w:t>• Exact hysteresis, clear-report delay and re-arm timing remain OD-021.</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OD-021</w:t>
      </w:r>
    </w:p>
    <w:p>
      <w:pPr>
        <w:pStyle w:val="Heading3"/>
        <w:keepNext/>
      </w:pPr>
      <w:r>
        <w:t>Acceptance / Test Implications</w:t>
      </w:r>
    </w:p>
    <w:p>
      <w:pPr>
        <w:pStyle w:val="RequirementBullet"/>
      </w:pPr>
      <w:r>
        <w:t>• Safety/alert behavior must trace to applicable controlled TPMS/J3309 validation specifications and preserve the authoritative evaluator split.</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Persistent conditions clear through the same canonical AlertEvent subject to controlled hysteresis/re-arm rules. Significant G Events are momentary historical events and do not receive an artificial clear/resolution merely because they are viewed or acknowledged. Rule-change context remains auditable for persistent alerts.</w:t>
      </w:r>
    </w:p>
    <w:p>
      <w:pPr>
        <w:pStyle w:val="Heading2"/>
        <w:keepNext/>
      </w:pPr>
      <w:r>
        <w:t>Merge ID 29 — Flapping detection &amp; suppression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Authoritative local evaluator  |  Team approval: Pending where applicable</w:t>
      </w:r>
    </w:p>
    <w:p>
      <w:pPr>
        <w:pStyle w:val="Heading3"/>
        <w:keepNext/>
      </w:pPr>
      <w:r>
        <w:t>Purpose</w:t>
      </w:r>
    </w:p>
    <w:p>
      <w:r>
        <w:t>Define the controlled SmartSense behavior for flapping detection &amp; suppression and its boundaries within the VIN-centered, multi-tenant Product Mode architecture.</w:t>
      </w:r>
    </w:p>
    <w:p>
      <w:pPr>
        <w:pStyle w:val="Heading3"/>
        <w:keepNext/>
      </w:pPr>
      <w:r>
        <w:t>Confirmed Requirements</w:t>
      </w:r>
    </w:p>
    <w:p>
      <w:pPr>
        <w:pStyle w:val="RequirementBullet"/>
      </w:pPr>
      <w:r>
        <w:t>• Anti-flapping behavior prevents alert/clear storms without suppressing genuine new safety conditions; exact mechanism remains developer-confirmation.</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OD-021</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Anti-flapping behavior prevents alert/clear storms without suppressing genuine new safety conditions; exact mechanism remains developer-confirmation.</w:t>
      </w:r>
    </w:p>
    <w:p>
      <w:pPr>
        <w:pStyle w:val="Heading2"/>
        <w:keepNext/>
      </w:pPr>
      <w:r>
        <w:t>Merge ID 30 — Active condition while device is offline / unknown state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Local evaluator + Cloud state  |  Team approval: Pending where applicable</w:t>
      </w:r>
    </w:p>
    <w:p>
      <w:pPr>
        <w:pStyle w:val="Heading3"/>
        <w:keepNext/>
      </w:pPr>
      <w:r>
        <w:t>Purpose</w:t>
      </w:r>
    </w:p>
    <w:p>
      <w:r>
        <w:t>Define the controlled SmartSense behavior for active condition while device is offline / unknown state and its boundaries within the VIN-centered, multi-tenant Product Mode architecture.</w:t>
      </w:r>
    </w:p>
    <w:p>
      <w:pPr>
        <w:pStyle w:val="Heading3"/>
        <w:keepNext/>
      </w:pPr>
      <w:r>
        <w:t>Confirmed Requirements</w:t>
      </w:r>
    </w:p>
    <w:p>
      <w:pPr>
        <w:pStyle w:val="RequirementBullet"/>
      </w:pPr>
      <w:r>
        <w:t>• Communication loss never auto-clears an active condition or implies Healthy.</w:t>
      </w:r>
    </w:p>
    <w:p>
      <w:pPr>
        <w:pStyle w:val="RequirementBullet"/>
      </w:pPr>
      <w:r>
        <w:t>• Reconnect continues or clears the same event according to valid evidence, without duplicate episodes.</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OD-022</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Communication loss never auto-clears an active condition or implies Healthy. Reconnect continues or clears the same event according to valid evidence, without duplicate episodes.</w:t>
      </w:r>
    </w:p>
    <w:p>
      <w:pPr>
        <w:pStyle w:val="Heading2"/>
        <w:keepNext/>
      </w:pPr>
      <w:r>
        <w:t>Merge ID 31 — Severity assignment &amp; escalation by magnitude / duration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alert definition + local evaluator  |  Team approval: Pending where applicable</w:t>
      </w:r>
    </w:p>
    <w:p>
      <w:pPr>
        <w:pStyle w:val="Heading3"/>
        <w:keepNext/>
      </w:pPr>
      <w:r>
        <w:t>Purpose</w:t>
      </w:r>
    </w:p>
    <w:p>
      <w:r>
        <w:t>Define the controlled SmartSense behavior for severity assignment &amp; escalation by magnitude / duration and its boundaries within the VIN-centered, multi-tenant Product Mode architecture.</w:t>
      </w:r>
    </w:p>
    <w:p>
      <w:pPr>
        <w:pStyle w:val="Heading3"/>
        <w:keepNext/>
      </w:pPr>
      <w:r>
        <w:t>Confirmed Requirements</w:t>
      </w:r>
    </w:p>
    <w:p>
      <w:pPr>
        <w:pStyle w:val="RequirementBullet"/>
      </w:pPr>
      <w:r>
        <w:t>• Severity is a separate field in the alert definition and is not synonymous with notification cadence, acknowledgement, snooze or the 24/7 notification-policy attribute.</w:t>
      </w:r>
    </w:p>
    <w:p>
      <w:pPr>
        <w:pStyle w:val="RequirementBullet"/>
      </w:pPr>
      <w:r>
        <w:t>• Do not require a user-facing severity tier literally named Critical in order to enforce always-on safety notification behavior.</w:t>
      </w:r>
    </w:p>
    <w:p>
      <w:pPr>
        <w:pStyle w:val="RequirementBullet"/>
      </w:pPr>
      <w:r>
        <w:t>• Exact severity labels and any intentionally defined multi-severity behavior remain OD-023.</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OD-023</w:t>
      </w:r>
    </w:p>
    <w:p>
      <w:pPr>
        <w:pStyle w:val="Heading3"/>
        <w:keepNext/>
      </w:pPr>
      <w:r>
        <w:t>Acceptance / Test Implications</w:t>
      </w:r>
    </w:p>
    <w:p>
      <w:pPr>
        <w:pStyle w:val="RequirementBullet"/>
      </w:pPr>
      <w:r>
        <w:t>• Safety/alert behavior must trace to applicable controlled TPMS/J3309 validation specifications and preserve the authoritative evaluator split.</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Severity is an alert-definition field separate from notification policy and snooze. Exact user-facing taxonomy remains open; 24/7 safety notification policy does not depend on a severity label named Critical.</w:t>
      </w:r>
    </w:p>
    <w:p>
      <w:pPr>
        <w:pStyle w:val="Heading2"/>
        <w:keepNext/>
      </w:pPr>
      <w:r>
        <w:t>Merge ID 32 — Alert-event creation / identity / dedup / re-trigger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v1.2</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Local evaluator + Cloud canonical AlertEvent  |  Team approval: Pending where applicable</w:t>
      </w:r>
    </w:p>
    <w:p>
      <w:pPr>
        <w:pStyle w:val="Heading3"/>
        <w:keepNext/>
      </w:pPr>
      <w:r>
        <w:t>Purpose</w:t>
      </w:r>
    </w:p>
    <w:p>
      <w:r>
        <w:t>Define the controlled SmartSense behavior for alert-event creation / identity / dedup / re-trigger and its boundaries within the VIN-centered, multi-tenant Product Mode architecture.</w:t>
      </w:r>
    </w:p>
    <w:p>
      <w:pPr>
        <w:pStyle w:val="Heading3"/>
        <w:keepNext/>
      </w:pPr>
      <w:r>
        <w:t>Confirmed Requirements</w:t>
      </w:r>
    </w:p>
    <w:p>
      <w:pPr>
        <w:pStyle w:val="RequirementBullet"/>
      </w:pPr>
      <w:r>
        <w:t>• Each alert episode has one canonical immutable AlertEvent identity and preserves VIN, rule/version, severity, source/value and event timestamps as applicable.</w:t>
      </w:r>
    </w:p>
    <w:p>
      <w:pPr>
        <w:pStyle w:val="RequirementBullet"/>
      </w:pPr>
      <w:r>
        <w:t>• Clear attaches to the same canonical event; a later post-clear violation becomes a new event subject to re-arm logic.</w:t>
      </w:r>
    </w:p>
    <w:p>
      <w:pPr>
        <w:pStyle w:val="RequirementBullet"/>
      </w:pPr>
      <w:r>
        <w:t>• A Significant G Event is complete historical evidence at creation and does not require a later clear event. Each qualifying Significant G occurrence is a distinct event subject to normal event identity/dedup protections.</w:t>
      </w:r>
    </w:p>
    <w:p>
      <w:pPr>
        <w:pStyle w:val="RequirementBullet"/>
      </w:pPr>
      <w:r>
        <w:t>• Cloud ingestion/reconciliation must be idempotent and must not create duplicate canonical episodes for the same condition.</w:t>
      </w:r>
    </w:p>
    <w:p>
      <w:pPr>
        <w:pStyle w:val="RequirementBullet"/>
      </w:pPr>
      <w:r>
        <w:t>• Offline/backfilled evidence preserves original event time and reconciles to the canonical event.</w:t>
      </w:r>
    </w:p>
    <w:p>
      <w:pPr>
        <w:pStyle w:val="RequirementBullet"/>
      </w:pPr>
      <w:r>
        <w:t>• Exact provisional ID generation, dedup key and merge algorithm are developer implementation details. OD-025 must not be repurposed for this; OD-025 remains the multi-user notification/acknowledgement item.</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OD-021; exact ID/dedup algorithm is developer-confirmation without a reassigned OD ID</w:t>
      </w:r>
    </w:p>
    <w:p>
      <w:pPr>
        <w:pStyle w:val="Heading3"/>
        <w:keepNext/>
      </w:pPr>
      <w:r>
        <w:t>Acceptance / Test Implications</w:t>
      </w:r>
    </w:p>
    <w:p>
      <w:pPr>
        <w:pStyle w:val="RequirementBullet"/>
      </w:pPr>
      <w:r>
        <w:t>• Safety/alert behavior must trace to applicable controlled TPMS/J3309 validation specifications and preserve the authoritative evaluator split.</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Each persistent episode or momentary event has one canonical immutable AlertEvent identity/evidence record. Cloud reconciliation is idempotent and preserves original event time. Persistent alerts clear/re-arm normally; a Significant G Event is complete historical evidence at creation and does not require a later clear/resolution event. Exact provisional-ID/dedup algorithm remains technical.</w:t>
      </w:r>
    </w:p>
    <w:p>
      <w:pPr>
        <w:pStyle w:val="Heading2"/>
        <w:keepNext/>
      </w:pPr>
      <w:r>
        <w:t>Merge ID 33 — Communication-loss condition generation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absence detection + local link-specific evidence  |  Team approval: Pending where applicable</w:t>
      </w:r>
    </w:p>
    <w:p>
      <w:pPr>
        <w:pStyle w:val="Heading3"/>
        <w:keepNext/>
      </w:pPr>
      <w:r>
        <w:t>Purpose</w:t>
      </w:r>
    </w:p>
    <w:p>
      <w:r>
        <w:t>Define the controlled SmartSense behavior for communication-loss condition generation and its boundaries within the VIN-centered, multi-tenant Product Mode architecture.</w:t>
      </w:r>
    </w:p>
    <w:p>
      <w:pPr>
        <w:pStyle w:val="Heading3"/>
        <w:keepNext/>
      </w:pPr>
      <w:r>
        <w:t>Confirmed Requirements</w:t>
      </w:r>
    </w:p>
    <w:p>
      <w:pPr>
        <w:pStyle w:val="RequirementBullet"/>
      </w:pPr>
      <w:r>
        <w:t>• TPMS/LTE/GPS/BLE communication-loss conditions are distinct and use appropriate timing/clear/severity rules.</w:t>
      </w:r>
    </w:p>
    <w:p>
      <w:pPr>
        <w:pStyle w:val="RequirementBullet"/>
      </w:pPr>
      <w:r>
        <w:t>• Cloud-detected absence is permitted without making cloud a competing threshold evaluator.</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OD-006, OD-024</w:t>
      </w:r>
    </w:p>
    <w:p>
      <w:pPr>
        <w:pStyle w:val="Heading3"/>
        <w:keepNext/>
      </w:pPr>
      <w:r>
        <w:t>Acceptance / Test Implications</w:t>
      </w:r>
    </w:p>
    <w:p>
      <w:pPr>
        <w:pStyle w:val="RequirementBullet"/>
      </w:pPr>
      <w:r>
        <w:t>• Safety/alert behavior must trace to applicable controlled TPMS/J3309 validation specifications and preserve the authoritative evaluator split.</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TPMS/LTE/GPS/BLE communication-loss conditions are distinct and use appropriate timing/clear/severity rules. Cloud-detected absence is permitted without making cloud a competing threshold evaluator.</w:t>
      </w:r>
    </w:p>
    <w:p>
      <w:r>
        <w:br w:type="page"/>
      </w:r>
    </w:p>
    <w:p>
      <w:pPr>
        <w:pStyle w:val="Heading2"/>
        <w:keepNext/>
      </w:pPr>
      <w:r>
        <w:t>Merge ID 34 — Notification eligibility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Notification Manager  |  Team approval: Pending where applicable</w:t>
      </w:r>
    </w:p>
    <w:p>
      <w:pPr>
        <w:pStyle w:val="Heading3"/>
        <w:keepNext/>
      </w:pPr>
      <w:r>
        <w:t>Purpose</w:t>
      </w:r>
    </w:p>
    <w:p>
      <w:r>
        <w:t>Define the controlled SmartSense behavior for notification eligibility and its boundaries within the VIN-centered, multi-tenant Product Mode architecture.</w:t>
      </w:r>
    </w:p>
    <w:p>
      <w:pPr>
        <w:pStyle w:val="Heading3"/>
        <w:keepNext/>
      </w:pPr>
      <w:r>
        <w:t>Confirmed Requirements</w:t>
      </w:r>
    </w:p>
    <w:p>
      <w:pPr>
        <w:pStyle w:val="RequirementBullet"/>
      </w:pPr>
      <w:r>
        <w:t>• Notification eligibility is defined per alert/rule; an AlertEvent may remain in history even when notifications are disabled.</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None for core eligibility</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Notification eligibility is defined per alert/rule; an AlertEvent may remain in history even when notifications are disabled.</w:t>
      </w:r>
    </w:p>
    <w:p>
      <w:pPr>
        <w:pStyle w:val="Heading2"/>
        <w:keepNext/>
      </w:pPr>
      <w:r>
        <w:t>Merge ID 35 — Recipient resolution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Notification Manager  |  Team approval: Pending where applicable</w:t>
      </w:r>
    </w:p>
    <w:p>
      <w:pPr>
        <w:pStyle w:val="Heading3"/>
        <w:keepNext/>
      </w:pPr>
      <w:r>
        <w:t>Purpose</w:t>
      </w:r>
    </w:p>
    <w:p>
      <w:r>
        <w:t>Define the controlled SmartSense behavior for recipient resolution and its boundaries within the VIN-centered, multi-tenant Product Mode architecture.</w:t>
      </w:r>
    </w:p>
    <w:p>
      <w:pPr>
        <w:pStyle w:val="Heading3"/>
        <w:keepNext/>
      </w:pPr>
      <w:r>
        <w:t>Confirmed Requirements</w:t>
      </w:r>
    </w:p>
    <w:p>
      <w:pPr>
        <w:pStyle w:val="RequirementBullet"/>
      </w:pPr>
      <w:r>
        <w:t>• For each VIN, that VIN’s Primary Owner and Authorized Users are eligible retail recipients according to alert/rule policy. A user may hold different roles on multiple VINs; recipient resolution must remain VIN-scoped and must not broaden access or notifications across unrelated VIN relationships.</w:t>
      </w:r>
    </w:p>
    <w:p>
      <w:pPr>
        <w:pStyle w:val="RequirementBullet"/>
      </w:pPr>
      <w:r>
        <w:t>• OEM/manufacturer users may see portal status but are not current mobile-alert recipients.</w:t>
      </w:r>
    </w:p>
    <w:p>
      <w:pPr>
        <w:pStyle w:val="RequirementBullet"/>
      </w:pPr>
      <w:r>
        <w:t>• Dealer/service recipient behavior remains deferred.</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OD-002, OD-025</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For each VIN, its Primary Owner and Authorized Users are eligible retail recipients. A user may hold roles on multiple VINs, but recipient resolution is VIN-scoped. OEM/manufacturer users may see portal status but are not current mobile-alert recipients. Dealer/service recipient behavior remains deferred.</w:t>
      </w:r>
    </w:p>
    <w:p>
      <w:pPr>
        <w:pStyle w:val="Heading2"/>
        <w:keepNext/>
      </w:pPr>
      <w:r>
        <w:t>Merge ID 36 — Delivery &amp; channel fallback</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Notification Manager + push provider  |  Team approval: Pending where applicable</w:t>
      </w:r>
    </w:p>
    <w:p>
      <w:pPr>
        <w:pStyle w:val="Heading3"/>
        <w:keepNext/>
      </w:pPr>
      <w:r>
        <w:t>Purpose</w:t>
      </w:r>
    </w:p>
    <w:p>
      <w:r>
        <w:t>Define the controlled SmartSense behavior for delivery &amp; channel fallback and its boundaries within the VIN-centered, multi-tenant Product Mode architecture.</w:t>
      </w:r>
    </w:p>
    <w:p>
      <w:pPr>
        <w:pStyle w:val="Heading3"/>
        <w:keepNext/>
      </w:pPr>
      <w:r>
        <w:t>Confirmed Requirements</w:t>
      </w:r>
    </w:p>
    <w:p>
      <w:pPr>
        <w:pStyle w:val="RequirementBullet"/>
      </w:pPr>
      <w:r>
        <w:t>• Push is the current notification channel.</w:t>
      </w:r>
    </w:p>
    <w:p>
      <w:pPr>
        <w:pStyle w:val="RequirementBullet"/>
      </w:pPr>
      <w:r>
        <w:t>• Future SMS/email are independently configurable channels; one recipient/channel failure must not block the others.</w:t>
      </w:r>
    </w:p>
    <w:p>
      <w:pPr>
        <w:pStyle w:val="RequirementBullet"/>
      </w:pPr>
      <w:r>
        <w:t>• SMS implementation requires phone-number collection, verification, user consent/preferences and provider/retry mechanics. This future dependency does not change the current minimal verified-email identity model.</w:t>
      </w:r>
    </w:p>
    <w:p>
      <w:pPr>
        <w:pStyle w:val="RequirementBullet"/>
      </w:pPr>
      <w:r>
        <w:t>• Delivery evidence remains channel/recipient specific and separate from acknowledgement.</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OD-026</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Push is the current notification channel. Future SMS/email are independent channels and require phone/email collection/verification/consent/provider mechanics as applicable; one channel/recipient failure does not block others.</w:t>
      </w:r>
    </w:p>
    <w:p>
      <w:pPr>
        <w:pStyle w:val="Heading2"/>
        <w:keepNext/>
      </w:pPr>
      <w:r>
        <w:t>Merge ID 37 — Delivery confirmation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Notification Manager  |  Team approval: Pending where applicable</w:t>
      </w:r>
    </w:p>
    <w:p>
      <w:pPr>
        <w:pStyle w:val="Heading3"/>
        <w:keepNext/>
      </w:pPr>
      <w:r>
        <w:t>Purpose</w:t>
      </w:r>
    </w:p>
    <w:p>
      <w:r>
        <w:t>Define the controlled SmartSense behavior for delivery confirmation and its boundaries within the VIN-centered, multi-tenant Product Mode architecture.</w:t>
      </w:r>
    </w:p>
    <w:p>
      <w:pPr>
        <w:pStyle w:val="Heading3"/>
        <w:keepNext/>
      </w:pPr>
      <w:r>
        <w:t>Confirmed Requirements</w:t>
      </w:r>
    </w:p>
    <w:p>
      <w:pPr>
        <w:pStyle w:val="RequirementBullet"/>
      </w:pPr>
      <w:r>
        <w:t>• Track delivery evidence per recipient/channel (sent/accepted, delivered when provable, failed, unknown) separately from user acknowledgement and link it to the AlertEvent.</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OD-026</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Track delivery evidence per recipient/channel (sent/accepted, delivered when provable, failed, unknown) separately from user acknowledgement and link it to the AlertEvent.</w:t>
      </w:r>
    </w:p>
    <w:p>
      <w:pPr>
        <w:pStyle w:val="Heading2"/>
        <w:keepNext/>
      </w:pPr>
      <w:r>
        <w:t>Merge ID 38 — Reminder cadence until acknowledgement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Notification Manager  |  Team approval: Pending where applicable</w:t>
      </w:r>
    </w:p>
    <w:p>
      <w:pPr>
        <w:pStyle w:val="Heading3"/>
        <w:keepNext/>
      </w:pPr>
      <w:r>
        <w:t>Purpose</w:t>
      </w:r>
    </w:p>
    <w:p>
      <w:r>
        <w:t>Define the controlled SmartSense behavior for reminder cadence until acknowledgement and its boundaries within the VIN-centered, multi-tenant Product Mode architecture.</w:t>
      </w:r>
    </w:p>
    <w:p>
      <w:pPr>
        <w:pStyle w:val="Heading3"/>
        <w:keepNext/>
      </w:pPr>
      <w:r>
        <w:t>Confirmed Requirements</w:t>
      </w:r>
    </w:p>
    <w:p>
      <w:pPr>
        <w:pStyle w:val="RequirementBullet"/>
      </w:pPr>
      <w:r>
        <w:t>• Reminder cadence/max are per alert and recipient.</w:t>
      </w:r>
    </w:p>
    <w:p>
      <w:pPr>
        <w:pStyle w:val="RequirementBullet"/>
      </w:pPr>
      <w:r>
        <w:t>• Reminders stop on clear, that user's acknowledgement, or policy completion; snooze pauses that user's reminders.</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OD-022, OD-025</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Reminder cadence/max are per alert and recipient. Reminders stop on clear, that user's acknowledgement, or policy completion; snooze pauses that user's reminders.</w:t>
      </w:r>
    </w:p>
    <w:p>
      <w:pPr>
        <w:pStyle w:val="Heading2"/>
        <w:keepNext/>
      </w:pPr>
      <w:r>
        <w:t>Merge ID 39 — Acknowledgement semantics &amp; recipient scope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Mobile Apps + Cloud  |  Team approval: Pending where applicable</w:t>
      </w:r>
    </w:p>
    <w:p>
      <w:pPr>
        <w:pStyle w:val="Heading3"/>
        <w:keepNext/>
      </w:pPr>
      <w:r>
        <w:t>Purpose</w:t>
      </w:r>
    </w:p>
    <w:p>
      <w:r>
        <w:t>Define the controlled SmartSense behavior for acknowledgement semantics &amp; recipient scope and its boundaries within the VIN-centered, multi-tenant Product Mode architecture.</w:t>
      </w:r>
    </w:p>
    <w:p>
      <w:pPr>
        <w:pStyle w:val="Heading3"/>
        <w:keepNext/>
      </w:pPr>
      <w:r>
        <w:t>Confirmed Requirements</w:t>
      </w:r>
    </w:p>
    <w:p>
      <w:pPr>
        <w:pStyle w:val="RequirementBullet"/>
      </w:pPr>
      <w:r>
        <w:t>• Acknowledgement means a user has seen/responded; it is per user, auditable and never clears an underlying persistent condition or changes other users’ response state.</w:t>
      </w:r>
    </w:p>
    <w:p>
      <w:pPr>
        <w:pStyle w:val="RequirementBullet"/>
      </w:pPr>
      <w:r>
        <w:t>• For a Significant G Event, acknowledgement records that user’s response only. Opening, viewing or acknowledging the event must not resolve, delete, clear or otherwise alter the historical event/evidence record.</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OD-025</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Acknowledgement is per user and auditable. It never clears a persistent condition or another user’s state. For Significant G Events, acknowledgement/viewing records response only and never resolves or alters the immutable historical event.</w:t>
      </w:r>
    </w:p>
    <w:p>
      <w:pPr>
        <w:pStyle w:val="Heading2"/>
        <w:keepNext/>
      </w:pPr>
      <w:r>
        <w:t>Merge ID 40 — Snooze &amp; expiry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Mobile Apps + Cloud  |  Team approval: Pending where applicable</w:t>
      </w:r>
    </w:p>
    <w:p>
      <w:pPr>
        <w:pStyle w:val="Heading3"/>
        <w:keepNext/>
      </w:pPr>
      <w:r>
        <w:t>Purpose</w:t>
      </w:r>
    </w:p>
    <w:p>
      <w:r>
        <w:t>Define the controlled SmartSense behavior for snooze &amp; expiry and its boundaries within the VIN-centered, multi-tenant Product Mode architecture.</w:t>
      </w:r>
    </w:p>
    <w:p>
      <w:pPr>
        <w:pStyle w:val="Heading3"/>
        <w:keepNext/>
      </w:pPr>
      <w:r>
        <w:t>Confirmed Requirements</w:t>
      </w:r>
    </w:p>
    <w:p>
      <w:pPr>
        <w:pStyle w:val="RequirementBullet"/>
      </w:pPr>
      <w:r>
        <w:t>• Snooze is per recipient and alert, pauses reminders for the selected duration, and does not acknowledge, clear or change severity.</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OD-025</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Snooze is per recipient and alert, pauses reminders for the selected duration, and does not acknowledge, clear or change severity.</w:t>
      </w:r>
    </w:p>
    <w:p>
      <w:pPr>
        <w:pStyle w:val="Heading2"/>
        <w:keepNext/>
      </w:pPr>
      <w:r>
        <w:t>Merge ID 41 — All-clear notification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Notification Manager + Mobile Apps  |  Team approval: Pending where applicable</w:t>
      </w:r>
    </w:p>
    <w:p>
      <w:pPr>
        <w:pStyle w:val="Heading3"/>
        <w:keepNext/>
      </w:pPr>
      <w:r>
        <w:t>Purpose</w:t>
      </w:r>
    </w:p>
    <w:p>
      <w:r>
        <w:t>Define the controlled SmartSense behavior for all-clear notification and its boundaries within the VIN-centered, multi-tenant Product Mode architecture.</w:t>
      </w:r>
    </w:p>
    <w:p>
      <w:pPr>
        <w:pStyle w:val="Heading3"/>
        <w:keepNext/>
      </w:pPr>
      <w:r>
        <w:t>Confirmed Requirements</w:t>
      </w:r>
    </w:p>
    <w:p>
      <w:pPr>
        <w:pStyle w:val="RequirementBullet"/>
      </w:pPr>
      <w:r>
        <w:t>• Optional All-Clear is tied to the original AlertEvent and indicates return to normal without implying repair/diagnosis; it stops associated reminder/snooze workflows as defined.</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OD-025</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Optional All-Clear is tied to the original AlertEvent and indicates return to normal without implying repair/diagnosis; it stops associated reminder/snooze workflows as defined.</w:t>
      </w:r>
    </w:p>
    <w:p>
      <w:pPr>
        <w:pStyle w:val="Heading2"/>
        <w:keepNext/>
      </w:pPr>
      <w:r>
        <w:t>Merge ID 42 — Notification escalation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Notification Manager  |  Team approval: Pending where applicable</w:t>
      </w:r>
    </w:p>
    <w:p>
      <w:pPr>
        <w:pStyle w:val="Heading3"/>
        <w:keepNext/>
      </w:pPr>
      <w:r>
        <w:t>Purpose</w:t>
      </w:r>
    </w:p>
    <w:p>
      <w:r>
        <w:t>Define the controlled SmartSense behavior for notification escalation and its boundaries within the VIN-centered, multi-tenant Product Mode architecture.</w:t>
      </w:r>
    </w:p>
    <w:p>
      <w:pPr>
        <w:pStyle w:val="Heading3"/>
        <w:keepNext/>
      </w:pPr>
      <w:r>
        <w:t>Confirmed Requirements</w:t>
      </w:r>
    </w:p>
    <w:p>
      <w:pPr>
        <w:pStyle w:val="RequirementBullet"/>
      </w:pPr>
      <w:r>
        <w:t>• Current scope has no automatic recipient escalation to OEM/manufacturer/dealer/service.</w:t>
      </w:r>
    </w:p>
    <w:p>
      <w:pPr>
        <w:pStyle w:val="RequirementBullet"/>
      </w:pPr>
      <w:r>
        <w:t>• Unacknowledged alerts remain within configured retail reminder policy.</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None for current scope</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Current scope has no automatic recipient escalation to OEM/manufacturer/dealer/service. Unacknowledged alerts remain within configured retail reminder policy.</w:t>
      </w:r>
    </w:p>
    <w:p>
      <w:pPr>
        <w:pStyle w:val="Heading2"/>
        <w:keepNext/>
      </w:pPr>
      <w:r>
        <w:t>Merge ID 43 — Quiet hours &amp; rate limiting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Notification Manager  |  Team approval: Pending where applicable</w:t>
      </w:r>
    </w:p>
    <w:p>
      <w:pPr>
        <w:pStyle w:val="Heading3"/>
        <w:keepNext/>
      </w:pPr>
      <w:r>
        <w:t>Purpose</w:t>
      </w:r>
    </w:p>
    <w:p>
      <w:r>
        <w:t>Define the controlled SmartSense behavior for quiet hours &amp; rate limiting and its boundaries within the VIN-centered, multi-tenant Product Mode architecture.</w:t>
      </w:r>
    </w:p>
    <w:p>
      <w:pPr>
        <w:pStyle w:val="Heading3"/>
        <w:keepNext/>
      </w:pPr>
      <w:r>
        <w:t>Confirmed Requirements</w:t>
      </w:r>
    </w:p>
    <w:p>
      <w:pPr>
        <w:pStyle w:val="RequirementBullet"/>
      </w:pPr>
      <w:r>
        <w:t>• Applicable safety alerts and their configured reminders operate 24/7 in the current scope.</w:t>
      </w:r>
    </w:p>
    <w:p>
      <w:pPr>
        <w:pStyle w:val="RequirementBullet"/>
      </w:pPr>
      <w:r>
        <w:t>• No product-level quiet-hours feature is used for these always-on safety notifications.</w:t>
      </w:r>
    </w:p>
    <w:p>
      <w:pPr>
        <w:pStyle w:val="RequirementBullet"/>
      </w:pPr>
      <w:r>
        <w:t>• The always-on policy is a Notification Manager attribute and does not depend on a severity label called Critical.</w:t>
      </w:r>
    </w:p>
    <w:p>
      <w:pPr>
        <w:pStyle w:val="RequirementBullet"/>
      </w:pPr>
      <w:r>
        <w:t>• Technical duplicate-storm safeguards may be developer-confirmed but must not suppress legitimate new AlertEvents.</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OD-027</w:t>
      </w:r>
    </w:p>
    <w:p>
      <w:pPr>
        <w:pStyle w:val="Heading3"/>
        <w:keepNext/>
      </w:pPr>
      <w:r>
        <w:t>Acceptance / Test Implications</w:t>
      </w:r>
    </w:p>
    <w:p>
      <w:pPr>
        <w:pStyle w:val="RequirementBullet"/>
      </w:pPr>
      <w:r>
        <w:t>• Safety/alert behavior must trace to applicable controlled TPMS/J3309 validation specifications and preserve the authoritative evaluator split.</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Applicable safety alerts and configured reminders operate 24/7 with no product-level quiet hours. This is a notification-policy attribute, independent of the final severity labels. Technical storm safeguards remain implementation work.</w:t>
      </w:r>
    </w:p>
    <w:p>
      <w:r>
        <w:br w:type="page"/>
      </w:r>
    </w:p>
    <w:p>
      <w:pPr>
        <w:pStyle w:val="Heading2"/>
        <w:keepNext/>
      </w:pPr>
      <w:r>
        <w:t>Merge ID 44 — Per-unit health</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v1.2</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health calculation + Portal/App  |  Team approval: Pending where applicable</w:t>
      </w:r>
    </w:p>
    <w:p>
      <w:pPr>
        <w:pStyle w:val="Heading3"/>
        <w:keepNext/>
      </w:pPr>
      <w:r>
        <w:t>Purpose</w:t>
      </w:r>
    </w:p>
    <w:p>
      <w:r>
        <w:t>Define the controlled SmartSense behavior for per-unit health and its boundaries within the VIN-centered, multi-tenant Product Mode architecture.</w:t>
      </w:r>
    </w:p>
    <w:p>
      <w:pPr>
        <w:pStyle w:val="Heading3"/>
        <w:keepNext/>
      </w:pPr>
      <w:r>
        <w:t>Confirmed Requirements</w:t>
      </w:r>
    </w:p>
    <w:p>
      <w:pPr>
        <w:pStyle w:val="RequirementBullet"/>
      </w:pPr>
      <w:r>
        <w:t>• Overall VIN health is derived from actual current conditions, including active alerts and applicable stale/offline/unknown states.</w:t>
      </w:r>
    </w:p>
    <w:p>
      <w:pPr>
        <w:pStyle w:val="RequirementBullet"/>
      </w:pPr>
      <w:r>
        <w:t>• A historical Significant G Event does not remain an active-health fault solely because the event exists in history; current health is based on current conditions/states.</w:t>
      </w:r>
    </w:p>
    <w:p>
      <w:pPr>
        <w:pStyle w:val="RequirementBullet"/>
      </w:pPr>
      <w:r>
        <w:t>• Missing data cannot appear Healthy; health is a roll-up, not a second alert.</w:t>
      </w:r>
    </w:p>
    <w:p>
      <w:pPr>
        <w:pStyle w:val="RequirementBullet"/>
      </w:pPr>
      <w:r>
        <w:t>• Health evaluates only capabilities applicable to that Product Mode. A Direct TPMS VIN is not degraded because Gateway-only temperature/humidity or accelerometer capabilities are Not Available.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OD-028</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t>Overall VIN health derives from actual current conditions, including active persistent alerts and applicable stale/offline/unknown states. Historical Significant G Events remain evidence but do not by themselves keep current health degraded. Non-applicable Direct TPMS environmental/motion capabilities do not degrade health.</w:t>
      </w:r>
    </w:p>
    <w:p>
      <w:pPr>
        <w:pStyle w:val="Heading2"/>
        <w:keepNext/>
      </w:pPr>
      <w:r>
        <w:t>Merge ID 45 — Fleet health rollup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fleet-health calculation + OEM Portal  |  Team approval: Pending where applicable</w:t>
      </w:r>
    </w:p>
    <w:p>
      <w:pPr>
        <w:pStyle w:val="Heading3"/>
        <w:keepNext/>
      </w:pPr>
      <w:r>
        <w:t>Purpose</w:t>
      </w:r>
    </w:p>
    <w:p>
      <w:r>
        <w:t>Define the controlled SmartSense behavior for fleet health rollup and its boundaries within the VIN-centered, multi-tenant Product Mode architecture.</w:t>
      </w:r>
    </w:p>
    <w:p>
      <w:pPr>
        <w:pStyle w:val="Heading3"/>
        <w:keepNext/>
      </w:pPr>
      <w:r>
        <w:t>Confirmed Requirements</w:t>
      </w:r>
    </w:p>
    <w:p>
      <w:pPr>
        <w:pStyle w:val="RequirementBullet"/>
      </w:pPr>
      <w:r>
        <w:t>• Fleet health rolls up current per-unit health over the authorized tenant VIN population.</w:t>
      </w:r>
    </w:p>
    <w:p>
      <w:pPr>
        <w:pStyle w:val="RequirementBullet"/>
      </w:pPr>
      <w:r>
        <w:t>• OEMs are tenant-isolated; SmartSense Admin may have authorized broader scope.</w:t>
      </w:r>
    </w:p>
    <w:p>
      <w:pPr>
        <w:pStyle w:val="RequirementBullet"/>
      </w:pPr>
      <w:r>
        <w:t>• Population inclusion/exclusion details remain open.</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OD-029</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Fleet health rolls up current per-unit health over the authorized tenant VIN population. OEMs are tenant-isolated; SmartSense Admin may have authorized broader scope. Population inclusion/exclusion details remain open.</w:t>
      </w:r>
    </w:p>
    <w:p>
      <w:pPr>
        <w:pStyle w:val="Heading2"/>
        <w:keepNext/>
      </w:pPr>
      <w:r>
        <w:t>Merge ID 46 — Status age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 Portal/App  |  Team approval: Pending where applicable</w:t>
      </w:r>
    </w:p>
    <w:p>
      <w:pPr>
        <w:pStyle w:val="Heading3"/>
        <w:keepNext/>
      </w:pPr>
      <w:r>
        <w:t>Purpose</w:t>
      </w:r>
    </w:p>
    <w:p>
      <w:r>
        <w:t>Define the controlled SmartSense behavior for status age and its boundaries within the VIN-centered, multi-tenant Product Mode architecture.</w:t>
      </w:r>
    </w:p>
    <w:p>
      <w:pPr>
        <w:pStyle w:val="Heading3"/>
        <w:keepNext/>
      </w:pPr>
      <w:r>
        <w:t>Confirmed Requirements</w:t>
      </w:r>
    </w:p>
    <w:p>
      <w:pPr>
        <w:pStyle w:val="RequirementBullet"/>
      </w:pPr>
      <w:r>
        <w:t>• Status-age indicators expose the age/freshness of displayed data so old information is not mistaken for current information.</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None for current scope</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Status-age indicators expose the age/freshness of displayed data so old information is not mistaken for current information.</w:t>
      </w:r>
    </w:p>
    <w:p>
      <w:pPr>
        <w:pStyle w:val="Heading2"/>
        <w:keepNext/>
      </w:pPr>
      <w:r>
        <w:t>Merge ID 47 — Warranty period determination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Policy boundary / evidence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P2  |  Authoritative execution: Cloud evidence / configuration  |  Team approval: Pending where applicable</w:t>
      </w:r>
    </w:p>
    <w:p>
      <w:pPr>
        <w:pStyle w:val="Heading3"/>
        <w:keepNext/>
      </w:pPr>
      <w:r>
        <w:t>Purpose</w:t>
      </w:r>
    </w:p>
    <w:p>
      <w:r>
        <w:t>Define the controlled SmartSense behavior for warranty period determination and its boundaries within the VIN-centered, multi-tenant Product Mode architecture.</w:t>
      </w:r>
    </w:p>
    <w:p>
      <w:pPr>
        <w:pStyle w:val="Heading3"/>
        <w:keepNext/>
      </w:pPr>
      <w:r>
        <w:t>Confirmed Requirements</w:t>
      </w:r>
    </w:p>
    <w:p>
      <w:pPr>
        <w:pStyle w:val="RequirementBullet"/>
      </w:pPr>
      <w:r>
        <w:t>• SmartSense may preserve/configure warranty-period evidence and dates but does not silently adjudicate coverage or financial responsibility.</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RequirementBullet"/>
      </w:pPr>
      <w:r>
        <w:t>• Future/out-of-scope status is a delivery boundary, not permission for current implementation to invent product semantics.</w:t>
      </w:r>
    </w:p>
    <w:p>
      <w:pPr>
        <w:pStyle w:val="Heading3"/>
        <w:keepNext/>
      </w:pPr>
      <w:r>
        <w:t>Developer Confirmation / Open Items</w:t>
      </w:r>
    </w:p>
    <w:p>
      <w:r>
        <w:t>Policy/legal implementation as applicable</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SmartSense may preserve/configure warranty-period evidence and dates but does not silently adjudicate coverage or financial responsibility.</w:t>
      </w:r>
    </w:p>
    <w:p>
      <w:pPr>
        <w:pStyle w:val="Heading2"/>
        <w:keepNext/>
      </w:pPr>
      <w:r>
        <w:t>Merge ID 48 — Liability attribution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Policy boundary / evidence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P2  |  Authoritative execution: Cloud evidence / policy boundary  |  Team approval: Pending where applicable</w:t>
      </w:r>
    </w:p>
    <w:p>
      <w:pPr>
        <w:pStyle w:val="Heading3"/>
        <w:keepNext/>
      </w:pPr>
      <w:r>
        <w:t>Purpose</w:t>
      </w:r>
    </w:p>
    <w:p>
      <w:r>
        <w:t>Define the controlled SmartSense behavior for liability attribution and its boundaries within the VIN-centered, multi-tenant Product Mode architecture.</w:t>
      </w:r>
    </w:p>
    <w:p>
      <w:pPr>
        <w:pStyle w:val="Heading3"/>
        <w:keepNext/>
      </w:pPr>
      <w:r>
        <w:t>Confirmed Requirements</w:t>
      </w:r>
    </w:p>
    <w:p>
      <w:pPr>
        <w:pStyle w:val="RequirementBullet"/>
      </w:pPr>
      <w:r>
        <w:t>• SmartSense preserves objective evidence but does not determine legal liability or financial fault.</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RequirementBullet"/>
      </w:pPr>
      <w:r>
        <w:t>• Future/out-of-scope status is a delivery boundary, not permission for current implementation to invent product semantics.</w:t>
      </w:r>
    </w:p>
    <w:p>
      <w:pPr>
        <w:pStyle w:val="Heading3"/>
        <w:keepNext/>
      </w:pPr>
      <w:r>
        <w:t>Developer Confirmation / Open Items</w:t>
      </w:r>
    </w:p>
    <w:p>
      <w:r>
        <w:t>Policy/legal boundary — no SmartSense liability determination</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SmartSense preserves objective evidence but does not determine legal liability or financial fault.</w:t>
      </w:r>
    </w:p>
    <w:p>
      <w:pPr>
        <w:pStyle w:val="Heading2"/>
        <w:keepNext/>
      </w:pPr>
      <w:r>
        <w:t>Merge ID 49 — Service campaign lifecycle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Future / Deferred</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P2  |  Authoritative execution: Cloud / Portal — future  |  Team approval: Pending where applicable</w:t>
      </w:r>
    </w:p>
    <w:p>
      <w:pPr>
        <w:pStyle w:val="Heading3"/>
        <w:keepNext/>
      </w:pPr>
      <w:r>
        <w:t>Purpose</w:t>
      </w:r>
    </w:p>
    <w:p>
      <w:r>
        <w:t>Define the controlled SmartSense behavior for service campaign lifecycle and its boundaries within the VIN-centered, multi-tenant Product Mode architecture.</w:t>
      </w:r>
    </w:p>
    <w:p>
      <w:pPr>
        <w:pStyle w:val="Heading3"/>
        <w:keepNext/>
      </w:pPr>
      <w:r>
        <w:t>Confirmed Requirements</w:t>
      </w:r>
    </w:p>
    <w:p>
      <w:pPr>
        <w:pStyle w:val="RequirementBullet"/>
      </w:pPr>
      <w:r>
        <w:t>• Service-campaign lifecycle is a future capability; objective VIN/evidence data may support it but current scope does not automatically assign campaign responsibility.</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RequirementBullet"/>
      </w:pPr>
      <w:r>
        <w:t>• Future/out-of-scope status is a delivery boundary, not permission for current implementation to invent product semantics.</w:t>
      </w:r>
    </w:p>
    <w:p>
      <w:pPr>
        <w:pStyle w:val="Heading3"/>
        <w:keepNext/>
      </w:pPr>
      <w:r>
        <w:t>Developer Confirmation / Open Items</w:t>
      </w:r>
    </w:p>
    <w:p>
      <w:r>
        <w:t>Future / deferred</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Service-campaign lifecycle is a future capability; objective VIN/evidence data may support it but current scope does not automatically assign campaign responsibility.</w:t>
      </w:r>
    </w:p>
    <w:p>
      <w:pPr>
        <w:pStyle w:val="Heading2"/>
        <w:keepNext/>
      </w:pPr>
      <w:r>
        <w:t>Merge ID 50 — Fault-pattern clustering / fleet issue detection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Future / Deferred</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P2  |  Authoritative execution: Cloud analytics — future  |  Team approval: Pending where applicable</w:t>
      </w:r>
    </w:p>
    <w:p>
      <w:pPr>
        <w:pStyle w:val="Heading3"/>
        <w:keepNext/>
      </w:pPr>
      <w:r>
        <w:t>Purpose</w:t>
      </w:r>
    </w:p>
    <w:p>
      <w:r>
        <w:t>Define the controlled SmartSense behavior for fault-pattern clustering / fleet issue detection and its boundaries within the VIN-centered, multi-tenant Product Mode architecture.</w:t>
      </w:r>
    </w:p>
    <w:p>
      <w:pPr>
        <w:pStyle w:val="Heading3"/>
        <w:keepNext/>
      </w:pPr>
      <w:r>
        <w:t>Confirmed Requirements</w:t>
      </w:r>
    </w:p>
    <w:p>
      <w:pPr>
        <w:pStyle w:val="RequirementBullet"/>
      </w:pPr>
      <w:r>
        <w:t>• Fault-pattern clustering/fleet issue detection is future analytics capability and must not be treated as a validated safety alert without controlled rules and validation.</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RequirementBullet"/>
      </w:pPr>
      <w:r>
        <w:t>• Future/out-of-scope status is a delivery boundary, not permission for current implementation to invent product semantics.</w:t>
      </w:r>
    </w:p>
    <w:p>
      <w:pPr>
        <w:pStyle w:val="Heading3"/>
        <w:keepNext/>
      </w:pPr>
      <w:r>
        <w:t>Developer Confirmation / Open Items</w:t>
      </w:r>
    </w:p>
    <w:p>
      <w:r>
        <w:t>OD-030</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Fault-pattern clustering/fleet issue detection is future analytics capability and must not be treated as a validated safety alert without controlled rules and validation.</w:t>
      </w:r>
    </w:p>
    <w:p>
      <w:pPr>
        <w:pStyle w:val="Heading2"/>
        <w:keepNext/>
      </w:pPr>
      <w:r>
        <w:t>Merge ID 51 — AI / data-analysis access &amp; governance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Future / Deferred</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P2  |  Authoritative execution: Cloud / governed analytics — future  |  Team approval: Pending where applicable</w:t>
      </w:r>
    </w:p>
    <w:p>
      <w:pPr>
        <w:pStyle w:val="Heading3"/>
        <w:keepNext/>
      </w:pPr>
      <w:r>
        <w:t>Purpose</w:t>
      </w:r>
    </w:p>
    <w:p>
      <w:r>
        <w:t>Define the controlled SmartSense behavior for ai / data-analysis access &amp; governance and its boundaries within the VIN-centered, multi-tenant Product Mode architecture.</w:t>
      </w:r>
    </w:p>
    <w:p>
      <w:pPr>
        <w:pStyle w:val="Heading3"/>
        <w:keepNext/>
      </w:pPr>
      <w:r>
        <w:t>Confirmed Requirements</w:t>
      </w:r>
    </w:p>
    <w:p>
      <w:pPr>
        <w:pStyle w:val="RequirementBullet"/>
      </w:pPr>
      <w:r>
        <w:t>• AI/data-analysis access is future and must use the same tenant/authorization boundaries, governed data scope, auditability and separation between insight and validated safety logic.</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RequirementBullet"/>
      </w:pPr>
      <w:r>
        <w:t>• Future/out-of-scope status is a delivery boundary, not permission for current implementation to invent product semantics.</w:t>
      </w:r>
    </w:p>
    <w:p>
      <w:pPr>
        <w:pStyle w:val="Heading3"/>
        <w:keepNext/>
      </w:pPr>
      <w:r>
        <w:t>Developer Confirmation / Open Items</w:t>
      </w:r>
    </w:p>
    <w:p>
      <w:r>
        <w:t>OD-030</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AI/data-analysis access is future and must use the same tenant/authorization boundaries, governed data scope, auditability and separation between insight and validated safety logic.</w:t>
      </w:r>
    </w:p>
    <w:p>
      <w:r>
        <w:br w:type="page"/>
      </w:r>
    </w:p>
    <w:p>
      <w:pPr>
        <w:pStyle w:val="Heading2"/>
        <w:keepNext/>
      </w:pPr>
      <w:r>
        <w:t>Merge ID 52 — Plan attachment at plant registration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v1.3</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Model subscription config + VIN registration  |  Team approval: Pending where applicable</w:t>
      </w:r>
    </w:p>
    <w:p>
      <w:pPr>
        <w:pStyle w:val="Heading3"/>
        <w:keepNext/>
      </w:pPr>
      <w:r>
        <w:t>Purpose</w:t>
      </w:r>
    </w:p>
    <w:p>
      <w:r>
        <w:t>Define the controlled SmartSense behavior for plan attachment at plant registration and its boundaries within the VIN-centered, multi-tenant Product Mode architecture.</w:t>
      </w:r>
    </w:p>
    <w:p>
      <w:pPr>
        <w:pStyle w:val="Heading3"/>
        <w:keepNext/>
      </w:pPr>
      <w:r>
        <w:t>Confirmed Requirements</w:t>
      </w:r>
    </w:p>
    <w:p>
      <w:pPr>
        <w:pStyle w:val="RequirementBullet"/>
      </w:pPr>
      <w:r>
        <w:t>• Subscription plan definitions and entitlements are server/cloud authoritative and configured at Model level, not manually defined per VIN.</w:t>
      </w:r>
    </w:p>
    <w:p>
      <w:pPr>
        <w:pStyle w:val="RequirementBullet"/>
      </w:pPr>
      <w:r>
        <w:t>• User accounts may access multiple VINs, but subscription/entitlement state remains independently VIN-specific; ownership or Authorized User relationships do not convert VIN entitlements into an account-wide plan.</w:t>
      </w:r>
    </w:p>
    <w:p>
      <w:pPr>
        <w:pStyle w:val="RequirementBullet"/>
      </w:pPr>
      <w:r>
        <w:t>• The OEM-paid included period starts at OEM VIN registration, not Owner Activation.</w:t>
      </w:r>
    </w:p>
    <w:p>
      <w:pPr>
        <w:pStyle w:val="RequirementBullet"/>
      </w:pPr>
      <w:r>
        <w:t>• Thirty-six months is the initial/default SmartSense included period, but the Model subscription configuration may define another included term; it is not a global hard-coded constant.</w:t>
      </w:r>
    </w:p>
    <w:p>
      <w:pPr>
        <w:pStyle w:val="RequirementBullet"/>
      </w:pPr>
      <w:r>
        <w:t>• At OEM VIN registration, the VIN snapshots its applicable included term and start state.</w:t>
      </w:r>
    </w:p>
    <w:p>
      <w:pPr>
        <w:pStyle w:val="RequirementBullet"/>
      </w:pPr>
      <w:r>
        <w:t>• Later changes to Model subscription configuration do not retroactively change the included term already assigned to existing registered VINs.</w:t>
      </w:r>
    </w:p>
    <w:p>
      <w:pPr>
        <w:pStyle w:val="RequirementBullet"/>
      </w:pPr>
      <w:r>
        <w:t>• VIN-specific subscription state may separately track payer, dates, remaining term, renewal/lapse and history.</w:t>
      </w:r>
    </w:p>
    <w:p>
      <w:pPr>
        <w:pStyle w:val="Heading3"/>
        <w:keepNext/>
      </w:pPr>
      <w:r>
        <w:t>Process Flow</w:t>
      </w:r>
    </w:p>
    <w:p>
      <w:pPr>
        <w:ind w:left="173"/>
      </w:pPr>
      <w:r>
        <w:rPr>
          <w:rFonts w:ascii="Consolas" w:hAnsi="Consolas" w:eastAsia="Consolas"/>
          <w:b w:val="0"/>
          <w:color w:val="334155"/>
          <w:sz w:val="17"/>
        </w:rPr>
        <w:t>SmartSense/OEM configures Model subscription definition → OEM registers VIN → server snapshots Model plan/included term/start state onto VIN subscription record → term follows VIN through ownership/Gateway changes → later Model edits apply prospectively, not retroactively.</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OD-031; included-term rule now defined</w:t>
      </w:r>
    </w:p>
    <w:p>
      <w:pPr>
        <w:pStyle w:val="Heading3"/>
        <w:keepNext/>
      </w:pPr>
      <w:r>
        <w:t>Acceptance / Test Implications</w:t>
      </w:r>
    </w:p>
    <w:p>
      <w:pPr>
        <w:pStyle w:val="RequirementBullet"/>
      </w:pPr>
      <w:r>
        <w:t>• Subscription tests must prove Model-authoritative configuration, VIN-specific state/history and permanent Essentials behavior.</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Subscription/entitlement definitions are server-authoritative at Model level. OEM-paid included period begins at OEM VIN registration; 36 months is the initial/default Model-configurable period. Each VIN snapshots its applicable included term/start state at registration; later Model changes are not retroactive.</w:t>
      </w:r>
    </w:p>
    <w:p>
      <w:pPr>
        <w:pStyle w:val="Heading2"/>
        <w:keepNext/>
      </w:pPr>
      <w:r>
        <w:t>Merge ID 53 — Included period &amp; holdership transfer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subscription state  |  Team approval: Pending where applicable</w:t>
      </w:r>
    </w:p>
    <w:p>
      <w:pPr>
        <w:pStyle w:val="Heading3"/>
        <w:keepNext/>
      </w:pPr>
      <w:r>
        <w:t>Purpose</w:t>
      </w:r>
    </w:p>
    <w:p>
      <w:r>
        <w:t>Define the controlled SmartSense behavior for included period &amp; holdership transfer and its boundaries within the VIN-centered, multi-tenant Product Mode architecture.</w:t>
      </w:r>
    </w:p>
    <w:p>
      <w:pPr>
        <w:pStyle w:val="Heading3"/>
        <w:keepNext/>
      </w:pPr>
      <w:r>
        <w:t>Confirmed Requirements</w:t>
      </w:r>
    </w:p>
    <w:p>
      <w:pPr>
        <w:pStyle w:val="RequirementBullet"/>
      </w:pPr>
      <w:r>
        <w:t>• The OEM-paid included term follows the VIN through ownership transfer and Gateway replacement and does not reset because the owner changes.</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OD-031 for billing/store details</w:t>
      </w:r>
    </w:p>
    <w:p>
      <w:pPr>
        <w:pStyle w:val="Heading3"/>
        <w:keepNext/>
      </w:pPr>
      <w:r>
        <w:t>Acceptance / Test Implications</w:t>
      </w:r>
    </w:p>
    <w:p>
      <w:pPr>
        <w:pStyle w:val="RequirementBullet"/>
      </w:pPr>
      <w:r>
        <w:t>• Subscription tests must prove Model-authoritative configuration, VIN-specific state/history and permanent Essentials behavior.</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The OEM-paid included term follows the VIN through ownership transfer and Gateway replacement and does not reset because the owner changes.</w:t>
      </w:r>
    </w:p>
    <w:p>
      <w:pPr>
        <w:pStyle w:val="Heading2"/>
        <w:keepNext/>
      </w:pPr>
      <w:r>
        <w:t>Merge ID 54 — Store subscription renewal &amp; lapse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Current scope + implementation WIP</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 Store/App integration  |  Team approval: Pending where applicable</w:t>
      </w:r>
    </w:p>
    <w:p>
      <w:pPr>
        <w:pStyle w:val="Heading3"/>
        <w:keepNext/>
      </w:pPr>
      <w:r>
        <w:t>Purpose</w:t>
      </w:r>
    </w:p>
    <w:p>
      <w:r>
        <w:t>Define the controlled SmartSense behavior for store subscription renewal &amp; lapse and its boundaries within the VIN-centered, multi-tenant Product Mode architecture.</w:t>
      </w:r>
    </w:p>
    <w:p>
      <w:pPr>
        <w:pStyle w:val="Heading3"/>
        <w:keepNext/>
      </w:pPr>
      <w:r>
        <w:t>Confirmed Requirements</w:t>
      </w:r>
    </w:p>
    <w:p>
      <w:pPr>
        <w:pStyle w:val="RequirementBullet"/>
      </w:pPr>
      <w:r>
        <w:t>• Store renewal/lapse mechanics preserve VIN subscription history and must reconcile billing/store state with server-authoritative entitlement state; exact grace/refund/provider mechanics remain WIP.</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OD-031</w:t>
      </w:r>
    </w:p>
    <w:p>
      <w:pPr>
        <w:pStyle w:val="Heading3"/>
        <w:keepNext/>
      </w:pPr>
      <w:r>
        <w:t>Acceptance / Test Implications</w:t>
      </w:r>
    </w:p>
    <w:p>
      <w:pPr>
        <w:pStyle w:val="RequirementBullet"/>
      </w:pPr>
      <w:r>
        <w:t>• Subscription tests must prove Model-authoritative configuration, VIN-specific state/history and permanent Essentials behavior.</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Store renewal/lapse mechanics preserve VIN subscription history and must reconcile billing/store state with server-authoritative entitlement state; exact grace/refund/provider mechanics remain WIP.</w:t>
      </w:r>
    </w:p>
    <w:p>
      <w:pPr>
        <w:pStyle w:val="Heading2"/>
        <w:keepNext/>
      </w:pPr>
      <w:r>
        <w:t>Merge ID 55 — Essentials floor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Cloud entitlement resolution + local safety floor  |  Team approval: Pending where applicable</w:t>
      </w:r>
    </w:p>
    <w:p>
      <w:pPr>
        <w:pStyle w:val="Heading3"/>
        <w:keepNext/>
      </w:pPr>
      <w:r>
        <w:t>Purpose</w:t>
      </w:r>
    </w:p>
    <w:p>
      <w:r>
        <w:t>Define the controlled SmartSense behavior for essentials floor and its boundaries within the VIN-centered, multi-tenant Product Mode architecture.</w:t>
      </w:r>
    </w:p>
    <w:p>
      <w:pPr>
        <w:pStyle w:val="Heading3"/>
        <w:keepNext/>
      </w:pPr>
      <w:r>
        <w:t>Confirmed Requirements</w:t>
      </w:r>
    </w:p>
    <w:p>
      <w:pPr>
        <w:pStyle w:val="RequirementBullet"/>
      </w:pPr>
      <w:r>
        <w:t>• A permanent Essentials safety floor remains regardless of plan/lapse, including TPMS information and applicable local TPMS safety alerts.</w:t>
      </w:r>
    </w:p>
    <w:p>
      <w:pPr>
        <w:pStyle w:val="RequirementBullet"/>
      </w:pPr>
      <w:r>
        <w:t>• Any additional Gateway safety-floor functions remain explicitly open.</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OD-032</w:t>
      </w:r>
    </w:p>
    <w:p>
      <w:pPr>
        <w:pStyle w:val="Heading3"/>
        <w:keepNext/>
      </w:pPr>
      <w:r>
        <w:t>Acceptance / Test Implications</w:t>
      </w:r>
    </w:p>
    <w:p>
      <w:pPr>
        <w:pStyle w:val="RequirementBullet"/>
      </w:pPr>
      <w:r>
        <w:t>• Subscription tests must prove Model-authoritative configuration, VIN-specific state/history and permanent Essentials behavior.</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A permanent Essentials safety floor remains regardless of plan/lapse, including TPMS information and applicable local TPMS safety alerts. Any additional Gateway safety-floor functions remain explicitly open.</w:t>
      </w:r>
    </w:p>
    <w:p>
      <w:pPr>
        <w:pStyle w:val="Heading2"/>
        <w:keepNext/>
      </w:pPr>
      <w:r>
        <w:t>Merge ID 56 — Entitlement enforcement on the device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Server-authoritative entitlement + Gateway/App consumption  |  Team approval: Pending where applicable</w:t>
      </w:r>
    </w:p>
    <w:p>
      <w:pPr>
        <w:pStyle w:val="Heading3"/>
        <w:keepNext/>
      </w:pPr>
      <w:r>
        <w:t>Purpose</w:t>
      </w:r>
    </w:p>
    <w:p>
      <w:r>
        <w:t>Define the controlled SmartSense behavior for entitlement enforcement on the device and its boundaries within the VIN-centered, multi-tenant Product Mode architecture.</w:t>
      </w:r>
    </w:p>
    <w:p>
      <w:pPr>
        <w:pStyle w:val="Heading3"/>
        <w:keepNext/>
      </w:pPr>
      <w:r>
        <w:t>Confirmed Requirements</w:t>
      </w:r>
    </w:p>
    <w:p>
      <w:pPr>
        <w:pStyle w:val="RequirementBullet"/>
      </w:pPr>
      <w:r>
        <w:t>• Server resolves entitlements from Model definition plus VIN-specific subscription state.</w:t>
      </w:r>
    </w:p>
    <w:p>
      <w:pPr>
        <w:pStyle w:val="RequirementBullet"/>
      </w:pPr>
      <w:r>
        <w:t>• Gateway/apps consume the resolved state and retain last-valid entitlement/config during temporary cloud loss; Essentials safety floor remains enforceable.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OD-031, OD-032</w:t>
      </w:r>
    </w:p>
    <w:p>
      <w:pPr>
        <w:pStyle w:val="Heading3"/>
        <w:keepNext/>
      </w:pPr>
      <w:r>
        <w:t>Acceptance / Test Implications</w:t>
      </w:r>
    </w:p>
    <w:p>
      <w:pPr>
        <w:pStyle w:val="RequirementBullet"/>
      </w:pPr>
      <w:r>
        <w:t>• Subscription tests must prove Model-authoritative configuration, VIN-specific state/history and permanent Essentials behavior.</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Server resolves entitlements from Model definition plus VIN-specific subscription state. Gateway/apps consume the resolved state and retain last-valid entitlement/config during temporary cloud loss; Essentials safety floor remains enforceable.</w:t>
      </w:r>
    </w:p>
    <w:p>
      <w:r>
        <w:br w:type="page"/>
      </w:r>
    </w:p>
    <w:p>
      <w:pPr>
        <w:pStyle w:val="Heading2"/>
        <w:keepNext/>
      </w:pPr>
      <w:r>
        <w:t>Merge ID 57 — OEM feature configuration / white labeling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Flutter flavors + server runtime configuration  |  Team approval: Pending where applicable</w:t>
      </w:r>
    </w:p>
    <w:p>
      <w:pPr>
        <w:pStyle w:val="Heading3"/>
        <w:keepNext/>
      </w:pPr>
      <w:r>
        <w:t>Purpose</w:t>
      </w:r>
    </w:p>
    <w:p>
      <w:r>
        <w:t>Define the controlled SmartSense behavior for oem feature configuration / white labeling and its boundaries within the VIN-centered, multi-tenant Product Mode architecture.</w:t>
      </w:r>
    </w:p>
    <w:p>
      <w:pPr>
        <w:pStyle w:val="Heading3"/>
        <w:keepNext/>
      </w:pPr>
      <w:r>
        <w:t>Confirmed Requirements</w:t>
      </w:r>
    </w:p>
    <w:p>
      <w:pPr>
        <w:pStyle w:val="RequirementBullet"/>
      </w:pPr>
      <w:r>
        <w:t>• Flutter flavors support packaging/branding; runtime business behavior is server-configured within one secure multi-tenant platform.</w:t>
      </w:r>
    </w:p>
    <w:p>
      <w:pPr>
        <w:pStyle w:val="RequirementBullet"/>
      </w:pPr>
      <w:r>
        <w:t>• White labeling cannot change canonical data meaning or core safety behavior.</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OD-033</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Flutter flavors support packaging/branding; runtime business behavior is server-configured within one secure multi-tenant platform. White labeling cannot change canonical data meaning or core safety behavior.</w:t>
      </w:r>
    </w:p>
    <w:p>
      <w:pPr>
        <w:pStyle w:val="Heading2"/>
        <w:keepNext/>
      </w:pPr>
      <w:r>
        <w:t>Merge ID 58 — Configuration application &amp; drift detection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Server desired state + Gateway/App reported state  |  Team approval: Pending where applicable</w:t>
      </w:r>
    </w:p>
    <w:p>
      <w:pPr>
        <w:pStyle w:val="Heading3"/>
        <w:keepNext/>
      </w:pPr>
      <w:r>
        <w:t>Purpose</w:t>
      </w:r>
    </w:p>
    <w:p>
      <w:r>
        <w:t>Define the controlled SmartSense behavior for configuration application &amp; drift detection and its boundaries within the VIN-centered, multi-tenant Product Mode architecture.</w:t>
      </w:r>
    </w:p>
    <w:p>
      <w:pPr>
        <w:pStyle w:val="Heading3"/>
        <w:keepNext/>
      </w:pPr>
      <w:r>
        <w:t>Confirmed Requirements</w:t>
      </w:r>
    </w:p>
    <w:p>
      <w:pPr>
        <w:pStyle w:val="RequirementBullet"/>
      </w:pPr>
      <w:r>
        <w:t>• Server desired configuration and device/app reported state are distinct; drift is visible, invalid config does not replace last-good, and applied state requires validation/confirmation.</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OD-020</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Server desired configuration and device/app reported state are distinct; drift is visible, invalid config does not replace last-good, and applied state requires validation/confirmation.</w:t>
      </w:r>
    </w:p>
    <w:p>
      <w:pPr>
        <w:pStyle w:val="Heading2"/>
        <w:keepNext/>
      </w:pPr>
      <w:r>
        <w:t>Merge ID 59 — Firmware release &amp; health gating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Gateway / location-capable only</w:t>
            </w:r>
          </w:p>
        </w:tc>
      </w:tr>
    </w:tbl>
    <w:p>
      <w:pPr>
        <w:pStyle w:val="SmartSenseMeta"/>
      </w:pPr>
      <w:r>
        <w:t>Priority: P1  |  Authoritative execution: Server + Gateway firmware  |  Team approval: Pending where applicable</w:t>
      </w:r>
    </w:p>
    <w:p>
      <w:pPr>
        <w:pStyle w:val="Heading3"/>
        <w:keepNext/>
      </w:pPr>
      <w:r>
        <w:t>Purpose</w:t>
      </w:r>
    </w:p>
    <w:p>
      <w:r>
        <w:t>Define the controlled SmartSense behavior for firmware release &amp; health gating and its boundaries within the VIN-centered, multi-tenant Product Mode architecture.</w:t>
      </w:r>
    </w:p>
    <w:p>
      <w:pPr>
        <w:pStyle w:val="Heading3"/>
        <w:keepNext/>
      </w:pPr>
      <w:r>
        <w:t>Confirmed Requirements</w:t>
      </w:r>
    </w:p>
    <w:p>
      <w:pPr>
        <w:pStyle w:val="RequirementBullet"/>
      </w:pPr>
      <w:r>
        <w:t>• Firmware releases are administratively controlled, uniquely versioned, staged, targetable, haltable and auditable.</w:t>
      </w:r>
    </w:p>
    <w:p>
      <w:pPr>
        <w:pStyle w:val="RequirementBullet"/>
      </w:pPr>
      <w:r>
        <w:t>• SmartSense records the firmware actually reported by the device rather than assuming deployment equals installation.</w:t>
      </w:r>
    </w:p>
    <w:p>
      <w:pPr>
        <w:pStyle w:val="RequirementBullet"/>
      </w:pPr>
      <w:r>
        <w:t>• Current OTA scope is SmartSense Gateway firmware only.</w:t>
      </w:r>
    </w:p>
    <w:p>
      <w:pPr>
        <w:pStyle w:val="RequirementBullet"/>
      </w:pPr>
      <w:r>
        <w:t>• TPMS sensor, CAN-device and peripheral OTA are outside current scope unless later added through controlled requirements.</w:t>
      </w:r>
    </w:p>
    <w:p>
      <w:pPr>
        <w:pStyle w:val="RequirementBullet"/>
      </w:pPr>
      <w:r>
        <w:t>• Signing, release rings, rollout percentages, transport/install timing, retries and health gates remain OD-034.</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Gateway / location-capable only; unsupported capabilities must not be implied by another Product Mode or by current implementation evidence.</w:t>
      </w:r>
    </w:p>
    <w:p>
      <w:pPr>
        <w:pStyle w:val="Heading3"/>
        <w:keepNext/>
      </w:pPr>
      <w:r>
        <w:t>Developer Confirmation / Open Items</w:t>
      </w:r>
    </w:p>
    <w:p>
      <w:r>
        <w:t>OD-034 — Gateway firmware mechanics</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Gateway firmware releases are controlled, versioned, staged, targetable, haltable and auditable, with actual device-reported version tracked. Current OTA scope is SmartSense Gateway firmware only.</w:t>
      </w:r>
    </w:p>
    <w:p>
      <w:pPr>
        <w:pStyle w:val="Heading2"/>
        <w:keepNext/>
      </w:pPr>
      <w:r>
        <w:t>Merge ID 60 — Command dispatch &amp; confirmation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MERGED / DUPLICATE</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Traceability only — governed by M23–43/67</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 — Custom Alert terminology</w:t>
            </w:r>
          </w:p>
        </w:tc>
      </w:tr>
    </w:tbl>
    <w:p>
      <w:pPr>
        <w:pStyle w:val="SmartSenseMeta"/>
      </w:pPr>
      <w:r>
        <w:t>Priority: P0  |  Authoritative execution: Alert / Notification architecture  |  Team approval: Pending where applicable</w:t>
      </w:r>
    </w:p>
    <w:p>
      <w:pPr>
        <w:pStyle w:val="Heading3"/>
        <w:keepNext/>
      </w:pPr>
      <w:r>
        <w:t>Purpose</w:t>
      </w:r>
    </w:p>
    <w:p>
      <w:r>
        <w:t>Preserve source traceability while confirming that SmartSense Command means Custom Alert and does not create a second command lifecycle.</w:t>
      </w:r>
    </w:p>
    <w:p>
      <w:pPr>
        <w:pStyle w:val="Heading3"/>
        <w:keepNext/>
      </w:pPr>
      <w:r>
        <w:t>Confirmed Requirements</w:t>
      </w:r>
    </w:p>
    <w:p>
      <w:pPr>
        <w:pStyle w:val="RequirementBullet"/>
      </w:pPr>
      <w:r>
        <w:t>• SmartSense 'Command' means Custom Alert.</w:t>
      </w:r>
    </w:p>
    <w:p>
      <w:pPr>
        <w:pStyle w:val="RequirementBullet"/>
      </w:pPr>
      <w:r>
        <w:t>• This Merge ID is retained only for source traceability; Custom Alert uses the existing AlertEvent/notification/ack/snooze/all-clear/audit lifecycle.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 Custom Alert terminology; unsupported capabilities must not be implied by another Product Mode or by current implementation evidence.</w:t>
      </w:r>
    </w:p>
    <w:p>
      <w:pPr>
        <w:pStyle w:val="RequirementBullet"/>
      </w:pPr>
      <w:r>
        <w:t>• Do not implement a parallel device-command lifecycle under this Merge ID.</w:t>
      </w:r>
    </w:p>
    <w:p>
      <w:pPr>
        <w:pStyle w:val="Heading3"/>
        <w:keepNext/>
      </w:pPr>
      <w:r>
        <w:t>Developer Confirmation / Open Items</w:t>
      </w:r>
    </w:p>
    <w:p>
      <w:r>
        <w:t>None — governed by M23–43 and M67</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SmartSense 'Command' means Custom Alert. This Merge ID is retained only for source traceability; Custom Alert uses the existing AlertEvent/notification/ack/snooze/all-clear/audit lifecycle.</w:t>
      </w:r>
    </w:p>
    <w:p>
      <w:pPr>
        <w:pStyle w:val="Heading2"/>
        <w:keepNext/>
      </w:pPr>
      <w:r>
        <w:t>Merge ID 61 — Firmware rollback</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Gateway / location-capable only</w:t>
            </w:r>
          </w:p>
        </w:tc>
      </w:tr>
    </w:tbl>
    <w:p>
      <w:pPr>
        <w:pStyle w:val="SmartSenseMeta"/>
      </w:pPr>
      <w:r>
        <w:t>Priority: P1  |  Authoritative execution: Server + Gateway firmware  |  Team approval: Pending where applicable</w:t>
      </w:r>
    </w:p>
    <w:p>
      <w:pPr>
        <w:pStyle w:val="Heading3"/>
        <w:keepNext/>
      </w:pPr>
      <w:r>
        <w:t>Purpose</w:t>
      </w:r>
    </w:p>
    <w:p>
      <w:r>
        <w:t>Define the controlled SmartSense behavior for firmware rollback and its boundaries within the VIN-centered, multi-tenant Product Mode architecture.</w:t>
      </w:r>
    </w:p>
    <w:p>
      <w:pPr>
        <w:pStyle w:val="Heading3"/>
        <w:keepNext/>
      </w:pPr>
      <w:r>
        <w:t>Confirmed Requirements</w:t>
      </w:r>
    </w:p>
    <w:p>
      <w:pPr>
        <w:pStyle w:val="RequirementBullet"/>
      </w:pPr>
      <w:r>
        <w:t>• Authorized SmartSense administrators may halt a bad Gateway firmware rollout and, where technically supported, return affected Gateways to a prior known-good approved version.</w:t>
      </w:r>
    </w:p>
    <w:p>
      <w:pPr>
        <w:pStyle w:val="RequirementBullet"/>
      </w:pPr>
      <w:r>
        <w:t>• Rollback preserves release/deployment history and requires post-rollback device-reported version confirmation.</w:t>
      </w:r>
    </w:p>
    <w:p>
      <w:pPr>
        <w:pStyle w:val="RequirementBullet"/>
      </w:pPr>
      <w:r>
        <w:t>• Offline devices must not later install a release that has been halted; exact mechanism remains firmware implementation work.</w:t>
      </w:r>
    </w:p>
    <w:p>
      <w:pPr>
        <w:pStyle w:val="RequirementBullet"/>
      </w:pPr>
      <w:r>
        <w:t>• Current rollback scope is SmartSense Gateway firmware only; TPMS/CAN/peripheral rollback is outside current scope.</w:t>
      </w:r>
    </w:p>
    <w:p>
      <w:pPr>
        <w:pStyle w:val="RequirementBullet"/>
      </w:pPr>
      <w:r>
        <w:t>• Bootloader/image storage/compatibility/retry/recovery mechanics remain OD-035.</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Gateway / location-capable only; unsupported capabilities must not be implied by another Product Mode or by current implementation evidence.</w:t>
      </w:r>
    </w:p>
    <w:p>
      <w:pPr>
        <w:pStyle w:val="Heading3"/>
        <w:keepNext/>
      </w:pPr>
      <w:r>
        <w:t>Developer Confirmation / Open Items</w:t>
      </w:r>
    </w:p>
    <w:p>
      <w:r>
        <w:t>OD-035 — Gateway firmware mechanics</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Authorized SmartSense administrators can halt a bad Gateway firmware rollout and, where technically supported, return affected Gateways to a prior known-good version. History and device-reported post-rollback version are retained. TPMS/CAN/peripheral OTA is outside current scope.</w:t>
      </w:r>
    </w:p>
    <w:p>
      <w:pPr>
        <w:pStyle w:val="Heading2"/>
        <w:keepNext/>
      </w:pPr>
      <w:r>
        <w:t>Merge ID 62 — System failure &amp; recovery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Local evaluator + cloud/backend recovery  |  Team approval: Pending where applicable</w:t>
      </w:r>
    </w:p>
    <w:p>
      <w:pPr>
        <w:pStyle w:val="Heading3"/>
        <w:keepNext/>
      </w:pPr>
      <w:r>
        <w:t>Purpose</w:t>
      </w:r>
    </w:p>
    <w:p>
      <w:r>
        <w:t>Define the controlled SmartSense behavior for system failure &amp; recovery and its boundaries within the VIN-centered, multi-tenant Product Mode architecture.</w:t>
      </w:r>
    </w:p>
    <w:p>
      <w:pPr>
        <w:pStyle w:val="Heading3"/>
        <w:keepNext/>
      </w:pPr>
      <w:r>
        <w:t>Confirmed Requirements</w:t>
      </w:r>
    </w:p>
    <w:p>
      <w:pPr>
        <w:pStyle w:val="RequirementBullet"/>
      </w:pPr>
      <w:r>
        <w:t>• Local safety evaluation continues through cloud/backend outages according to Product Mode.</w:t>
      </w:r>
    </w:p>
    <w:p>
      <w:pPr>
        <w:pStyle w:val="RequirementBullet"/>
      </w:pPr>
      <w:r>
        <w:t>• Backend, LTE, push or database failure does not clear active alerts or imply Healthy.</w:t>
      </w:r>
    </w:p>
    <w:p>
      <w:pPr>
        <w:pStyle w:val="RequirementBullet"/>
      </w:pPr>
      <w:r>
        <w:t>• Applicable data/events buffer and replay with original event time and duplicate protection; recovery reconciles newest valid state without erasing outage history.</w:t>
      </w:r>
    </w:p>
    <w:p>
      <w:pPr>
        <w:pStyle w:val="RequirementBullet"/>
      </w:pPr>
      <w:r>
        <w:t>• Critical Logic remains platform-neutral. Cloud/backend resilience requirements must not name or pre-commit AWS, Serverpod, Django or another framework/provider unless that platform capability is itself later controlled.</w:t>
      </w:r>
    </w:p>
    <w:p>
      <w:pPr>
        <w:pStyle w:val="RequirementBullet"/>
      </w:pPr>
      <w:r>
        <w:t>• Redundancy, queues, backup/restore, RTO/RPO, failover and runbooks remain OD-036.</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OD-036 — platform-neutral infrastructure implementation</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Local safety monitoring continues through cloud/backend outages. Failures do not clear alerts or imply Healthy. Applicable events buffer/replay with original time and dedup; recovery reconciles newest valid state. Infrastructure technology is implementation-specific and platform-neutral in Critical Logic.</w:t>
      </w:r>
    </w:p>
    <w:p>
      <w:r>
        <w:br w:type="page"/>
      </w:r>
    </w:p>
    <w:p>
      <w:pPr>
        <w:pStyle w:val="Heading2"/>
        <w:keepNext/>
      </w:pPr>
      <w:r>
        <w:t>Merge ID 63 — Geofence definition &amp; assignment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Gateway / location-capable only</w:t>
            </w:r>
          </w:p>
        </w:tc>
      </w:tr>
    </w:tbl>
    <w:p>
      <w:pPr>
        <w:pStyle w:val="SmartSenseMeta"/>
      </w:pPr>
      <w:r>
        <w:t>Priority: P1  |  Authoritative execution: Server/Portal geofence configuration; Gateway GPS source  |  Team approval: Pending where applicable</w:t>
      </w:r>
    </w:p>
    <w:p>
      <w:pPr>
        <w:pStyle w:val="Heading3"/>
        <w:keepNext/>
      </w:pPr>
      <w:r>
        <w:t>Purpose</w:t>
      </w:r>
    </w:p>
    <w:p>
      <w:r>
        <w:t>Define the controlled SmartSense behavior for geofence definition &amp; assignment and its boundaries within the VIN-centered, multi-tenant Product Mode architecture.</w:t>
      </w:r>
    </w:p>
    <w:p>
      <w:pPr>
        <w:pStyle w:val="Heading3"/>
        <w:keepNext/>
      </w:pPr>
      <w:r>
        <w:t>Confirmed Requirements</w:t>
      </w:r>
    </w:p>
    <w:p>
      <w:pPr>
        <w:pStyle w:val="RequirementBullet"/>
      </w:pPr>
      <w:r>
        <w:t>• Geofences are server-defined, tenant-authorized and currently apply only to Gateway/location-capable VINs because Gateway GPS is the authoritative vehicle location source.</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Gateway / location-capable only; unsupported capabilities must not be implied by another Product Mode or by current implementation evidence.</w:t>
      </w:r>
    </w:p>
    <w:p>
      <w:pPr>
        <w:pStyle w:val="Heading3"/>
        <w:keepNext/>
      </w:pPr>
      <w:r>
        <w:t>Developer Confirmation / Open Items</w:t>
      </w:r>
    </w:p>
    <w:p>
      <w:r>
        <w:t>OD-037, OD-019</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Geofences are server-defined, tenant-authorized and currently apply only to Gateway/location-capable VINs because Gateway GPS is the authoritative vehicle location source.</w:t>
      </w:r>
    </w:p>
    <w:p>
      <w:pPr>
        <w:pStyle w:val="Heading2"/>
        <w:keepNext/>
      </w:pPr>
      <w:r>
        <w:t>Merge ID 64 — Geofence entry &amp; exit evaluation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Gateway / location-capable only</w:t>
            </w:r>
          </w:p>
        </w:tc>
      </w:tr>
    </w:tbl>
    <w:p>
      <w:pPr>
        <w:pStyle w:val="SmartSenseMeta"/>
      </w:pPr>
      <w:r>
        <w:t>Priority: P1  |  Authoritative execution: Gateway GPS/location evaluation + Cloud/Portal  |  Team approval: Pending where applicable</w:t>
      </w:r>
    </w:p>
    <w:p>
      <w:pPr>
        <w:pStyle w:val="Heading3"/>
        <w:keepNext/>
      </w:pPr>
      <w:r>
        <w:t>Purpose</w:t>
      </w:r>
    </w:p>
    <w:p>
      <w:r>
        <w:t>Define the controlled SmartSense behavior for geofence entry &amp; exit evaluation and its boundaries within the VIN-centered, multi-tenant Product Mode architecture.</w:t>
      </w:r>
    </w:p>
    <w:p>
      <w:pPr>
        <w:pStyle w:val="Heading3"/>
        <w:keepNext/>
      </w:pPr>
      <w:r>
        <w:t>Confirmed Requirements</w:t>
      </w:r>
    </w:p>
    <w:p>
      <w:pPr>
        <w:pStyle w:val="RequirementBullet"/>
      </w:pPr>
      <w:r>
        <w:t>• Valid Gateway GPS boundary crossings may create one traceable entry/exit event; stale/invalid GPS does not fabricate transitions and boundary noise must not storm events.</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Gateway / location-capable only; unsupported capabilities must not be implied by another Product Mode or by current implementation evidence.</w:t>
      </w:r>
    </w:p>
    <w:p>
      <w:pPr>
        <w:pStyle w:val="Heading3"/>
        <w:keepNext/>
      </w:pPr>
      <w:r>
        <w:t>Developer Confirmation / Open Items</w:t>
      </w:r>
    </w:p>
    <w:p>
      <w:r>
        <w:t>OD-037, OD-019</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Valid Gateway GPS boundary crossings may create one traceable entry/exit event; stale/invalid GPS does not fabricate transitions and boundary noise must not storm events.</w:t>
      </w:r>
    </w:p>
    <w:p>
      <w:pPr>
        <w:pStyle w:val="Heading2"/>
        <w:keepNext/>
      </w:pPr>
      <w:r>
        <w:t>Merge ID 65 — Geofence dwell &amp; in-transit expectation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Gateway / location-capable only</w:t>
            </w:r>
          </w:p>
        </w:tc>
      </w:tr>
    </w:tbl>
    <w:p>
      <w:pPr>
        <w:pStyle w:val="SmartSenseMeta"/>
      </w:pPr>
      <w:r>
        <w:t>Priority: P1  |  Authoritative execution: Gateway GPS/location evaluation + Cloud/Portal  |  Team approval: Pending where applicable</w:t>
      </w:r>
    </w:p>
    <w:p>
      <w:pPr>
        <w:pStyle w:val="Heading3"/>
        <w:keepNext/>
      </w:pPr>
      <w:r>
        <w:t>Purpose</w:t>
      </w:r>
    </w:p>
    <w:p>
      <w:r>
        <w:t>Define the controlled SmartSense behavior for geofence dwell &amp; in-transit expectation and its boundaries within the VIN-centered, multi-tenant Product Mode architecture.</w:t>
      </w:r>
    </w:p>
    <w:p>
      <w:pPr>
        <w:pStyle w:val="Heading3"/>
        <w:keepNext/>
      </w:pPr>
      <w:r>
        <w:t>Confirmed Requirements</w:t>
      </w:r>
    </w:p>
    <w:p>
      <w:pPr>
        <w:pStyle w:val="RequirementBullet"/>
      </w:pPr>
      <w:r>
        <w:t>• Dwell/in-transit geofence behavior is currently limited to Gateway/location-capable VINs.</w:t>
      </w:r>
    </w:p>
    <w:p>
      <w:pPr>
        <w:pStyle w:val="RequirementBullet"/>
      </w:pPr>
      <w:r>
        <w:t>• Exact dwell/transit logistics automation remains implementation/future detail.</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Gateway / location-capable only; unsupported capabilities must not be implied by another Product Mode or by current implementation evidence.</w:t>
      </w:r>
    </w:p>
    <w:p>
      <w:pPr>
        <w:pStyle w:val="Heading3"/>
        <w:keepNext/>
      </w:pPr>
      <w:r>
        <w:t>Developer Confirmation / Open Items</w:t>
      </w:r>
    </w:p>
    <w:p>
      <w:r>
        <w:t>OD-037</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Dwell/in-transit geofence behavior is currently limited to Gateway/location-capable VINs. Exact dwell/transit logistics automation remains implementation/future detail.</w:t>
      </w:r>
    </w:p>
    <w:p>
      <w:r>
        <w:br w:type="page"/>
      </w:r>
    </w:p>
    <w:p>
      <w:pPr>
        <w:pStyle w:val="Heading2"/>
        <w:keepNext/>
      </w:pPr>
      <w:r>
        <w:t>Merge ID 66 — Authorization &amp; tenant isolation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v1.2</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Backend authorization + all clients  |  Team approval: Pending where applicable</w:t>
      </w:r>
    </w:p>
    <w:p>
      <w:pPr>
        <w:pStyle w:val="Heading3"/>
        <w:keepNext/>
      </w:pPr>
      <w:r>
        <w:t>Purpose</w:t>
      </w:r>
    </w:p>
    <w:p>
      <w:r>
        <w:t>Define the controlled SmartSense behavior for authorization &amp; tenant isolation and its boundaries within the VIN-centered, multi-tenant Product Mode architecture.</w:t>
      </w:r>
    </w:p>
    <w:p>
      <w:pPr>
        <w:pStyle w:val="Heading3"/>
        <w:keepNext/>
      </w:pPr>
      <w:r>
        <w:t>Confirmed Requirements</w:t>
      </w:r>
    </w:p>
    <w:p>
      <w:pPr>
        <w:pStyle w:val="RequirementBullet"/>
      </w:pPr>
      <w:r>
        <w:t>• Authorization is enforced at the backend/API with default-deny tenant, role and scope boundaries; UI hiding or app flavor is never a security boundary.</w:t>
      </w:r>
    </w:p>
    <w:p>
      <w:pPr>
        <w:pStyle w:val="RequirementBullet"/>
      </w:pPr>
      <w:r>
        <w:t>• OEM users access only their authorized tenant/fleet; retail users access only VINs for which they hold a current Primary Owner or Authorized User relationship. One account may hold different roles on different VINs.</w:t>
      </w:r>
    </w:p>
    <w:p>
      <w:pPr>
        <w:pStyle w:val="RequirementBullet"/>
      </w:pPr>
      <w:r>
        <w:t>• Primary Owner-only retail actions include ownership release and TPMS sensor service/replacement for existing Model-defined positions. Authorized User access must not silently inherit those permissions.</w:t>
      </w:r>
    </w:p>
    <w:p>
      <w:pPr>
        <w:pStyle w:val="RequirementBullet"/>
      </w:pPr>
      <w:r>
        <w:t>• TPMS sensor cross-VIN eligibility is enforced server-authoritatively; the mobile UI or locally discovered BLE list is not the security/ownership authority.</w:t>
      </w:r>
    </w:p>
    <w:p>
      <w:pPr>
        <w:pStyle w:val="RequirementBullet"/>
      </w:pPr>
      <w:r>
        <w:t>• Permissions distinguish view/change and apply equally to portal, mobile, exports, future APIs and future AI access.</w:t>
      </w:r>
    </w:p>
    <w:p>
      <w:pPr>
        <w:pStyle w:val="RequirementBullet"/>
      </w:pPr>
      <w:r>
        <w:t>• Authorization architecture must support future approved roles/permissions without weakening tenant isolation; exact schema design remains technical.</w:t>
      </w:r>
    </w:p>
    <w:p>
      <w:pPr>
        <w:pStyle w:val="RequirementBullet"/>
      </w:pPr>
      <w:r>
        <w:t>• OEM users may see activation/ownership status and dates needed for fleet/service administration, but retail login email/account identity is not exposed by default.</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OD-002, OD-010 for future dealer/service roles</w:t>
      </w:r>
    </w:p>
    <w:p>
      <w:pPr>
        <w:pStyle w:val="Heading3"/>
        <w:keepNext/>
      </w:pPr>
      <w:r>
        <w:t>Acceptance / Test Implications</w:t>
      </w:r>
    </w:p>
    <w:p>
      <w:pPr>
        <w:pStyle w:val="RequirementBullet"/>
      </w:pPr>
      <w:r>
        <w:t>• Authorization, ownership/privacy and audit evidence must be tested across allowed and denied tenant/user scenarios.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Backend authorization is default-deny and tenant/role/VIN-scope enforced. Retail relationships are VIN-scoped and one user may hold different roles across multiple RVs. Primary Owner-only actions include ownership release and retail TPMS service; cross-VIN sensor eligibility is server-authoritative. App flavor/UI is never a security boundary; OEM retail-identity exposure remains minimized by default.</w:t>
      </w:r>
    </w:p>
    <w:p>
      <w:pPr>
        <w:pStyle w:val="Heading2"/>
        <w:keepNext/>
      </w:pPr>
      <w:r>
        <w:t>Merge ID 67 — Audit emission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Backend durable audit trail  |  Team approval: Pending where applicable</w:t>
      </w:r>
    </w:p>
    <w:p>
      <w:pPr>
        <w:pStyle w:val="Heading3"/>
        <w:keepNext/>
      </w:pPr>
      <w:r>
        <w:t>Purpose</w:t>
      </w:r>
    </w:p>
    <w:p>
      <w:r>
        <w:t>Define the controlled SmartSense behavior for audit emission and its boundaries within the VIN-centered, multi-tenant Product Mode architecture.</w:t>
      </w:r>
    </w:p>
    <w:p>
      <w:pPr>
        <w:pStyle w:val="Heading3"/>
        <w:keepNext/>
      </w:pPr>
      <w:r>
        <w:t>Confirmed Requirements</w:t>
      </w:r>
    </w:p>
    <w:p>
      <w:pPr>
        <w:pStyle w:val="RequirementBullet"/>
      </w:pPr>
      <w:r>
        <w:t>• Durable audit evidence covers material alert lifecycle, rules/configuration, pairing/device association, ownership/claim/transfer, account recovery, firmware, permissions, exports/API and other material administrative actions.</w:t>
      </w:r>
    </w:p>
    <w:p>
      <w:pPr>
        <w:pStyle w:val="RequirementBullet"/>
      </w:pPr>
      <w:r>
        <w:t>• Audit retains actor/source, time, affected tenant/VIN/device/scope and the material before/after or action context needed for traceability.</w:t>
      </w:r>
    </w:p>
    <w:p>
      <w:pPr>
        <w:pStyle w:val="RequirementBullet"/>
      </w:pPr>
      <w:r>
        <w:t>• Historical/audit evidence references a stable immutable internal User ID rather than relying on email/PII as the permanent key.</w:t>
      </w:r>
    </w:p>
    <w:p>
      <w:pPr>
        <w:pStyle w:val="RequirementBullet"/>
      </w:pPr>
      <w:r>
        <w:t>• On account closure, applicable display PII may be removed/anonymized while retained evidence stays referentially stable; exact legal retention/anonymization mechanics remain privacy/security work.</w:t>
      </w:r>
    </w:p>
    <w:p>
      <w:pPr>
        <w:pStyle w:val="RequirementBullet"/>
      </w:pPr>
      <w:r>
        <w:t>• Email changes and lost-access recovery must be auditable.</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OD-015 for retention technology; security/privacy implementation details</w:t>
      </w:r>
    </w:p>
    <w:p>
      <w:pPr>
        <w:pStyle w:val="Heading3"/>
        <w:keepNext/>
      </w:pPr>
      <w:r>
        <w:t>Acceptance / Test Implications</w:t>
      </w:r>
    </w:p>
    <w:p>
      <w:pPr>
        <w:pStyle w:val="RequirementBullet"/>
      </w:pPr>
      <w:r>
        <w:t>• Authorization, ownership/privacy and audit evidence must be tested across allowed and denied tenant/user scenarios.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Durable audit evidence covers material alert, rule/config, pairing/device, ownership/account recovery, firmware, permission, export/API and related actions. Actor/source/time/scope are retained. Stable internal User ID preserves referential history while display PII may be minimized/anonymized.</w:t>
      </w:r>
    </w:p>
    <w:p>
      <w:pPr>
        <w:pStyle w:val="Heading2"/>
        <w:keepNext/>
      </w:pPr>
      <w:r>
        <w:t>Merge ID 68 — OEM external API</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Future / Deferred</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P2  |  Authoritative execution: Backend API — future  |  Team approval: Pending where applicable</w:t>
      </w:r>
    </w:p>
    <w:p>
      <w:pPr>
        <w:pStyle w:val="Heading3"/>
        <w:keepNext/>
      </w:pPr>
      <w:r>
        <w:t>Purpose</w:t>
      </w:r>
    </w:p>
    <w:p>
      <w:r>
        <w:t>Define the controlled SmartSense behavior for oem external api and its boundaries within the VIN-centered, multi-tenant Product Mode architecture.</w:t>
      </w:r>
    </w:p>
    <w:p>
      <w:pPr>
        <w:pStyle w:val="Heading3"/>
        <w:keepNext/>
      </w:pPr>
      <w:r>
        <w:t>Confirmed Requirements</w:t>
      </w:r>
    </w:p>
    <w:p>
      <w:pPr>
        <w:pStyle w:val="RequirementBullet"/>
      </w:pPr>
      <w:r>
        <w:t>• Secure versioned tenant-isolated OEM APIs are an architectural future/next-phase capability, not a Phase 1 implementation priority.</w:t>
      </w:r>
    </w:p>
    <w:p>
      <w:pPr>
        <w:pStyle w:val="RequirementBullet"/>
      </w:pPr>
      <w:r>
        <w:t>• This behavior remains subject to the Product Mode, tenant authorization, audit, timestamp/freshness and VIN-history principles defined in this package.</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RequirementBullet"/>
      </w:pPr>
      <w:r>
        <w:t>• Future/out-of-scope status is a delivery boundary, not permission for current implementation to invent product semantics.</w:t>
      </w:r>
    </w:p>
    <w:p>
      <w:pPr>
        <w:pStyle w:val="Heading3"/>
        <w:keepNext/>
      </w:pPr>
      <w:r>
        <w:t>Developer Confirmation / Open Items</w:t>
      </w:r>
    </w:p>
    <w:p>
      <w:r>
        <w:t>OD-038</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Secure versioned tenant-isolated OEM APIs are an architectural future/next-phase capability, not a Phase 1 implementation priority.</w:t>
      </w:r>
    </w:p>
    <w:p>
      <w:pPr>
        <w:pStyle w:val="Heading2"/>
        <w:keepNext/>
      </w:pPr>
      <w:r>
        <w:t>Merge ID 69 — Bulk export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P1  |  Authoritative execution: Cloud export service + OEM Portal  |  Team approval: Pending where applicable</w:t>
      </w:r>
    </w:p>
    <w:p>
      <w:pPr>
        <w:pStyle w:val="Heading3"/>
        <w:keepNext/>
      </w:pPr>
      <w:r>
        <w:t>Purpose</w:t>
      </w:r>
    </w:p>
    <w:p>
      <w:r>
        <w:t>Define the controlled SmartSense behavior for bulk export and its boundaries within the VIN-centered, multi-tenant Product Mode architecture.</w:t>
      </w:r>
    </w:p>
    <w:p>
      <w:pPr>
        <w:pStyle w:val="Heading3"/>
        <w:keepNext/>
      </w:pPr>
      <w:r>
        <w:t>Confirmed Requirements</w:t>
      </w:r>
    </w:p>
    <w:p>
      <w:pPr>
        <w:pStyle w:val="RequirementBullet"/>
      </w:pPr>
      <w:r>
        <w:t>• Bulk export is a Phase 1 requirement and honors the same backend tenant/role/field authorization as interactive access.</w:t>
      </w:r>
    </w:p>
    <w:p>
      <w:pPr>
        <w:pStyle w:val="RequirementBullet"/>
      </w:pPr>
      <w:r>
        <w:t>• OEM users may export only their authorized tenant/fleet data; SmartSense Admin may export broader authorized scopes.</w:t>
      </w:r>
    </w:p>
    <w:p>
      <w:pPr>
        <w:pStyle w:val="RequirementBullet"/>
      </w:pPr>
      <w:r>
        <w:t>• Exports are auditable and preserve filters/scope/evidence as defined.</w:t>
      </w:r>
    </w:p>
    <w:p>
      <w:pPr>
        <w:pStyle w:val="RequirementBullet"/>
      </w:pPr>
      <w:r>
        <w:t>• Retail login email/account identity is excluded from OEM bulk exports by default; future owner-contact capability must be separately controlled rather than exposing login identity.</w:t>
      </w:r>
    </w:p>
    <w:p>
      <w:pPr>
        <w:pStyle w:val="RequirementBullet"/>
      </w:pPr>
      <w:r>
        <w:t>• Exact formats, size limits and large-export delivery mechanics remain OD-039.</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OD-039</w:t>
      </w:r>
    </w:p>
    <w:p>
      <w:pPr>
        <w:pStyle w:val="Heading3"/>
        <w:keepNext/>
      </w:pPr>
      <w:r>
        <w:t>Acceptance / Test Implications</w:t>
      </w:r>
    </w:p>
    <w:p>
      <w:pPr>
        <w:pStyle w:val="RequirementBullet"/>
      </w:pPr>
      <w:r>
        <w:t>• Authorization, ownership/privacy and audit evidence must be tested across allowed and denied tenant/user scenarios.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Phase 1 bulk export allows authorized OEM users to export their own permitted fleet/VIN data and SmartSense Admin broader authorized scopes. Exports are tenant-filtered and auditable; retail login email/account identity is excluded from OEM exports by default.</w:t>
      </w:r>
    </w:p>
    <w:p>
      <w:r>
        <w:br w:type="page"/>
      </w:r>
    </w:p>
    <w:p>
      <w:pPr>
        <w:pStyle w:val="Heading2"/>
        <w:keepNext/>
      </w:pPr>
      <w:r>
        <w:t>Merge ID 70 — Maintenance scheduling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Future / Deferred</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v1.1</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P2  |  Authoritative execution: Cloud maintenance engine + App/Portal — future  |  Team approval: Pending where applicable</w:t>
      </w:r>
    </w:p>
    <w:p>
      <w:pPr>
        <w:pStyle w:val="Heading3"/>
        <w:keepNext/>
      </w:pPr>
      <w:r>
        <w:t>Purpose</w:t>
      </w:r>
    </w:p>
    <w:p>
      <w:r>
        <w:t>Define the controlled SmartSense behavior for maintenance scheduling and its boundaries within the VIN-centered, multi-tenant Product Mode architecture.</w:t>
      </w:r>
    </w:p>
    <w:p>
      <w:pPr>
        <w:pStyle w:val="Heading3"/>
        <w:keepNext/>
      </w:pPr>
      <w:r>
        <w:t>Confirmed Requirements</w:t>
      </w:r>
    </w:p>
    <w:p>
      <w:pPr>
        <w:pStyle w:val="RequirementBullet"/>
      </w:pPr>
      <w:r>
        <w:t>• Maintenance remains a coming-soon/future capability and is separate from safety AlertEvents.</w:t>
      </w:r>
    </w:p>
    <w:p>
      <w:pPr>
        <w:pStyle w:val="RequirementBullet"/>
      </w:pPr>
      <w:r>
        <w:t>• Time-based maintenance may apply to either Product Mode.</w:t>
      </w:r>
    </w:p>
    <w:p>
      <w:pPr>
        <w:pStyle w:val="RequirementBullet"/>
      </w:pPr>
      <w:r>
        <w:t>• Mileage-based maintenance applies only where an authoritative vehicle mileage source exists; currently that means Gateway Mode.</w:t>
      </w:r>
    </w:p>
    <w:p>
      <w:pPr>
        <w:pStyle w:val="RequirementBullet"/>
      </w:pPr>
      <w:r>
        <w:t>• Direct TPMS must not infer RV mileage from the phone or show mileage-driven tasks as merely stale; they are Not Available unless another authoritative source is later approved.</w:t>
      </w:r>
    </w:p>
    <w:p>
      <w:pPr>
        <w:pStyle w:val="RequirementBullet"/>
      </w:pPr>
      <w:r>
        <w:t>• Detailed task catalog, completion/recurrence, reminders, timing and UX remain OD-040.</w:t>
      </w:r>
    </w:p>
    <w:p>
      <w:pPr>
        <w:pStyle w:val="Heading3"/>
        <w:keepNext/>
      </w:pPr>
      <w:r>
        <w:t>Operational Logic / Boundaries</w:t>
      </w:r>
    </w:p>
    <w:p>
      <w:pPr>
        <w:pStyle w:val="RequirementBullet"/>
      </w:pPr>
      <w:r>
        <w:t>• The 2026-08-11 Product Owner disposition is controlling for the changed behavior in this section and supersedes conflicting earlier assumptions while retaining traceability.</w:t>
      </w:r>
    </w:p>
    <w:p>
      <w:pPr>
        <w:pStyle w:val="RequirementBullet"/>
      </w:pPr>
      <w:r>
        <w:t>• Product applicability is Both; unsupported capabilities must not be implied by another Product Mode or by current implementation evidence.</w:t>
      </w:r>
    </w:p>
    <w:p>
      <w:pPr>
        <w:pStyle w:val="RequirementBullet"/>
      </w:pPr>
      <w:r>
        <w:t>• Future/out-of-scope status is a delivery boundary, not permission for current implementation to invent product semantics.</w:t>
      </w:r>
    </w:p>
    <w:p>
      <w:pPr>
        <w:pStyle w:val="Heading3"/>
        <w:keepNext/>
      </w:pPr>
      <w:r>
        <w:t>Developer Confirmation / Open Items</w:t>
      </w:r>
    </w:p>
    <w:p>
      <w:r>
        <w:t>OD-040</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Maintenance is future/coming-soon. Time-based maintenance may apply to either Product Mode; mileage-based maintenance requires an authoritative mileage source, currently Gateway Mode. Detailed catalog/workflow/timing/UI remain deferred.</w:t>
      </w:r>
    </w:p>
    <w:p>
      <w:pPr>
        <w:pStyle w:val="Heading2"/>
        <w:keepNext/>
      </w:pPr>
      <w:r>
        <w:t>Merge ID 71 — Cross-field data quality &amp; plausibility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rPr>
                <w:rFonts w:ascii="Aptos" w:hAnsi="Aptos" w:eastAsia="Aptos"/>
                <w:b w:val="0"/>
                <w:sz w:val="16"/>
              </w:rPr>
              <w:t>v1.0</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w:t>
            </w:r>
          </w:p>
        </w:tc>
      </w:tr>
    </w:tbl>
    <w:p>
      <w:pPr>
        <w:pStyle w:val="SmartSenseMeta"/>
      </w:pPr>
      <w:r>
        <w:t>Priority: P0  |  Authoritative execution: Source validation + Cloud data quality  |  Team approval: Pending where applicable</w:t>
      </w:r>
    </w:p>
    <w:p>
      <w:pPr>
        <w:pStyle w:val="Heading3"/>
        <w:keepNext/>
      </w:pPr>
      <w:r>
        <w:t>Purpose</w:t>
      </w:r>
    </w:p>
    <w:p>
      <w:r>
        <w:t>Define the controlled SmartSense behavior for cross-field data quality &amp; plausibility and its boundaries within the VIN-centered, multi-tenant Product Mode architecture.</w:t>
      </w:r>
    </w:p>
    <w:p>
      <w:pPr>
        <w:pStyle w:val="Heading3"/>
        <w:keepNext/>
      </w:pPr>
      <w:r>
        <w:t>Confirmed Requirements</w:t>
      </w:r>
    </w:p>
    <w:p>
      <w:pPr>
        <w:pStyle w:val="RequirementBullet"/>
      </w:pPr>
      <w:r>
        <w:t>• Impossible/corrupt/cross-field implausible data cannot overwrite last-valid state or create a normal safety alert merely because the bad value is extreme.</w:t>
      </w:r>
    </w:p>
    <w:p>
      <w:pPr>
        <w:pStyle w:val="RequirementBullet"/>
      </w:pPr>
      <w:r>
        <w:t>• Diagnostic evidence may be retained.</w:t>
      </w:r>
    </w:p>
    <w:p>
      <w:pPr>
        <w:pStyle w:val="Heading3"/>
        <w:keepNext/>
      </w:pPr>
      <w:r>
        <w:t>Operational Logic / Boundaries</w:t>
      </w:r>
    </w:p>
    <w:p>
      <w:pPr>
        <w:pStyle w:val="RequirementBullet"/>
      </w:pPr>
      <w:r>
        <w:t>• Behavior is carried forward from the v0.4 controlled baseline; no 2026-08-11 review item changes the core product behavior summarized here.</w:t>
      </w:r>
    </w:p>
    <w:p>
      <w:pPr>
        <w:pStyle w:val="RequirementBullet"/>
      </w:pPr>
      <w:r>
        <w:t>• Product applicability is Both; unsupported capabilities must not be implied by another Product Mode or by current implementation evidence.</w:t>
      </w:r>
    </w:p>
    <w:p>
      <w:pPr>
        <w:pStyle w:val="Heading3"/>
        <w:keepNext/>
      </w:pPr>
      <w:r>
        <w:t>Developer Confirmation / Open Items</w:t>
      </w:r>
    </w:p>
    <w:p>
      <w:r>
        <w:t>OD-014, OD-019</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rPr>
          <w:rFonts w:ascii="Aptos" w:hAnsi="Aptos" w:eastAsia="Aptos"/>
          <w:b/>
          <w:color w:val="15324B"/>
          <w:sz w:val="18"/>
        </w:rPr>
        <w:t>Impossible/corrupt/cross-field implausible data cannot overwrite last-valid state or create a normal safety alert merely because the bad value is extreme. Diagnostic evidence may be retained.</w:t>
      </w:r>
    </w:p>
    <w:p>
      <w:r>
        <w:br w:type="page"/>
      </w:r>
    </w:p>
    <w:p>
      <w:pPr>
        <w:pStyle w:val="Heading2"/>
        <w:keepNext/>
      </w:pPr>
      <w:r>
        <w:t>Merge ID 72 — Product Mode &amp; capability architecture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50" w:type="dxa"/>
              <w:start w:w="60" w:type="dxa"/>
              <w:bottom w:w="50" w:type="dxa"/>
              <w:end w:w="60" w:type="dxa"/>
            </w:tcMar>
            <w:shd w:fill="DCE6F1"/>
          </w:tcPr>
          <w:p>
            <w:r>
              <w:rPr>
                <w:rFonts w:ascii="Aptos" w:hAnsi="Aptos" w:eastAsia="Aptos"/>
                <w:b/>
                <w:sz w:val="16"/>
              </w:rPr>
              <w:t>Definition Status</w:t>
            </w:r>
          </w:p>
        </w:tc>
        <w:tc>
          <w:tcPr>
            <w:tcW w:type="dxa" w:w="2541"/>
            <w:tcMar>
              <w:top w:w="50" w:type="dxa"/>
              <w:start w:w="60" w:type="dxa"/>
              <w:bottom w:w="50" w:type="dxa"/>
              <w:end w:w="60" w:type="dxa"/>
            </w:tcMar>
          </w:tcPr>
          <w:p>
            <w:r>
              <w:rPr>
                <w:rFonts w:ascii="Aptos" w:hAnsi="Aptos" w:eastAsia="Aptos"/>
                <w:b w:val="0"/>
                <w:sz w:val="16"/>
              </w:rPr>
              <w:t>DEFINED</w:t>
            </w:r>
          </w:p>
        </w:tc>
        <w:tc>
          <w:tcPr>
            <w:tcW w:type="dxa" w:w="2541"/>
            <w:tcMar>
              <w:top w:w="50" w:type="dxa"/>
              <w:start w:w="60" w:type="dxa"/>
              <w:bottom w:w="50" w:type="dxa"/>
              <w:end w:w="60" w:type="dxa"/>
            </w:tcMar>
            <w:shd w:fill="DCE6F1"/>
          </w:tcPr>
          <w:p>
            <w:r>
              <w:rPr>
                <w:rFonts w:ascii="Aptos" w:hAnsi="Aptos" w:eastAsia="Aptos"/>
                <w:b/>
                <w:sz w:val="16"/>
              </w:rPr>
              <w:t>Phase / Scope</w:t>
            </w:r>
          </w:p>
        </w:tc>
        <w:tc>
          <w:tcPr>
            <w:tcW w:type="dxa" w:w="2541"/>
            <w:tcMar>
              <w:top w:w="50" w:type="dxa"/>
              <w:start w:w="60" w:type="dxa"/>
              <w:bottom w:w="50" w:type="dxa"/>
              <w:end w:w="60" w:type="dxa"/>
            </w:tcMar>
          </w:tcPr>
          <w:p>
            <w:r>
              <w:rPr>
                <w:rFonts w:ascii="Aptos" w:hAnsi="Aptos" w:eastAsia="Aptos"/>
                <w:b w:val="0"/>
                <w:sz w:val="16"/>
              </w:rPr>
              <w:t>Phase 1 / Current Scope</w:t>
            </w:r>
          </w:p>
        </w:tc>
      </w:tr>
      <w:tr>
        <w:tc>
          <w:tcPr>
            <w:tcW w:type="dxa" w:w="2541"/>
            <w:tcMar>
              <w:top w:w="50" w:type="dxa"/>
              <w:start w:w="60" w:type="dxa"/>
              <w:bottom w:w="50" w:type="dxa"/>
              <w:end w:w="60" w:type="dxa"/>
            </w:tcMar>
            <w:shd w:fill="DCE6F1"/>
          </w:tcPr>
          <w:p>
            <w:r>
              <w:rPr>
                <w:rFonts w:ascii="Aptos" w:hAnsi="Aptos" w:eastAsia="Aptos"/>
                <w:b/>
                <w:sz w:val="16"/>
              </w:rPr>
              <w:t>Process Version</w:t>
            </w:r>
          </w:p>
        </w:tc>
        <w:tc>
          <w:tcPr>
            <w:tcW w:type="dxa" w:w="2541"/>
            <w:tcMar>
              <w:top w:w="50" w:type="dxa"/>
              <w:start w:w="60" w:type="dxa"/>
              <w:bottom w:w="50" w:type="dxa"/>
              <w:end w:w="60" w:type="dxa"/>
            </w:tcMar>
          </w:tcPr>
          <w:p>
            <w:r>
              <w:t>v1.3</w:t>
            </w:r>
          </w:p>
        </w:tc>
        <w:tc>
          <w:tcPr>
            <w:tcW w:type="dxa" w:w="2541"/>
            <w:tcMar>
              <w:top w:w="50" w:type="dxa"/>
              <w:start w:w="60" w:type="dxa"/>
              <w:bottom w:w="50" w:type="dxa"/>
              <w:end w:w="60" w:type="dxa"/>
            </w:tcMar>
            <w:shd w:fill="DCE6F1"/>
          </w:tcPr>
          <w:p>
            <w:r>
              <w:rPr>
                <w:rFonts w:ascii="Aptos" w:hAnsi="Aptos" w:eastAsia="Aptos"/>
                <w:b/>
                <w:sz w:val="16"/>
              </w:rPr>
              <w:t>Applies To</w:t>
            </w:r>
          </w:p>
        </w:tc>
        <w:tc>
          <w:tcPr>
            <w:tcW w:type="dxa" w:w="2541"/>
            <w:tcMar>
              <w:top w:w="50" w:type="dxa"/>
              <w:start w:w="60" w:type="dxa"/>
              <w:bottom w:w="50" w:type="dxa"/>
              <w:end w:w="60" w:type="dxa"/>
            </w:tcMar>
          </w:tcPr>
          <w:p>
            <w:r>
              <w:rPr>
                <w:rFonts w:ascii="Aptos" w:hAnsi="Aptos" w:eastAsia="Aptos"/>
                <w:b w:val="0"/>
                <w:sz w:val="16"/>
              </w:rPr>
              <w:t>Both — mode-defining</w:t>
            </w:r>
          </w:p>
        </w:tc>
      </w:tr>
    </w:tbl>
    <w:p>
      <w:pPr>
        <w:pStyle w:val="SmartSenseMeta"/>
      </w:pPr>
      <w:r>
        <w:t>Priority: P0  |  Authoritative execution: Model config + Factory + Gateway/Direct App + Cloud  |  Team approval: Pending where applicable</w:t>
      </w:r>
    </w:p>
    <w:p>
      <w:pPr>
        <w:pStyle w:val="Heading3"/>
        <w:keepNext/>
      </w:pPr>
      <w:r>
        <w:t>Purpose</w:t>
      </w:r>
    </w:p>
    <w:p>
      <w:r>
        <w:t>Define the controlled SmartSense behavior for product mode &amp; capability architecture and its boundaries within the VIN-centered, multi-tenant Product Mode architecture.</w:t>
      </w:r>
    </w:p>
    <w:p>
      <w:pPr>
        <w:pStyle w:val="Heading3"/>
        <w:keepNext/>
      </w:pPr>
      <w:r>
        <w:t>Confirmed Requirements</w:t>
      </w:r>
    </w:p>
    <w:p>
      <w:pPr>
        <w:pStyle w:val="RequirementBullet"/>
      </w:pPr>
      <w:r>
        <w:t>• Product Mode is a Model property: GATEWAY or DIRECT_TPMS.</w:t>
      </w:r>
    </w:p>
    <w:p>
      <w:pPr>
        <w:pStyle w:val="RequirementBullet"/>
      </w:pPr>
      <w:r>
        <w:t>• One mode per VIN in current scope.</w:t>
      </w:r>
    </w:p>
    <w:p>
      <w:pPr>
        <w:pStyle w:val="RequirementBullet"/>
      </w:pPr>
      <w:r>
        <w:t>• In Gateway Mode, TPMS sensors pair to the Gateway and the Gateway remains the authoritative local TPMS evaluator; the Gateway path also supports applicable temperature/humidity and accelerometer/motion data. RV Owner motion presentation is limited to cloud-defined Significant G Events; raw/live X/Y/Z accelerometer data is not an RV Owner feature.</w:t>
      </w:r>
    </w:p>
    <w:p>
      <w:pPr>
        <w:pStyle w:val="RequirementBullet"/>
      </w:pPr>
      <w:r>
        <w:t>• In DIRECT_TPMS, the separate Direct TPMS mobile app pairs directly only to the factory-registered TPMS sensor set and evaluates TPMS locally. Temperature/humidity and accelerometer are Not Available in DIRECT_TPMS.</w:t>
      </w:r>
    </w:p>
    <w:p>
      <w:pPr>
        <w:pStyle w:val="RequirementBullet"/>
      </w:pPr>
      <w:r>
        <w:t>• The two mobile experiences must not blur capability boundaries: Gateway App displays Gateway-provided environmental/motion data; Direct TPMS App does not expose those capabilities as if present.</w:t>
      </w:r>
    </w:p>
    <w:p>
      <w:pPr>
        <w:pStyle w:val="RequirementBullet"/>
      </w:pPr>
      <w:r>
        <w:t>• Both share the VIN-centered cloud/portal and server-defined Model configuration.</w:t>
      </w:r>
    </w:p>
    <w:p>
      <w:pPr>
        <w:pStyle w:val="Heading3"/>
        <w:keepNext/>
      </w:pPr>
      <w:r>
        <w:t>Operational Logic / Boundaries</w:t>
      </w:r>
    </w:p>
    <w:p>
      <w:pPr>
        <w:pStyle w:val="RequirementBullet"/>
      </w:pPr>
      <w:r>
        <w:t>• D-121 / CHG-035 is controlling for the Gateway-only temperature/humidity and accelerometer capability clarification. Earlier Product Mode statements remain valid except where they could imply those capabilities exist in DIRECT_TPMS.</w:t>
      </w:r>
    </w:p>
    <w:p>
      <w:pPr>
        <w:pStyle w:val="RequirementBullet"/>
      </w:pPr>
      <w:r>
        <w:t>• Product applicability is Both — mode-defining; unsupported capabilities must not be implied by another Product Mode or by current implementation evidence.</w:t>
      </w:r>
    </w:p>
    <w:p>
      <w:pPr>
        <w:pStyle w:val="Heading3"/>
        <w:keepNext/>
      </w:pPr>
      <w:r>
        <w:t>Developer Confirmation / Open Items</w:t>
      </w:r>
    </w:p>
    <w:p>
      <w:r>
        <w:t>No current aftermarket conversion/simultaneous-mode requirement</w:t>
      </w:r>
    </w:p>
    <w:p>
      <w:pPr>
        <w:pStyle w:val="Heading3"/>
        <w:keepNext/>
      </w:pPr>
      <w:r>
        <w:t>Acceptance / Test Implications</w:t>
      </w:r>
    </w:p>
    <w:p>
      <w:pPr>
        <w:pStyle w:val="RequirementBullet"/>
      </w:pPr>
      <w:r>
        <w:t>• Implementation must demonstrate the controlled behavior above for the stated Product Mode/scope without relying on UI-only enforcement for authorization or safety-critical state.</w:t>
      </w:r>
    </w:p>
    <w:p>
      <w:pPr>
        <w:pStyle w:val="RequirementBullet"/>
      </w:pPr>
      <w:r>
        <w:t>• Open/deferred items must remain visible in requirements/test traceability and may not be silently filled by an implementation assumption.</w:t>
      </w:r>
    </w:p>
    <w:p>
      <w:pPr>
        <w:pStyle w:val="RequirementBullet"/>
      </w:pPr>
      <w:r>
        <w:t>• Material implementation findings that conflict with this target are reconciliation issues and require controlled Product Owner disposition rather than requirement drift.</w:t>
      </w:r>
    </w:p>
    <w:p>
      <w:pPr>
        <w:pStyle w:val="Heading3"/>
        <w:keepNext/>
      </w:pPr>
      <w:r>
        <w:t>Approved Logic Summary</w:t>
      </w:r>
    </w:p>
    <w:p>
      <w:r>
        <w:t>Product Mode is a Model property: GATEWAY or DIRECT_TPMS. One mode per VIN in current scope. Gateway Mode uses the Gateway as the vehicle-mounted hub: TPMS sensors pair to it, it evaluates TPMS locally, and it supports applicable TPMS, temperature/humidity and motion data. The RV Owner Gateway App exposes motion only as cloud-defined Significant G Events, not raw/live accelerometer axes. DIRECT_TPMS is a separate TPMS-only app; environmental/motion capabilities are Not Available. Both modes share the VIN-centered cloud/portal and server-defined Model configuration.</w:t>
      </w:r>
    </w:p>
    <w:p>
      <w:r>
        <w:br w:type="page"/>
      </w:r>
    </w:p>
    <w:p>
      <w:pPr>
        <w:pStyle w:val="Heading1"/>
        <w:keepNext/>
      </w:pPr>
      <w:r>
        <w:t>Appendix A — Open / Deferred Decision Register</w:t>
      </w:r>
    </w:p>
    <w:p>
      <w:r>
        <w:rPr>
          <w:b/>
        </w:rPr>
        <w:t xml:space="preserve">This appendix preserves OD-001 through OD-040. </w:t>
      </w:r>
      <w:r>
        <w:t>Resolved items remain traceable; OPEN/WIP/DEFERRED items are not filled by assumption. OD-025 remains the multi-user notification/acknowledgement item and is not reassigned to AlertEvent UUID/dedup mechanics.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2F5597"/>
          </w:tcPr>
          <w:p>
            <w:r>
              <w:rPr>
                <w:rFonts w:ascii="Aptos" w:hAnsi="Aptos" w:eastAsia="Aptos"/>
                <w:b/>
                <w:color w:val="FFFFFF"/>
                <w:sz w:val="15"/>
              </w:rPr>
              <w:t>OD ID</w:t>
            </w:r>
          </w:p>
        </w:tc>
        <w:tc>
          <w:tcPr>
            <w:tcW w:type="dxa" w:w="2033"/>
            <w:shd w:fill="2F5597"/>
          </w:tcPr>
          <w:p>
            <w:r>
              <w:rPr>
                <w:rFonts w:ascii="Aptos" w:hAnsi="Aptos" w:eastAsia="Aptos"/>
                <w:b/>
                <w:color w:val="FFFFFF"/>
                <w:sz w:val="15"/>
              </w:rPr>
              <w:t>Status</w:t>
            </w:r>
          </w:p>
        </w:tc>
        <w:tc>
          <w:tcPr>
            <w:tcW w:type="dxa" w:w="2033"/>
            <w:shd w:fill="2F5597"/>
          </w:tcPr>
          <w:p>
            <w:r>
              <w:rPr>
                <w:rFonts w:ascii="Aptos" w:hAnsi="Aptos" w:eastAsia="Aptos"/>
                <w:b/>
                <w:color w:val="FFFFFF"/>
                <w:sz w:val="15"/>
              </w:rPr>
              <w:t>Topic</w:t>
            </w:r>
          </w:p>
        </w:tc>
        <w:tc>
          <w:tcPr>
            <w:tcW w:type="dxa" w:w="2033"/>
            <w:shd w:fill="2F5597"/>
          </w:tcPr>
          <w:p>
            <w:r>
              <w:rPr>
                <w:rFonts w:ascii="Aptos" w:hAnsi="Aptos" w:eastAsia="Aptos"/>
                <w:b/>
                <w:color w:val="FFFFFF"/>
                <w:sz w:val="15"/>
              </w:rPr>
              <w:t>Merge IDs</w:t>
            </w:r>
          </w:p>
        </w:tc>
        <w:tc>
          <w:tcPr>
            <w:tcW w:type="dxa" w:w="2033"/>
            <w:shd w:fill="2F5597"/>
          </w:tcPr>
          <w:p>
            <w:r>
              <w:rPr>
                <w:rFonts w:ascii="Aptos" w:hAnsi="Aptos" w:eastAsia="Aptos"/>
                <w:b/>
                <w:color w:val="FFFFFF"/>
                <w:sz w:val="15"/>
              </w:rPr>
              <w:t>Current Position</w:t>
            </w:r>
          </w:p>
        </w:tc>
      </w:tr>
      <w:tr>
        <w:tc>
          <w:tcPr>
            <w:tcW w:type="dxa" w:w="2033"/>
            <w:tcMar>
              <w:top w:w="35" w:type="dxa"/>
              <w:start w:w="45" w:type="dxa"/>
              <w:bottom w:w="35" w:type="dxa"/>
              <w:end w:w="45" w:type="dxa"/>
            </w:tcMar>
          </w:tcPr>
          <w:p>
            <w:r>
              <w:rPr>
                <w:rFonts w:ascii="Aptos" w:hAnsi="Aptos" w:eastAsia="Aptos"/>
                <w:b/>
                <w:sz w:val="14"/>
              </w:rPr>
              <w:t>OD-001</w:t>
            </w:r>
          </w:p>
        </w:tc>
        <w:tc>
          <w:tcPr>
            <w:tcW w:type="dxa" w:w="2033"/>
            <w:tcMar>
              <w:top w:w="35" w:type="dxa"/>
              <w:start w:w="45" w:type="dxa"/>
              <w:bottom w:w="35" w:type="dxa"/>
              <w:end w:w="45" w:type="dxa"/>
            </w:tcMar>
            <w:shd w:fill="D9EAD3"/>
          </w:tcPr>
          <w:p>
            <w:r>
              <w:rPr>
                <w:rFonts w:ascii="Aptos" w:hAnsi="Aptos" w:eastAsia="Aptos"/>
                <w:b w:val="0"/>
                <w:sz w:val="14"/>
              </w:rPr>
              <w:t>RESOLVED BY M52 / D-115</w:t>
            </w:r>
          </w:p>
        </w:tc>
        <w:tc>
          <w:tcPr>
            <w:tcW w:type="dxa" w:w="2033"/>
            <w:tcMar>
              <w:top w:w="35" w:type="dxa"/>
              <w:start w:w="45" w:type="dxa"/>
              <w:bottom w:w="35" w:type="dxa"/>
              <w:end w:w="45" w:type="dxa"/>
            </w:tcMar>
          </w:tcPr>
          <w:p>
            <w:r>
              <w:rPr>
                <w:rFonts w:ascii="Aptos" w:hAnsi="Aptos" w:eastAsia="Aptos"/>
                <w:b w:val="0"/>
                <w:sz w:val="14"/>
              </w:rPr>
              <w:t>Subscription start timing</w:t>
            </w:r>
          </w:p>
        </w:tc>
        <w:tc>
          <w:tcPr>
            <w:tcW w:type="dxa" w:w="2033"/>
            <w:tcMar>
              <w:top w:w="35" w:type="dxa"/>
              <w:start w:w="45" w:type="dxa"/>
              <w:bottom w:w="35" w:type="dxa"/>
              <w:end w:w="45" w:type="dxa"/>
            </w:tcMar>
          </w:tcPr>
          <w:p>
            <w:r>
              <w:rPr>
                <w:rFonts w:ascii="Aptos" w:hAnsi="Aptos" w:eastAsia="Aptos"/>
                <w:b w:val="0"/>
                <w:sz w:val="14"/>
              </w:rPr>
              <w:t>3,5,8,52–56</w:t>
            </w:r>
          </w:p>
        </w:tc>
        <w:tc>
          <w:tcPr>
            <w:tcW w:type="dxa" w:w="2033"/>
            <w:tcMar>
              <w:top w:w="35" w:type="dxa"/>
              <w:start w:w="45" w:type="dxa"/>
              <w:bottom w:w="35" w:type="dxa"/>
              <w:end w:w="45" w:type="dxa"/>
            </w:tcMar>
          </w:tcPr>
          <w:p>
            <w:r>
              <w:rPr>
                <w:rFonts w:ascii="Aptos" w:hAnsi="Aptos" w:eastAsia="Aptos"/>
                <w:b w:val="0"/>
                <w:sz w:val="14"/>
              </w:rPr>
              <w:t>OEM-paid term starts at OEM VIN registration under M52; Owner Activation Date remains separate.</w:t>
            </w:r>
          </w:p>
        </w:tc>
      </w:tr>
      <w:tr>
        <w:tc>
          <w:tcPr>
            <w:tcW w:type="dxa" w:w="2033"/>
            <w:tcMar>
              <w:top w:w="35" w:type="dxa"/>
              <w:start w:w="45" w:type="dxa"/>
              <w:bottom w:w="35" w:type="dxa"/>
              <w:end w:w="45" w:type="dxa"/>
            </w:tcMar>
          </w:tcPr>
          <w:p>
            <w:r>
              <w:rPr>
                <w:rFonts w:ascii="Aptos" w:hAnsi="Aptos" w:eastAsia="Aptos"/>
                <w:b/>
                <w:sz w:val="14"/>
              </w:rPr>
              <w:t>OD-002</w:t>
            </w:r>
          </w:p>
        </w:tc>
        <w:tc>
          <w:tcPr>
            <w:tcW w:type="dxa" w:w="2033"/>
            <w:tcMar>
              <w:top w:w="35" w:type="dxa"/>
              <w:start w:w="45" w:type="dxa"/>
              <w:bottom w:w="35" w:type="dxa"/>
              <w:end w:w="45" w:type="dxa"/>
            </w:tcMar>
            <w:shd w:fill="E7E6E6"/>
          </w:tcPr>
          <w:p>
            <w:r>
              <w:rPr>
                <w:rFonts w:ascii="Aptos" w:hAnsi="Aptos" w:eastAsia="Aptos"/>
                <w:b w:val="0"/>
                <w:sz w:val="14"/>
              </w:rPr>
              <w:t>DEFERRED</w:t>
            </w:r>
          </w:p>
        </w:tc>
        <w:tc>
          <w:tcPr>
            <w:tcW w:type="dxa" w:w="2033"/>
            <w:tcMar>
              <w:top w:w="35" w:type="dxa"/>
              <w:start w:w="45" w:type="dxa"/>
              <w:bottom w:w="35" w:type="dxa"/>
              <w:end w:w="45" w:type="dxa"/>
            </w:tcMar>
          </w:tcPr>
          <w:p>
            <w:r>
              <w:rPr>
                <w:rFonts w:ascii="Aptos" w:hAnsi="Aptos" w:eastAsia="Aptos"/>
                <w:b w:val="0"/>
                <w:sz w:val="14"/>
              </w:rPr>
              <w:t>Dealer / service-center architecture</w:t>
            </w:r>
          </w:p>
        </w:tc>
        <w:tc>
          <w:tcPr>
            <w:tcW w:type="dxa" w:w="2033"/>
            <w:tcMar>
              <w:top w:w="35" w:type="dxa"/>
              <w:start w:w="45" w:type="dxa"/>
              <w:bottom w:w="35" w:type="dxa"/>
              <w:end w:w="45" w:type="dxa"/>
            </w:tcMar>
          </w:tcPr>
          <w:p>
            <w:r>
              <w:rPr>
                <w:rFonts w:ascii="Aptos" w:hAnsi="Aptos" w:eastAsia="Aptos"/>
                <w:b w:val="0"/>
                <w:sz w:val="14"/>
              </w:rPr>
              <w:t>7,35,66</w:t>
            </w:r>
          </w:p>
        </w:tc>
        <w:tc>
          <w:tcPr>
            <w:tcW w:type="dxa" w:w="2033"/>
            <w:tcMar>
              <w:top w:w="35" w:type="dxa"/>
              <w:start w:w="45" w:type="dxa"/>
              <w:bottom w:w="35" w:type="dxa"/>
              <w:end w:w="45" w:type="dxa"/>
            </w:tcMar>
          </w:tcPr>
          <w:p>
            <w:r>
              <w:rPr>
                <w:rFonts w:ascii="Aptos" w:hAnsi="Aptos" w:eastAsia="Aptos"/>
                <w:b w:val="0"/>
                <w:sz w:val="14"/>
              </w:rPr>
              <w:t>Dealer/service assignment, permissions, duration and workflows remain intentionally deferred.</w:t>
            </w:r>
          </w:p>
        </w:tc>
      </w:tr>
      <w:tr>
        <w:tc>
          <w:tcPr>
            <w:tcW w:type="dxa" w:w="2033"/>
            <w:tcMar>
              <w:top w:w="35" w:type="dxa"/>
              <w:start w:w="45" w:type="dxa"/>
              <w:bottom w:w="35" w:type="dxa"/>
              <w:end w:w="45" w:type="dxa"/>
            </w:tcMar>
          </w:tcPr>
          <w:p>
            <w:r>
              <w:rPr>
                <w:rFonts w:ascii="Aptos" w:hAnsi="Aptos" w:eastAsia="Aptos"/>
                <w:b/>
                <w:sz w:val="14"/>
              </w:rPr>
              <w:t>OD-003</w:t>
            </w:r>
          </w:p>
        </w:tc>
        <w:tc>
          <w:tcPr>
            <w:tcW w:type="dxa" w:w="2033"/>
            <w:tcMar>
              <w:top w:w="35" w:type="dxa"/>
              <w:start w:w="45" w:type="dxa"/>
              <w:bottom w:w="35" w:type="dxa"/>
              <w:end w:w="45" w:type="dxa"/>
            </w:tcMar>
            <w:shd w:fill="E7E6E6"/>
          </w:tcPr>
          <w:p>
            <w:r>
              <w:rPr>
                <w:rFonts w:ascii="Aptos" w:hAnsi="Aptos" w:eastAsia="Aptos"/>
                <w:b w:val="0"/>
                <w:sz w:val="14"/>
              </w:rPr>
              <w:t>DEFERRED</w:t>
            </w:r>
          </w:p>
        </w:tc>
        <w:tc>
          <w:tcPr>
            <w:tcW w:type="dxa" w:w="2033"/>
            <w:tcMar>
              <w:top w:w="35" w:type="dxa"/>
              <w:start w:w="45" w:type="dxa"/>
              <w:bottom w:w="35" w:type="dxa"/>
              <w:end w:w="45" w:type="dxa"/>
            </w:tcMar>
          </w:tcPr>
          <w:p>
            <w:r>
              <w:rPr>
                <w:rFonts w:ascii="Aptos" w:hAnsi="Aptos" w:eastAsia="Aptos"/>
                <w:b w:val="0"/>
                <w:sz w:val="14"/>
              </w:rPr>
              <w:t>Maintenance effects at Owner Activation</w:t>
            </w:r>
          </w:p>
        </w:tc>
        <w:tc>
          <w:tcPr>
            <w:tcW w:type="dxa" w:w="2033"/>
            <w:tcMar>
              <w:top w:w="35" w:type="dxa"/>
              <w:start w:w="45" w:type="dxa"/>
              <w:bottom w:w="35" w:type="dxa"/>
              <w:end w:w="45" w:type="dxa"/>
            </w:tcMar>
          </w:tcPr>
          <w:p>
            <w:r>
              <w:rPr>
                <w:rFonts w:ascii="Aptos" w:hAnsi="Aptos" w:eastAsia="Aptos"/>
                <w:b w:val="0"/>
                <w:sz w:val="14"/>
              </w:rPr>
              <w:t>8,70</w:t>
            </w:r>
          </w:p>
        </w:tc>
        <w:tc>
          <w:tcPr>
            <w:tcW w:type="dxa" w:w="2033"/>
            <w:tcMar>
              <w:top w:w="35" w:type="dxa"/>
              <w:start w:w="45" w:type="dxa"/>
              <w:bottom w:w="35" w:type="dxa"/>
              <w:end w:w="45" w:type="dxa"/>
            </w:tcMar>
          </w:tcPr>
          <w:p>
            <w:r>
              <w:rPr>
                <w:rFonts w:ascii="Aptos" w:hAnsi="Aptos" w:eastAsia="Aptos"/>
                <w:b w:val="0"/>
                <w:sz w:val="14"/>
              </w:rPr>
              <w:t>Detailed maintenance activation effects remain future work; current applicability clarified in M70.</w:t>
            </w:r>
          </w:p>
        </w:tc>
      </w:tr>
      <w:tr>
        <w:tc>
          <w:tcPr>
            <w:tcW w:type="dxa" w:w="2033"/>
            <w:tcMar>
              <w:top w:w="35" w:type="dxa"/>
              <w:start w:w="45" w:type="dxa"/>
              <w:bottom w:w="35" w:type="dxa"/>
              <w:end w:w="45" w:type="dxa"/>
            </w:tcMar>
          </w:tcPr>
          <w:p>
            <w:r>
              <w:rPr>
                <w:rFonts w:ascii="Aptos" w:hAnsi="Aptos" w:eastAsia="Aptos"/>
                <w:b/>
                <w:sz w:val="14"/>
              </w:rPr>
              <w:t>OD-004</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Mobile / Gateway BLE refresh and alert latency</w:t>
            </w:r>
          </w:p>
        </w:tc>
        <w:tc>
          <w:tcPr>
            <w:tcW w:type="dxa" w:w="2033"/>
            <w:tcMar>
              <w:top w:w="35" w:type="dxa"/>
              <w:start w:w="45" w:type="dxa"/>
              <w:bottom w:w="35" w:type="dxa"/>
              <w:end w:w="45" w:type="dxa"/>
            </w:tcMar>
          </w:tcPr>
          <w:p>
            <w:r>
              <w:rPr>
                <w:rFonts w:ascii="Aptos" w:hAnsi="Aptos" w:eastAsia="Aptos"/>
                <w:b w:val="0"/>
                <w:sz w:val="14"/>
              </w:rPr>
              <w:t>10,11,27</w:t>
            </w:r>
          </w:p>
        </w:tc>
        <w:tc>
          <w:tcPr>
            <w:tcW w:type="dxa" w:w="2033"/>
            <w:tcMar>
              <w:top w:w="35" w:type="dxa"/>
              <w:start w:w="45" w:type="dxa"/>
              <w:bottom w:w="35" w:type="dxa"/>
              <w:end w:w="45" w:type="dxa"/>
            </w:tcMar>
          </w:tcPr>
          <w:p>
            <w:r>
              <w:rPr>
                <w:rFonts w:ascii="Aptos" w:hAnsi="Aptos" w:eastAsia="Aptos"/>
                <w:b w:val="0"/>
                <w:sz w:val="14"/>
              </w:rPr>
              <w:t>Validate transport/read/display latency against controlled J3309 test definition; Gateway remains sole evaluator in Gateway Mode.</w:t>
            </w:r>
          </w:p>
        </w:tc>
      </w:tr>
      <w:tr>
        <w:tc>
          <w:tcPr>
            <w:tcW w:type="dxa" w:w="2033"/>
            <w:tcMar>
              <w:top w:w="35" w:type="dxa"/>
              <w:start w:w="45" w:type="dxa"/>
              <w:bottom w:w="35" w:type="dxa"/>
              <w:end w:w="45" w:type="dxa"/>
            </w:tcMar>
          </w:tcPr>
          <w:p>
            <w:r>
              <w:rPr>
                <w:rFonts w:ascii="Aptos" w:hAnsi="Aptos" w:eastAsia="Aptos"/>
                <w:b/>
                <w:sz w:val="14"/>
              </w:rPr>
              <w:t>OD-005</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Direct TPMS routine cloud upload cadence</w:t>
            </w:r>
          </w:p>
        </w:tc>
        <w:tc>
          <w:tcPr>
            <w:tcW w:type="dxa" w:w="2033"/>
            <w:tcMar>
              <w:top w:w="35" w:type="dxa"/>
              <w:start w:w="45" w:type="dxa"/>
              <w:bottom w:w="35" w:type="dxa"/>
              <w:end w:w="45" w:type="dxa"/>
            </w:tcMar>
          </w:tcPr>
          <w:p>
            <w:r>
              <w:rPr>
                <w:rFonts w:ascii="Aptos" w:hAnsi="Aptos" w:eastAsia="Aptos"/>
                <w:b w:val="0"/>
                <w:sz w:val="14"/>
              </w:rPr>
              <w:t>10,17</w:t>
            </w:r>
          </w:p>
        </w:tc>
        <w:tc>
          <w:tcPr>
            <w:tcW w:type="dxa" w:w="2033"/>
            <w:tcMar>
              <w:top w:w="35" w:type="dxa"/>
              <w:start w:w="45" w:type="dxa"/>
              <w:bottom w:w="35" w:type="dxa"/>
              <w:end w:w="45" w:type="dxa"/>
            </w:tcMar>
          </w:tcPr>
          <w:p>
            <w:r>
              <w:rPr>
                <w:rFonts w:ascii="Aptos" w:hAnsi="Aptos" w:eastAsia="Aptos"/>
                <w:b w:val="0"/>
                <w:sz w:val="14"/>
              </w:rPr>
              <w:t>Define routine cadence, alert-event upload timing and buffering limits.</w:t>
            </w:r>
          </w:p>
        </w:tc>
      </w:tr>
      <w:tr>
        <w:tc>
          <w:tcPr>
            <w:tcW w:type="dxa" w:w="2033"/>
            <w:tcMar>
              <w:top w:w="35" w:type="dxa"/>
              <w:start w:w="45" w:type="dxa"/>
              <w:bottom w:w="35" w:type="dxa"/>
              <w:end w:w="45" w:type="dxa"/>
            </w:tcMar>
          </w:tcPr>
          <w:p>
            <w:r>
              <w:rPr>
                <w:rFonts w:ascii="Aptos" w:hAnsi="Aptos" w:eastAsia="Aptos"/>
                <w:b/>
                <w:sz w:val="14"/>
              </w:rPr>
              <w:t>OD-006</w:t>
            </w:r>
          </w:p>
        </w:tc>
        <w:tc>
          <w:tcPr>
            <w:tcW w:type="dxa" w:w="2033"/>
            <w:tcMar>
              <w:top w:w="35" w:type="dxa"/>
              <w:start w:w="45" w:type="dxa"/>
              <w:bottom w:w="35" w:type="dxa"/>
              <w:end w:w="45" w:type="dxa"/>
            </w:tcMar>
            <w:shd w:fill="FFF2CC"/>
          </w:tcPr>
          <w:p>
            <w:r>
              <w:rPr>
                <w:rFonts w:ascii="Aptos" w:hAnsi="Aptos" w:eastAsia="Aptos"/>
                <w:b w:val="0"/>
                <w:sz w:val="14"/>
              </w:rPr>
              <w:t>WIP — TECHNICAL</w:t>
            </w:r>
          </w:p>
        </w:tc>
        <w:tc>
          <w:tcPr>
            <w:tcW w:type="dxa" w:w="2033"/>
            <w:tcMar>
              <w:top w:w="35" w:type="dxa"/>
              <w:start w:w="45" w:type="dxa"/>
              <w:bottom w:w="35" w:type="dxa"/>
              <w:end w:w="45" w:type="dxa"/>
            </w:tcMar>
          </w:tcPr>
          <w:p>
            <w:r>
              <w:rPr>
                <w:rFonts w:ascii="Aptos" w:hAnsi="Aptos" w:eastAsia="Aptos"/>
                <w:b w:val="0"/>
                <w:sz w:val="14"/>
              </w:rPr>
              <w:t>Missing TPMS sensor timing / severity / hysteresis</w:t>
            </w:r>
          </w:p>
        </w:tc>
        <w:tc>
          <w:tcPr>
            <w:tcW w:type="dxa" w:w="2033"/>
            <w:tcMar>
              <w:top w:w="35" w:type="dxa"/>
              <w:start w:w="45" w:type="dxa"/>
              <w:bottom w:w="35" w:type="dxa"/>
              <w:end w:w="45" w:type="dxa"/>
            </w:tcMar>
          </w:tcPr>
          <w:p>
            <w:r>
              <w:rPr>
                <w:rFonts w:ascii="Aptos" w:hAnsi="Aptos" w:eastAsia="Aptos"/>
                <w:b w:val="0"/>
                <w:sz w:val="14"/>
              </w:rPr>
              <w:t>10,33</w:t>
            </w:r>
          </w:p>
        </w:tc>
        <w:tc>
          <w:tcPr>
            <w:tcW w:type="dxa" w:w="2033"/>
            <w:tcMar>
              <w:top w:w="35" w:type="dxa"/>
              <w:start w:w="45" w:type="dxa"/>
              <w:bottom w:w="35" w:type="dxa"/>
              <w:end w:w="45" w:type="dxa"/>
            </w:tcMar>
          </w:tcPr>
          <w:p>
            <w:r>
              <w:rPr>
                <w:rFonts w:ascii="Aptos" w:hAnsi="Aptos" w:eastAsia="Aptos"/>
                <w:b w:val="0"/>
                <w:sz w:val="14"/>
              </w:rPr>
              <w:t>Define trigger/clear timing, movement conditions, severity, notification eligibility and hysteresis.</w:t>
            </w:r>
          </w:p>
        </w:tc>
      </w:tr>
      <w:tr>
        <w:tc>
          <w:tcPr>
            <w:tcW w:type="dxa" w:w="2033"/>
            <w:tcMar>
              <w:top w:w="35" w:type="dxa"/>
              <w:start w:w="45" w:type="dxa"/>
              <w:bottom w:w="35" w:type="dxa"/>
              <w:end w:w="45" w:type="dxa"/>
            </w:tcMar>
          </w:tcPr>
          <w:p>
            <w:r>
              <w:rPr>
                <w:rFonts w:ascii="Aptos" w:hAnsi="Aptos" w:eastAsia="Aptos"/>
                <w:b/>
                <w:sz w:val="14"/>
              </w:rPr>
              <w:t>OD-007</w:t>
            </w:r>
          </w:p>
        </w:tc>
        <w:tc>
          <w:tcPr>
            <w:tcW w:type="dxa" w:w="2033"/>
            <w:tcMar>
              <w:top w:w="35" w:type="dxa"/>
              <w:start w:w="45" w:type="dxa"/>
              <w:bottom w:w="35" w:type="dxa"/>
              <w:end w:w="45" w:type="dxa"/>
            </w:tcMar>
            <w:shd w:fill="E7E6E6"/>
          </w:tcPr>
          <w:p>
            <w:r>
              <w:rPr>
                <w:rFonts w:ascii="Aptos" w:hAnsi="Aptos" w:eastAsia="Aptos"/>
                <w:b w:val="0"/>
                <w:sz w:val="14"/>
              </w:rPr>
              <w:t>DEFERRED</w:t>
            </w:r>
          </w:p>
        </w:tc>
        <w:tc>
          <w:tcPr>
            <w:tcW w:type="dxa" w:w="2033"/>
            <w:tcMar>
              <w:top w:w="35" w:type="dxa"/>
              <w:start w:w="45" w:type="dxa"/>
              <w:bottom w:w="35" w:type="dxa"/>
              <w:end w:w="45" w:type="dxa"/>
            </w:tcMar>
          </w:tcPr>
          <w:p>
            <w:r>
              <w:rPr>
                <w:rFonts w:ascii="Aptos" w:hAnsi="Aptos" w:eastAsia="Aptos"/>
                <w:b w:val="0"/>
                <w:sz w:val="14"/>
              </w:rPr>
              <w:t>New-owner visible historical fields</w:t>
            </w:r>
          </w:p>
        </w:tc>
        <w:tc>
          <w:tcPr>
            <w:tcW w:type="dxa" w:w="2033"/>
            <w:tcMar>
              <w:top w:w="35" w:type="dxa"/>
              <w:start w:w="45" w:type="dxa"/>
              <w:bottom w:w="35" w:type="dxa"/>
              <w:end w:w="45" w:type="dxa"/>
            </w:tcMar>
          </w:tcPr>
          <w:p>
            <w:r>
              <w:rPr>
                <w:rFonts w:ascii="Aptos" w:hAnsi="Aptos" w:eastAsia="Aptos"/>
                <w:b w:val="0"/>
                <w:sz w:val="14"/>
              </w:rPr>
              <w:t>5</w:t>
            </w:r>
          </w:p>
        </w:tc>
        <w:tc>
          <w:tcPr>
            <w:tcW w:type="dxa" w:w="2033"/>
            <w:tcMar>
              <w:top w:w="35" w:type="dxa"/>
              <w:start w:w="45" w:type="dxa"/>
              <w:bottom w:w="35" w:type="dxa"/>
              <w:end w:w="45" w:type="dxa"/>
            </w:tcMar>
          </w:tcPr>
          <w:p>
            <w:r>
              <w:rPr>
                <w:rFonts w:ascii="Aptos" w:hAnsi="Aptos" w:eastAsia="Aptos"/>
                <w:b w:val="0"/>
                <w:sz w:val="14"/>
              </w:rPr>
              <w:t>Underlying VIN history remains; exact non-sensitive fields visible to a new retail owner remain TBD.</w:t>
            </w:r>
          </w:p>
        </w:tc>
      </w:tr>
      <w:tr>
        <w:tc>
          <w:tcPr>
            <w:tcW w:type="dxa" w:w="2033"/>
            <w:tcMar>
              <w:top w:w="35" w:type="dxa"/>
              <w:start w:w="45" w:type="dxa"/>
              <w:bottom w:w="35" w:type="dxa"/>
              <w:end w:w="45" w:type="dxa"/>
            </w:tcMar>
          </w:tcPr>
          <w:p>
            <w:r>
              <w:rPr>
                <w:rFonts w:ascii="Aptos" w:hAnsi="Aptos" w:eastAsia="Aptos"/>
                <w:b/>
                <w:sz w:val="14"/>
              </w:rPr>
              <w:t>OD-008</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Direct TPMS background BLE behavior</w:t>
            </w:r>
          </w:p>
        </w:tc>
        <w:tc>
          <w:tcPr>
            <w:tcW w:type="dxa" w:w="2033"/>
            <w:tcMar>
              <w:top w:w="35" w:type="dxa"/>
              <w:start w:w="45" w:type="dxa"/>
              <w:bottom w:w="35" w:type="dxa"/>
              <w:end w:w="45" w:type="dxa"/>
            </w:tcMar>
          </w:tcPr>
          <w:p>
            <w:r>
              <w:rPr>
                <w:rFonts w:ascii="Aptos" w:hAnsi="Aptos" w:eastAsia="Aptos"/>
                <w:b w:val="0"/>
                <w:sz w:val="14"/>
              </w:rPr>
              <w:t>10</w:t>
            </w:r>
          </w:p>
        </w:tc>
        <w:tc>
          <w:tcPr>
            <w:tcW w:type="dxa" w:w="2033"/>
            <w:tcMar>
              <w:top w:w="35" w:type="dxa"/>
              <w:start w:w="45" w:type="dxa"/>
              <w:bottom w:w="35" w:type="dxa"/>
              <w:end w:w="45" w:type="dxa"/>
            </w:tcMar>
          </w:tcPr>
          <w:p>
            <w:r>
              <w:rPr>
                <w:rFonts w:ascii="Aptos" w:hAnsi="Aptos" w:eastAsia="Aptos"/>
                <w:b w:val="0"/>
                <w:sz w:val="14"/>
              </w:rPr>
              <w:t>Validate iOS/Android behavior and user-facing limitations; monitoring-state evidence requirement is now defined.</w:t>
            </w:r>
          </w:p>
        </w:tc>
      </w:tr>
      <w:tr>
        <w:tc>
          <w:tcPr>
            <w:tcW w:type="dxa" w:w="2033"/>
            <w:tcMar>
              <w:top w:w="35" w:type="dxa"/>
              <w:start w:w="45" w:type="dxa"/>
              <w:bottom w:w="35" w:type="dxa"/>
              <w:end w:w="45" w:type="dxa"/>
            </w:tcMar>
          </w:tcPr>
          <w:p>
            <w:r>
              <w:rPr>
                <w:rFonts w:ascii="Aptos" w:hAnsi="Aptos" w:eastAsia="Aptos"/>
                <w:b/>
                <w:sz w:val="14"/>
              </w:rPr>
              <w:t>OD-009</w:t>
            </w:r>
          </w:p>
        </w:tc>
        <w:tc>
          <w:tcPr>
            <w:tcW w:type="dxa" w:w="2033"/>
            <w:tcMar>
              <w:top w:w="35" w:type="dxa"/>
              <w:start w:w="45" w:type="dxa"/>
              <w:bottom w:w="35" w:type="dxa"/>
              <w:end w:w="45" w:type="dxa"/>
            </w:tcMar>
            <w:shd w:fill="F4CCCC"/>
          </w:tcPr>
          <w:p>
            <w:r>
              <w:rPr>
                <w:rFonts w:ascii="Aptos" w:hAnsi="Aptos" w:eastAsia="Aptos"/>
                <w:b w:val="0"/>
                <w:sz w:val="14"/>
              </w:rPr>
              <w:t>OPEN — PRODUCT / DEVELOPER DETAIL</w:t>
            </w:r>
          </w:p>
        </w:tc>
        <w:tc>
          <w:tcPr>
            <w:tcW w:type="dxa" w:w="2033"/>
            <w:tcMar>
              <w:top w:w="35" w:type="dxa"/>
              <w:start w:w="45" w:type="dxa"/>
              <w:bottom w:w="35" w:type="dxa"/>
              <w:end w:w="45" w:type="dxa"/>
            </w:tcMar>
          </w:tcPr>
          <w:p>
            <w:r>
              <w:rPr>
                <w:rFonts w:ascii="Aptos" w:hAnsi="Aptos" w:eastAsia="Aptos"/>
                <w:b w:val="0"/>
                <w:sz w:val="14"/>
              </w:rPr>
              <w:t>Direct TPMS activation sensor-presence requirement</w:t>
            </w:r>
          </w:p>
        </w:tc>
        <w:tc>
          <w:tcPr>
            <w:tcW w:type="dxa" w:w="2033"/>
            <w:tcMar>
              <w:top w:w="35" w:type="dxa"/>
              <w:start w:w="45" w:type="dxa"/>
              <w:bottom w:w="35" w:type="dxa"/>
              <w:end w:w="45" w:type="dxa"/>
            </w:tcMar>
          </w:tcPr>
          <w:p>
            <w:r>
              <w:rPr>
                <w:rFonts w:ascii="Aptos" w:hAnsi="Aptos" w:eastAsia="Aptos"/>
                <w:b w:val="0"/>
                <w:sz w:val="14"/>
              </w:rPr>
              <w:t>3,10</w:t>
            </w:r>
          </w:p>
        </w:tc>
        <w:tc>
          <w:tcPr>
            <w:tcW w:type="dxa" w:w="2033"/>
            <w:tcMar>
              <w:top w:w="35" w:type="dxa"/>
              <w:start w:w="45" w:type="dxa"/>
              <w:bottom w:w="35" w:type="dxa"/>
              <w:end w:w="45" w:type="dxa"/>
            </w:tcMar>
          </w:tcPr>
          <w:p>
            <w:r>
              <w:rPr>
                <w:rFonts w:ascii="Aptos" w:hAnsi="Aptos" w:eastAsia="Aptos"/>
                <w:b w:val="0"/>
                <w:sz w:val="14"/>
              </w:rPr>
              <w:t>Architecture is approved: local BLE presence proof of VIN's factory sensor set is required. Exact sensor count/timing/presence criterion remains open.</w:t>
            </w:r>
          </w:p>
        </w:tc>
      </w:tr>
      <w:tr>
        <w:tc>
          <w:tcPr>
            <w:tcW w:type="dxa" w:w="2033"/>
            <w:tcMar>
              <w:top w:w="35" w:type="dxa"/>
              <w:start w:w="45" w:type="dxa"/>
              <w:bottom w:w="35" w:type="dxa"/>
              <w:end w:w="45" w:type="dxa"/>
            </w:tcMar>
          </w:tcPr>
          <w:p>
            <w:r>
              <w:rPr>
                <w:rFonts w:ascii="Aptos" w:hAnsi="Aptos" w:eastAsia="Aptos"/>
                <w:b/>
                <w:sz w:val="14"/>
              </w:rPr>
              <w:t>OD-010</w:t>
            </w:r>
          </w:p>
        </w:tc>
        <w:tc>
          <w:tcPr>
            <w:tcW w:type="dxa" w:w="2033"/>
            <w:tcMar>
              <w:top w:w="35" w:type="dxa"/>
              <w:start w:w="45" w:type="dxa"/>
              <w:bottom w:w="35" w:type="dxa"/>
              <w:end w:w="45" w:type="dxa"/>
            </w:tcMar>
            <w:shd w:fill="E7E6E6"/>
          </w:tcPr>
          <w:p>
            <w:r>
              <w:rPr>
                <w:rFonts w:ascii="Aptos" w:hAnsi="Aptos" w:eastAsia="Aptos"/>
                <w:b w:val="0"/>
                <w:sz w:val="14"/>
              </w:rPr>
              <w:t>DEFERRED WITH M7</w:t>
            </w:r>
          </w:p>
        </w:tc>
        <w:tc>
          <w:tcPr>
            <w:tcW w:type="dxa" w:w="2033"/>
            <w:tcMar>
              <w:top w:w="35" w:type="dxa"/>
              <w:start w:w="45" w:type="dxa"/>
              <w:bottom w:w="35" w:type="dxa"/>
              <w:end w:w="45" w:type="dxa"/>
            </w:tcMar>
          </w:tcPr>
          <w:p>
            <w:r>
              <w:rPr>
                <w:rFonts w:ascii="Aptos" w:hAnsi="Aptos" w:eastAsia="Aptos"/>
                <w:b w:val="0"/>
                <w:sz w:val="14"/>
              </w:rPr>
              <w:t>Cloud ownership-transfer role matrix</w:t>
            </w:r>
          </w:p>
        </w:tc>
        <w:tc>
          <w:tcPr>
            <w:tcW w:type="dxa" w:w="2033"/>
            <w:tcMar>
              <w:top w:w="35" w:type="dxa"/>
              <w:start w:w="45" w:type="dxa"/>
              <w:bottom w:w="35" w:type="dxa"/>
              <w:end w:w="45" w:type="dxa"/>
            </w:tcMar>
          </w:tcPr>
          <w:p>
            <w:r>
              <w:rPr>
                <w:rFonts w:ascii="Aptos" w:hAnsi="Aptos" w:eastAsia="Aptos"/>
                <w:b w:val="0"/>
                <w:sz w:val="14"/>
              </w:rPr>
              <w:t>5,7,66</w:t>
            </w:r>
          </w:p>
        </w:tc>
        <w:tc>
          <w:tcPr>
            <w:tcW w:type="dxa" w:w="2033"/>
            <w:tcMar>
              <w:top w:w="35" w:type="dxa"/>
              <w:start w:w="45" w:type="dxa"/>
              <w:bottom w:w="35" w:type="dxa"/>
              <w:end w:w="45" w:type="dxa"/>
            </w:tcMar>
          </w:tcPr>
          <w:p>
            <w:r>
              <w:rPr>
                <w:rFonts w:ascii="Aptos" w:hAnsi="Aptos" w:eastAsia="Aptos"/>
                <w:b w:val="0"/>
                <w:sz w:val="14"/>
              </w:rPr>
              <w:t>Finalize dealer/service transfer permissions when M7 is prioritized.</w:t>
            </w:r>
          </w:p>
        </w:tc>
      </w:tr>
      <w:tr>
        <w:tc>
          <w:tcPr>
            <w:tcW w:type="dxa" w:w="2033"/>
            <w:tcMar>
              <w:top w:w="35" w:type="dxa"/>
              <w:start w:w="45" w:type="dxa"/>
              <w:bottom w:w="35" w:type="dxa"/>
              <w:end w:w="45" w:type="dxa"/>
            </w:tcMar>
          </w:tcPr>
          <w:p>
            <w:r>
              <w:rPr>
                <w:rFonts w:ascii="Aptos" w:hAnsi="Aptos" w:eastAsia="Aptos"/>
                <w:b/>
                <w:sz w:val="14"/>
              </w:rPr>
              <w:t>OD-011</w:t>
            </w:r>
          </w:p>
        </w:tc>
        <w:tc>
          <w:tcPr>
            <w:tcW w:type="dxa" w:w="2033"/>
            <w:tcMar>
              <w:top w:w="35" w:type="dxa"/>
              <w:start w:w="45" w:type="dxa"/>
              <w:bottom w:w="35" w:type="dxa"/>
              <w:end w:w="45" w:type="dxa"/>
            </w:tcMar>
            <w:shd w:fill="D9EAD3"/>
          </w:tcPr>
          <w:p>
            <w:r>
              <w:rPr>
                <w:rFonts w:ascii="Aptos" w:hAnsi="Aptos" w:eastAsia="Aptos"/>
                <w:b w:val="0"/>
                <w:sz w:val="14"/>
              </w:rPr>
              <w:t>RESOLVED BY M16</w:t>
            </w:r>
          </w:p>
        </w:tc>
        <w:tc>
          <w:tcPr>
            <w:tcW w:type="dxa" w:w="2033"/>
            <w:tcMar>
              <w:top w:w="35" w:type="dxa"/>
              <w:start w:w="45" w:type="dxa"/>
              <w:bottom w:w="35" w:type="dxa"/>
              <w:end w:w="45" w:type="dxa"/>
            </w:tcMar>
          </w:tcPr>
          <w:p>
            <w:r>
              <w:rPr>
                <w:rFonts w:ascii="Aptos" w:hAnsi="Aptos" w:eastAsia="Aptos"/>
                <w:b w:val="0"/>
                <w:sz w:val="14"/>
              </w:rPr>
              <w:t>Gateway cloud-fallback stale threshold</w:t>
            </w:r>
          </w:p>
        </w:tc>
        <w:tc>
          <w:tcPr>
            <w:tcW w:type="dxa" w:w="2033"/>
            <w:tcMar>
              <w:top w:w="35" w:type="dxa"/>
              <w:start w:w="45" w:type="dxa"/>
              <w:bottom w:w="35" w:type="dxa"/>
              <w:end w:w="45" w:type="dxa"/>
            </w:tcMar>
          </w:tcPr>
          <w:p>
            <w:r>
              <w:rPr>
                <w:rFonts w:ascii="Aptos" w:hAnsi="Aptos" w:eastAsia="Aptos"/>
                <w:b w:val="0"/>
                <w:sz w:val="14"/>
              </w:rPr>
              <w:t>11,16</w:t>
            </w:r>
          </w:p>
        </w:tc>
        <w:tc>
          <w:tcPr>
            <w:tcW w:type="dxa" w:w="2033"/>
            <w:tcMar>
              <w:top w:w="35" w:type="dxa"/>
              <w:start w:w="45" w:type="dxa"/>
              <w:bottom w:w="35" w:type="dxa"/>
              <w:end w:w="45" w:type="dxa"/>
            </w:tcMar>
          </w:tcPr>
          <w:p>
            <w:r>
              <w:rPr>
                <w:rFonts w:ascii="Aptos" w:hAnsi="Aptos" w:eastAsia="Aptos"/>
                <w:b w:val="0"/>
                <w:sz w:val="14"/>
              </w:rPr>
              <w:t>Freshness/stale/offline are cadence-relative/configurable; no universal hard-coded threshold.</w:t>
            </w:r>
          </w:p>
        </w:tc>
      </w:tr>
      <w:tr>
        <w:tc>
          <w:tcPr>
            <w:tcW w:type="dxa" w:w="2033"/>
            <w:tcMar>
              <w:top w:w="35" w:type="dxa"/>
              <w:start w:w="45" w:type="dxa"/>
              <w:bottom w:w="35" w:type="dxa"/>
              <w:end w:w="45" w:type="dxa"/>
            </w:tcMar>
          </w:tcPr>
          <w:p>
            <w:r>
              <w:rPr>
                <w:rFonts w:ascii="Aptos" w:hAnsi="Aptos" w:eastAsia="Aptos"/>
                <w:b/>
                <w:sz w:val="14"/>
              </w:rPr>
              <w:t>OD-012</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Gateway App background BLE validation</w:t>
            </w:r>
          </w:p>
        </w:tc>
        <w:tc>
          <w:tcPr>
            <w:tcW w:type="dxa" w:w="2033"/>
            <w:tcMar>
              <w:top w:w="35" w:type="dxa"/>
              <w:start w:w="45" w:type="dxa"/>
              <w:bottom w:w="35" w:type="dxa"/>
              <w:end w:w="45" w:type="dxa"/>
            </w:tcMar>
          </w:tcPr>
          <w:p>
            <w:r>
              <w:rPr>
                <w:rFonts w:ascii="Aptos" w:hAnsi="Aptos" w:eastAsia="Aptos"/>
                <w:b w:val="0"/>
                <w:sz w:val="14"/>
              </w:rPr>
              <w:t>11</w:t>
            </w:r>
          </w:p>
        </w:tc>
        <w:tc>
          <w:tcPr>
            <w:tcW w:type="dxa" w:w="2033"/>
            <w:tcMar>
              <w:top w:w="35" w:type="dxa"/>
              <w:start w:w="45" w:type="dxa"/>
              <w:bottom w:w="35" w:type="dxa"/>
              <w:end w:w="45" w:type="dxa"/>
            </w:tcMar>
          </w:tcPr>
          <w:p>
            <w:r>
              <w:rPr>
                <w:rFonts w:ascii="Aptos" w:hAnsi="Aptos" w:eastAsia="Aptos"/>
                <w:b w:val="0"/>
                <w:sz w:val="14"/>
              </w:rPr>
              <w:t>Validate OS-specific background BLE support/limitations.</w:t>
            </w:r>
          </w:p>
        </w:tc>
      </w:tr>
      <w:tr>
        <w:tc>
          <w:tcPr>
            <w:tcW w:type="dxa" w:w="2033"/>
            <w:tcMar>
              <w:top w:w="35" w:type="dxa"/>
              <w:start w:w="45" w:type="dxa"/>
              <w:bottom w:w="35" w:type="dxa"/>
              <w:end w:w="45" w:type="dxa"/>
            </w:tcMar>
          </w:tcPr>
          <w:p>
            <w:r>
              <w:rPr>
                <w:rFonts w:ascii="Aptos" w:hAnsi="Aptos" w:eastAsia="Aptos"/>
                <w:b/>
                <w:sz w:val="14"/>
              </w:rPr>
              <w:t>OD-013</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Gateway routine-report implementation details</w:t>
            </w:r>
          </w:p>
        </w:tc>
        <w:tc>
          <w:tcPr>
            <w:tcW w:type="dxa" w:w="2033"/>
            <w:tcMar>
              <w:top w:w="35" w:type="dxa"/>
              <w:start w:w="45" w:type="dxa"/>
              <w:bottom w:w="35" w:type="dxa"/>
              <w:end w:w="45" w:type="dxa"/>
            </w:tcMar>
          </w:tcPr>
          <w:p>
            <w:r>
              <w:rPr>
                <w:rFonts w:ascii="Aptos" w:hAnsi="Aptos" w:eastAsia="Aptos"/>
                <w:b w:val="0"/>
                <w:sz w:val="14"/>
              </w:rPr>
              <w:t>12</w:t>
            </w:r>
          </w:p>
        </w:tc>
        <w:tc>
          <w:tcPr>
            <w:tcW w:type="dxa" w:w="2033"/>
            <w:tcMar>
              <w:top w:w="35" w:type="dxa"/>
              <w:start w:w="45" w:type="dxa"/>
              <w:bottom w:w="35" w:type="dxa"/>
              <w:end w:w="45" w:type="dxa"/>
            </w:tcMar>
          </w:tcPr>
          <w:p>
            <w:r>
              <w:rPr>
                <w:rFonts w:ascii="Aptos" w:hAnsi="Aptos" w:eastAsia="Aptos"/>
                <w:b w:val="0"/>
                <w:sz w:val="14"/>
              </w:rPr>
              <w:t>Confirm latest-value collapse, heartbeat/check-in behavior and exact cadence mechanics.</w:t>
            </w:r>
          </w:p>
        </w:tc>
      </w:tr>
      <w:tr>
        <w:tc>
          <w:tcPr>
            <w:tcW w:type="dxa" w:w="2033"/>
            <w:tcMar>
              <w:top w:w="35" w:type="dxa"/>
              <w:start w:w="45" w:type="dxa"/>
              <w:bottom w:w="35" w:type="dxa"/>
              <w:end w:w="45" w:type="dxa"/>
            </w:tcMar>
          </w:tcPr>
          <w:p>
            <w:r>
              <w:rPr>
                <w:rFonts w:ascii="Aptos" w:hAnsi="Aptos" w:eastAsia="Aptos"/>
                <w:b/>
                <w:sz w:val="14"/>
              </w:rPr>
              <w:t>OD-014</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Ingestion / invalid-data technical handling</w:t>
            </w:r>
          </w:p>
        </w:tc>
        <w:tc>
          <w:tcPr>
            <w:tcW w:type="dxa" w:w="2033"/>
            <w:tcMar>
              <w:top w:w="35" w:type="dxa"/>
              <w:start w:w="45" w:type="dxa"/>
              <w:bottom w:w="35" w:type="dxa"/>
              <w:end w:w="45" w:type="dxa"/>
            </w:tcMar>
          </w:tcPr>
          <w:p>
            <w:r>
              <w:rPr>
                <w:rFonts w:ascii="Aptos" w:hAnsi="Aptos" w:eastAsia="Aptos"/>
                <w:b w:val="0"/>
                <w:sz w:val="14"/>
              </w:rPr>
              <w:t>13,14,71</w:t>
            </w:r>
          </w:p>
        </w:tc>
        <w:tc>
          <w:tcPr>
            <w:tcW w:type="dxa" w:w="2033"/>
            <w:tcMar>
              <w:top w:w="35" w:type="dxa"/>
              <w:start w:w="45" w:type="dxa"/>
              <w:bottom w:w="35" w:type="dxa"/>
              <w:end w:w="45" w:type="dxa"/>
            </w:tcMar>
          </w:tcPr>
          <w:p>
            <w:r>
              <w:rPr>
                <w:rFonts w:ascii="Aptos" w:hAnsi="Aptos" w:eastAsia="Aptos"/>
                <w:b w:val="0"/>
                <w:sz w:val="14"/>
              </w:rPr>
              <w:t>Confirm schema/authentication/normalization, reject diagnostics and repeated-invalid data-quality behavior.</w:t>
            </w:r>
          </w:p>
        </w:tc>
      </w:tr>
      <w:tr>
        <w:tc>
          <w:tcPr>
            <w:tcW w:type="dxa" w:w="2033"/>
            <w:tcMar>
              <w:top w:w="35" w:type="dxa"/>
              <w:start w:w="45" w:type="dxa"/>
              <w:bottom w:w="35" w:type="dxa"/>
              <w:end w:w="45" w:type="dxa"/>
            </w:tcMar>
          </w:tcPr>
          <w:p>
            <w:r>
              <w:rPr>
                <w:rFonts w:ascii="Aptos" w:hAnsi="Aptos" w:eastAsia="Aptos"/>
                <w:b/>
                <w:sz w:val="14"/>
              </w:rPr>
              <w:t>OD-015</w:t>
            </w:r>
          </w:p>
        </w:tc>
        <w:tc>
          <w:tcPr>
            <w:tcW w:type="dxa" w:w="2033"/>
            <w:tcMar>
              <w:top w:w="35" w:type="dxa"/>
              <w:start w:w="45" w:type="dxa"/>
              <w:bottom w:w="35" w:type="dxa"/>
              <w:end w:w="45" w:type="dxa"/>
            </w:tcMar>
            <w:shd w:fill="FFF2CC"/>
          </w:tcPr>
          <w:p>
            <w:r>
              <w:rPr>
                <w:rFonts w:ascii="Aptos" w:hAnsi="Aptos" w:eastAsia="Aptos"/>
                <w:b w:val="0"/>
                <w:sz w:val="14"/>
              </w:rPr>
              <w:t>WIP — BUSINESS / DEVELOPER</w:t>
            </w:r>
          </w:p>
        </w:tc>
        <w:tc>
          <w:tcPr>
            <w:tcW w:type="dxa" w:w="2033"/>
            <w:tcMar>
              <w:top w:w="35" w:type="dxa"/>
              <w:start w:w="45" w:type="dxa"/>
              <w:bottom w:w="35" w:type="dxa"/>
              <w:end w:w="45" w:type="dxa"/>
            </w:tcMar>
          </w:tcPr>
          <w:p>
            <w:r>
              <w:rPr>
                <w:rFonts w:ascii="Aptos" w:hAnsi="Aptos" w:eastAsia="Aptos"/>
                <w:b w:val="0"/>
                <w:sz w:val="14"/>
              </w:rPr>
              <w:t>Historical telemetry retention periods / tiers</w:t>
            </w:r>
          </w:p>
        </w:tc>
        <w:tc>
          <w:tcPr>
            <w:tcW w:type="dxa" w:w="2033"/>
            <w:tcMar>
              <w:top w:w="35" w:type="dxa"/>
              <w:start w:w="45" w:type="dxa"/>
              <w:bottom w:w="35" w:type="dxa"/>
              <w:end w:w="45" w:type="dxa"/>
            </w:tcMar>
          </w:tcPr>
          <w:p>
            <w:r>
              <w:rPr>
                <w:rFonts w:ascii="Aptos" w:hAnsi="Aptos" w:eastAsia="Aptos"/>
                <w:b w:val="0"/>
                <w:sz w:val="14"/>
              </w:rPr>
              <w:t>18,67</w:t>
            </w:r>
          </w:p>
        </w:tc>
        <w:tc>
          <w:tcPr>
            <w:tcW w:type="dxa" w:w="2033"/>
            <w:tcMar>
              <w:top w:w="35" w:type="dxa"/>
              <w:start w:w="45" w:type="dxa"/>
              <w:bottom w:w="35" w:type="dxa"/>
              <w:end w:w="45" w:type="dxa"/>
            </w:tcMar>
          </w:tcPr>
          <w:p>
            <w:r>
              <w:rPr>
                <w:rFonts w:ascii="Aptos" w:hAnsi="Aptos" w:eastAsia="Aptos"/>
                <w:b w:val="0"/>
                <w:sz w:val="14"/>
              </w:rPr>
              <w:t>Define exact raw-retention periods, archive tiers and audit/telemetry storage policy.</w:t>
            </w:r>
          </w:p>
        </w:tc>
      </w:tr>
      <w:tr>
        <w:tc>
          <w:tcPr>
            <w:tcW w:type="dxa" w:w="2033"/>
            <w:tcMar>
              <w:top w:w="35" w:type="dxa"/>
              <w:start w:w="45" w:type="dxa"/>
              <w:bottom w:w="35" w:type="dxa"/>
              <w:end w:w="45" w:type="dxa"/>
            </w:tcMar>
          </w:tcPr>
          <w:p>
            <w:r>
              <w:rPr>
                <w:rFonts w:ascii="Aptos" w:hAnsi="Aptos" w:eastAsia="Aptos"/>
                <w:b/>
                <w:sz w:val="14"/>
              </w:rPr>
              <w:t>OD-016</w:t>
            </w:r>
          </w:p>
        </w:tc>
        <w:tc>
          <w:tcPr>
            <w:tcW w:type="dxa" w:w="2033"/>
            <w:tcMar>
              <w:top w:w="35" w:type="dxa"/>
              <w:start w:w="45" w:type="dxa"/>
              <w:bottom w:w="35" w:type="dxa"/>
              <w:end w:w="45" w:type="dxa"/>
            </w:tcMar>
            <w:shd w:fill="FFF2CC"/>
          </w:tcPr>
          <w:p>
            <w:r>
              <w:rPr>
                <w:rFonts w:ascii="Aptos" w:hAnsi="Aptos" w:eastAsia="Aptos"/>
                <w:b w:val="0"/>
                <w:sz w:val="14"/>
              </w:rPr>
              <w:t>WIP — SOURCE DATA</w:t>
            </w:r>
          </w:p>
        </w:tc>
        <w:tc>
          <w:tcPr>
            <w:tcW w:type="dxa" w:w="2033"/>
            <w:tcMar>
              <w:top w:w="35" w:type="dxa"/>
              <w:start w:w="45" w:type="dxa"/>
              <w:bottom w:w="35" w:type="dxa"/>
              <w:end w:w="45" w:type="dxa"/>
            </w:tcMar>
          </w:tcPr>
          <w:p>
            <w:r>
              <w:rPr>
                <w:rFonts w:ascii="Aptos" w:hAnsi="Aptos" w:eastAsia="Aptos"/>
                <w:b w:val="0"/>
                <w:sz w:val="14"/>
              </w:rPr>
              <w:t>Canonical attribute catalog detailed population</w:t>
            </w:r>
          </w:p>
        </w:tc>
        <w:tc>
          <w:tcPr>
            <w:tcW w:type="dxa" w:w="2033"/>
            <w:tcMar>
              <w:top w:w="35" w:type="dxa"/>
              <w:start w:w="45" w:type="dxa"/>
              <w:bottom w:w="35" w:type="dxa"/>
              <w:end w:w="45" w:type="dxa"/>
            </w:tcMar>
          </w:tcPr>
          <w:p>
            <w:r>
              <w:rPr>
                <w:rFonts w:ascii="Aptos" w:hAnsi="Aptos" w:eastAsia="Aptos"/>
                <w:b w:val="0"/>
                <w:sz w:val="14"/>
              </w:rPr>
              <w:t>19</w:t>
            </w:r>
          </w:p>
        </w:tc>
        <w:tc>
          <w:tcPr>
            <w:tcW w:type="dxa" w:w="2033"/>
            <w:tcMar>
              <w:top w:w="35" w:type="dxa"/>
              <w:start w:w="45" w:type="dxa"/>
              <w:bottom w:w="35" w:type="dxa"/>
              <w:end w:w="45" w:type="dxa"/>
            </w:tcMar>
          </w:tcPr>
          <w:p>
            <w:r>
              <w:rPr>
                <w:rFonts w:ascii="Aptos" w:hAnsi="Aptos" w:eastAsia="Aptos"/>
                <w:b w:val="0"/>
                <w:sz w:val="14"/>
              </w:rPr>
              <w:t>Reconcile Product Owner field/conversion source into the canonical catalog.</w:t>
            </w:r>
          </w:p>
        </w:tc>
      </w:tr>
      <w:tr>
        <w:tc>
          <w:tcPr>
            <w:tcW w:type="dxa" w:w="2033"/>
            <w:tcMar>
              <w:top w:w="35" w:type="dxa"/>
              <w:start w:w="45" w:type="dxa"/>
              <w:bottom w:w="35" w:type="dxa"/>
              <w:end w:w="45" w:type="dxa"/>
            </w:tcMar>
          </w:tcPr>
          <w:p>
            <w:r>
              <w:rPr>
                <w:rFonts w:ascii="Aptos" w:hAnsi="Aptos" w:eastAsia="Aptos"/>
                <w:b/>
                <w:sz w:val="14"/>
              </w:rPr>
              <w:t>OD-017</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Timestamp synchronization / trust / fallback</w:t>
            </w:r>
          </w:p>
        </w:tc>
        <w:tc>
          <w:tcPr>
            <w:tcW w:type="dxa" w:w="2033"/>
            <w:tcMar>
              <w:top w:w="35" w:type="dxa"/>
              <w:start w:w="45" w:type="dxa"/>
              <w:bottom w:w="35" w:type="dxa"/>
              <w:end w:w="45" w:type="dxa"/>
            </w:tcMar>
          </w:tcPr>
          <w:p>
            <w:r>
              <w:rPr>
                <w:rFonts w:ascii="Aptos" w:hAnsi="Aptos" w:eastAsia="Aptos"/>
                <w:b w:val="0"/>
                <w:sz w:val="14"/>
              </w:rPr>
              <w:t>20</w:t>
            </w:r>
          </w:p>
        </w:tc>
        <w:tc>
          <w:tcPr>
            <w:tcW w:type="dxa" w:w="2033"/>
            <w:tcMar>
              <w:top w:w="35" w:type="dxa"/>
              <w:start w:w="45" w:type="dxa"/>
              <w:bottom w:w="35" w:type="dxa"/>
              <w:end w:w="45" w:type="dxa"/>
            </w:tcMar>
          </w:tcPr>
          <w:p>
            <w:r>
              <w:rPr>
                <w:rFonts w:ascii="Aptos" w:hAnsi="Aptos" w:eastAsia="Aptos"/>
                <w:b w:val="0"/>
                <w:sz w:val="14"/>
              </w:rPr>
              <w:t>Confirm device clock synchronization, timestamp validity and fallback behavior.</w:t>
            </w:r>
          </w:p>
        </w:tc>
      </w:tr>
      <w:tr>
        <w:tc>
          <w:tcPr>
            <w:tcW w:type="dxa" w:w="2033"/>
            <w:tcMar>
              <w:top w:w="35" w:type="dxa"/>
              <w:start w:w="45" w:type="dxa"/>
              <w:bottom w:w="35" w:type="dxa"/>
              <w:end w:w="45" w:type="dxa"/>
            </w:tcMar>
          </w:tcPr>
          <w:p>
            <w:r>
              <w:rPr>
                <w:rFonts w:ascii="Aptos" w:hAnsi="Aptos" w:eastAsia="Aptos"/>
                <w:b/>
                <w:sz w:val="14"/>
              </w:rPr>
              <w:t>OD-018</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Mileage continuity on Gateway replacement</w:t>
            </w:r>
          </w:p>
        </w:tc>
        <w:tc>
          <w:tcPr>
            <w:tcW w:type="dxa" w:w="2033"/>
            <w:tcMar>
              <w:top w:w="35" w:type="dxa"/>
              <w:start w:w="45" w:type="dxa"/>
              <w:bottom w:w="35" w:type="dxa"/>
              <w:end w:w="45" w:type="dxa"/>
            </w:tcMar>
          </w:tcPr>
          <w:p>
            <w:r>
              <w:rPr>
                <w:rFonts w:ascii="Aptos" w:hAnsi="Aptos" w:eastAsia="Aptos"/>
                <w:b w:val="0"/>
                <w:sz w:val="14"/>
              </w:rPr>
              <w:t>21</w:t>
            </w:r>
          </w:p>
        </w:tc>
        <w:tc>
          <w:tcPr>
            <w:tcW w:type="dxa" w:w="2033"/>
            <w:tcMar>
              <w:top w:w="35" w:type="dxa"/>
              <w:start w:w="45" w:type="dxa"/>
              <w:bottom w:w="35" w:type="dxa"/>
              <w:end w:w="45" w:type="dxa"/>
            </w:tcMar>
          </w:tcPr>
          <w:p>
            <w:r>
              <w:rPr>
                <w:rFonts w:ascii="Aptos" w:hAnsi="Aptos" w:eastAsia="Aptos"/>
                <w:b w:val="0"/>
                <w:sz w:val="14"/>
              </w:rPr>
              <w:t>Define replacement-Gateway mileage synchronization/recovery mechanism.</w:t>
            </w:r>
          </w:p>
        </w:tc>
      </w:tr>
      <w:tr>
        <w:tc>
          <w:tcPr>
            <w:tcW w:type="dxa" w:w="2033"/>
            <w:tcMar>
              <w:top w:w="35" w:type="dxa"/>
              <w:start w:w="45" w:type="dxa"/>
              <w:bottom w:w="35" w:type="dxa"/>
              <w:end w:w="45" w:type="dxa"/>
            </w:tcMar>
          </w:tcPr>
          <w:p>
            <w:r>
              <w:rPr>
                <w:rFonts w:ascii="Aptos" w:hAnsi="Aptos" w:eastAsia="Aptos"/>
                <w:b/>
                <w:sz w:val="14"/>
              </w:rPr>
              <w:t>OD-019</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GPS accuracy / filtering / impossible jumps</w:t>
            </w:r>
          </w:p>
        </w:tc>
        <w:tc>
          <w:tcPr>
            <w:tcW w:type="dxa" w:w="2033"/>
            <w:tcMar>
              <w:top w:w="35" w:type="dxa"/>
              <w:start w:w="45" w:type="dxa"/>
              <w:bottom w:w="35" w:type="dxa"/>
              <w:end w:w="45" w:type="dxa"/>
            </w:tcMar>
          </w:tcPr>
          <w:p>
            <w:r>
              <w:rPr>
                <w:rFonts w:ascii="Aptos" w:hAnsi="Aptos" w:eastAsia="Aptos"/>
                <w:b w:val="0"/>
                <w:sz w:val="14"/>
              </w:rPr>
              <w:t>22,64,71</w:t>
            </w:r>
          </w:p>
        </w:tc>
        <w:tc>
          <w:tcPr>
            <w:tcW w:type="dxa" w:w="2033"/>
            <w:tcMar>
              <w:top w:w="35" w:type="dxa"/>
              <w:start w:w="45" w:type="dxa"/>
              <w:bottom w:w="35" w:type="dxa"/>
              <w:end w:w="45" w:type="dxa"/>
            </w:tcMar>
          </w:tcPr>
          <w:p>
            <w:r>
              <w:rPr>
                <w:rFonts w:ascii="Aptos" w:hAnsi="Aptos" w:eastAsia="Aptos"/>
                <w:b w:val="0"/>
                <w:sz w:val="14"/>
              </w:rPr>
              <w:t>Confirm accuracy thresholds, invalid/stale filtering, impossible-jump handling and flags.</w:t>
            </w:r>
          </w:p>
        </w:tc>
      </w:tr>
      <w:tr>
        <w:tc>
          <w:tcPr>
            <w:tcW w:type="dxa" w:w="2033"/>
            <w:tcMar>
              <w:top w:w="35" w:type="dxa"/>
              <w:start w:w="45" w:type="dxa"/>
              <w:bottom w:w="35" w:type="dxa"/>
              <w:end w:w="45" w:type="dxa"/>
            </w:tcMar>
          </w:tcPr>
          <w:p>
            <w:r>
              <w:rPr>
                <w:rFonts w:ascii="Aptos" w:hAnsi="Aptos" w:eastAsia="Aptos"/>
                <w:b/>
                <w:sz w:val="14"/>
              </w:rPr>
              <w:t>OD-020</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Rule distribution / configuration drift mechanics</w:t>
            </w:r>
          </w:p>
        </w:tc>
        <w:tc>
          <w:tcPr>
            <w:tcW w:type="dxa" w:w="2033"/>
            <w:tcMar>
              <w:top w:w="35" w:type="dxa"/>
              <w:start w:w="45" w:type="dxa"/>
              <w:bottom w:w="35" w:type="dxa"/>
              <w:end w:w="45" w:type="dxa"/>
            </w:tcMar>
          </w:tcPr>
          <w:p>
            <w:r>
              <w:rPr>
                <w:rFonts w:ascii="Aptos" w:hAnsi="Aptos" w:eastAsia="Aptos"/>
                <w:b w:val="0"/>
                <w:sz w:val="14"/>
              </w:rPr>
              <w:t>25,58</w:t>
            </w:r>
          </w:p>
        </w:tc>
        <w:tc>
          <w:tcPr>
            <w:tcW w:type="dxa" w:w="2033"/>
            <w:tcMar>
              <w:top w:w="35" w:type="dxa"/>
              <w:start w:w="45" w:type="dxa"/>
              <w:bottom w:w="35" w:type="dxa"/>
              <w:end w:w="45" w:type="dxa"/>
            </w:tcMar>
          </w:tcPr>
          <w:p>
            <w:r>
              <w:rPr>
                <w:rFonts w:ascii="Aptos" w:hAnsi="Aptos" w:eastAsia="Aptos"/>
                <w:b w:val="0"/>
                <w:sz w:val="14"/>
              </w:rPr>
              <w:t>Confirm delivery/application acknowledgement, retry/offline reconciliation, hashes/versioning and drift detection.</w:t>
            </w:r>
          </w:p>
        </w:tc>
      </w:tr>
      <w:tr>
        <w:tc>
          <w:tcPr>
            <w:tcW w:type="dxa" w:w="2033"/>
            <w:tcMar>
              <w:top w:w="35" w:type="dxa"/>
              <w:start w:w="45" w:type="dxa"/>
              <w:bottom w:w="35" w:type="dxa"/>
              <w:end w:w="45" w:type="dxa"/>
            </w:tcMar>
          </w:tcPr>
          <w:p>
            <w:r>
              <w:rPr>
                <w:rFonts w:ascii="Aptos" w:hAnsi="Aptos" w:eastAsia="Aptos"/>
                <w:b/>
                <w:sz w:val="14"/>
              </w:rPr>
              <w:t>OD-021</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Alert clear / hysteresis / re-arm / anti-flapping</w:t>
            </w:r>
          </w:p>
        </w:tc>
        <w:tc>
          <w:tcPr>
            <w:tcW w:type="dxa" w:w="2033"/>
            <w:tcMar>
              <w:top w:w="35" w:type="dxa"/>
              <w:start w:w="45" w:type="dxa"/>
              <w:bottom w:w="35" w:type="dxa"/>
              <w:end w:w="45" w:type="dxa"/>
            </w:tcMar>
          </w:tcPr>
          <w:p>
            <w:r>
              <w:rPr>
                <w:rFonts w:ascii="Aptos" w:hAnsi="Aptos" w:eastAsia="Aptos"/>
                <w:b w:val="0"/>
                <w:sz w:val="14"/>
              </w:rPr>
              <w:t>28,29,32</w:t>
            </w:r>
          </w:p>
        </w:tc>
        <w:tc>
          <w:tcPr>
            <w:tcW w:type="dxa" w:w="2033"/>
            <w:tcMar>
              <w:top w:w="35" w:type="dxa"/>
              <w:start w:w="45" w:type="dxa"/>
              <w:bottom w:w="35" w:type="dxa"/>
              <w:end w:w="45" w:type="dxa"/>
            </w:tcMar>
          </w:tcPr>
          <w:p>
            <w:r>
              <w:rPr>
                <w:rFonts w:ascii="Aptos" w:hAnsi="Aptos" w:eastAsia="Aptos"/>
                <w:b w:val="0"/>
                <w:sz w:val="14"/>
              </w:rPr>
              <w:t>Confirm clear-report delay, hysteresis, re-arm timing and anti-flapping mechanics.</w:t>
            </w:r>
          </w:p>
        </w:tc>
      </w:tr>
      <w:tr>
        <w:tc>
          <w:tcPr>
            <w:tcW w:type="dxa" w:w="2033"/>
            <w:tcMar>
              <w:top w:w="35" w:type="dxa"/>
              <w:start w:w="45" w:type="dxa"/>
              <w:bottom w:w="35" w:type="dxa"/>
              <w:end w:w="45" w:type="dxa"/>
            </w:tcMar>
          </w:tcPr>
          <w:p>
            <w:r>
              <w:rPr>
                <w:rFonts w:ascii="Aptos" w:hAnsi="Aptos" w:eastAsia="Aptos"/>
                <w:b/>
                <w:sz w:val="14"/>
              </w:rPr>
              <w:t>OD-022</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Reminder behavior while active alert loses communication</w:t>
            </w:r>
          </w:p>
        </w:tc>
        <w:tc>
          <w:tcPr>
            <w:tcW w:type="dxa" w:w="2033"/>
            <w:tcMar>
              <w:top w:w="35" w:type="dxa"/>
              <w:start w:w="45" w:type="dxa"/>
              <w:bottom w:w="35" w:type="dxa"/>
              <w:end w:w="45" w:type="dxa"/>
            </w:tcMar>
          </w:tcPr>
          <w:p>
            <w:r>
              <w:rPr>
                <w:rFonts w:ascii="Aptos" w:hAnsi="Aptos" w:eastAsia="Aptos"/>
                <w:b w:val="0"/>
                <w:sz w:val="14"/>
              </w:rPr>
              <w:t>30,38</w:t>
            </w:r>
          </w:p>
        </w:tc>
        <w:tc>
          <w:tcPr>
            <w:tcW w:type="dxa" w:w="2033"/>
            <w:tcMar>
              <w:top w:w="35" w:type="dxa"/>
              <w:start w:w="45" w:type="dxa"/>
              <w:bottom w:w="35" w:type="dxa"/>
              <w:end w:w="45" w:type="dxa"/>
            </w:tcMar>
          </w:tcPr>
          <w:p>
            <w:r>
              <w:rPr>
                <w:rFonts w:ascii="Aptos" w:hAnsi="Aptos" w:eastAsia="Aptos"/>
                <w:b w:val="0"/>
                <w:sz w:val="14"/>
              </w:rPr>
              <w:t>Determine reminder behavior during communication loss without changing underlying condition state.</w:t>
            </w:r>
          </w:p>
        </w:tc>
      </w:tr>
      <w:tr>
        <w:tc>
          <w:tcPr>
            <w:tcW w:type="dxa" w:w="2033"/>
            <w:tcMar>
              <w:top w:w="35" w:type="dxa"/>
              <w:start w:w="45" w:type="dxa"/>
              <w:bottom w:w="35" w:type="dxa"/>
              <w:end w:w="45" w:type="dxa"/>
            </w:tcMar>
          </w:tcPr>
          <w:p>
            <w:r>
              <w:rPr>
                <w:rFonts w:ascii="Aptos" w:hAnsi="Aptos" w:eastAsia="Aptos"/>
                <w:b/>
                <w:sz w:val="14"/>
              </w:rPr>
              <w:t>OD-023</w:t>
            </w:r>
          </w:p>
        </w:tc>
        <w:tc>
          <w:tcPr>
            <w:tcW w:type="dxa" w:w="2033"/>
            <w:tcMar>
              <w:top w:w="35" w:type="dxa"/>
              <w:start w:w="45" w:type="dxa"/>
              <w:bottom w:w="35" w:type="dxa"/>
              <w:end w:w="45" w:type="dxa"/>
            </w:tcMar>
            <w:shd w:fill="FFF2CC"/>
          </w:tcPr>
          <w:p>
            <w:r>
              <w:rPr>
                <w:rFonts w:ascii="Aptos" w:hAnsi="Aptos" w:eastAsia="Aptos"/>
                <w:b w:val="0"/>
                <w:sz w:val="14"/>
              </w:rPr>
              <w:t>WIP — PRODUCT / DEVELOPER</w:t>
            </w:r>
          </w:p>
        </w:tc>
        <w:tc>
          <w:tcPr>
            <w:tcW w:type="dxa" w:w="2033"/>
            <w:tcMar>
              <w:top w:w="35" w:type="dxa"/>
              <w:start w:w="45" w:type="dxa"/>
              <w:bottom w:w="35" w:type="dxa"/>
              <w:end w:w="45" w:type="dxa"/>
            </w:tcMar>
          </w:tcPr>
          <w:p>
            <w:r>
              <w:rPr>
                <w:rFonts w:ascii="Aptos" w:hAnsi="Aptos" w:eastAsia="Aptos"/>
                <w:b w:val="0"/>
                <w:sz w:val="14"/>
              </w:rPr>
              <w:t>Alert severity labels / standard</w:t>
            </w:r>
          </w:p>
        </w:tc>
        <w:tc>
          <w:tcPr>
            <w:tcW w:type="dxa" w:w="2033"/>
            <w:tcMar>
              <w:top w:w="35" w:type="dxa"/>
              <w:start w:w="45" w:type="dxa"/>
              <w:bottom w:w="35" w:type="dxa"/>
              <w:end w:w="45" w:type="dxa"/>
            </w:tcMar>
          </w:tcPr>
          <w:p>
            <w:r>
              <w:rPr>
                <w:rFonts w:ascii="Aptos" w:hAnsi="Aptos" w:eastAsia="Aptos"/>
                <w:b w:val="0"/>
                <w:sz w:val="14"/>
              </w:rPr>
              <w:t>31</w:t>
            </w:r>
          </w:p>
        </w:tc>
        <w:tc>
          <w:tcPr>
            <w:tcW w:type="dxa" w:w="2033"/>
            <w:tcMar>
              <w:top w:w="35" w:type="dxa"/>
              <w:start w:w="45" w:type="dxa"/>
              <w:bottom w:w="35" w:type="dxa"/>
              <w:end w:w="45" w:type="dxa"/>
            </w:tcMar>
          </w:tcPr>
          <w:p>
            <w:r>
              <w:rPr>
                <w:rFonts w:ascii="Aptos" w:hAnsi="Aptos" w:eastAsia="Aptos"/>
                <w:b w:val="0"/>
                <w:sz w:val="14"/>
              </w:rPr>
              <w:t>Finalize user-facing severity labels/taxonomy; 24/7 safety policy no longer depends on a label named Critical.</w:t>
            </w:r>
          </w:p>
        </w:tc>
      </w:tr>
      <w:tr>
        <w:tc>
          <w:tcPr>
            <w:tcW w:type="dxa" w:w="2033"/>
            <w:tcMar>
              <w:top w:w="35" w:type="dxa"/>
              <w:start w:w="45" w:type="dxa"/>
              <w:bottom w:w="35" w:type="dxa"/>
              <w:end w:w="45" w:type="dxa"/>
            </w:tcMar>
          </w:tcPr>
          <w:p>
            <w:r>
              <w:rPr>
                <w:rFonts w:ascii="Aptos" w:hAnsi="Aptos" w:eastAsia="Aptos"/>
                <w:b/>
                <w:sz w:val="14"/>
              </w:rPr>
              <w:t>OD-024</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Communication-loss trigger / clear / severity / hysteresis</w:t>
            </w:r>
          </w:p>
        </w:tc>
        <w:tc>
          <w:tcPr>
            <w:tcW w:type="dxa" w:w="2033"/>
            <w:tcMar>
              <w:top w:w="35" w:type="dxa"/>
              <w:start w:w="45" w:type="dxa"/>
              <w:bottom w:w="35" w:type="dxa"/>
              <w:end w:w="45" w:type="dxa"/>
            </w:tcMar>
          </w:tcPr>
          <w:p>
            <w:r>
              <w:rPr>
                <w:rFonts w:ascii="Aptos" w:hAnsi="Aptos" w:eastAsia="Aptos"/>
                <w:b w:val="0"/>
                <w:sz w:val="14"/>
              </w:rPr>
              <w:t>33</w:t>
            </w:r>
          </w:p>
        </w:tc>
        <w:tc>
          <w:tcPr>
            <w:tcW w:type="dxa" w:w="2033"/>
            <w:tcMar>
              <w:top w:w="35" w:type="dxa"/>
              <w:start w:w="45" w:type="dxa"/>
              <w:bottom w:w="35" w:type="dxa"/>
              <w:end w:w="45" w:type="dxa"/>
            </w:tcMar>
          </w:tcPr>
          <w:p>
            <w:r>
              <w:rPr>
                <w:rFonts w:ascii="Aptos" w:hAnsi="Aptos" w:eastAsia="Aptos"/>
                <w:b w:val="0"/>
                <w:sz w:val="14"/>
              </w:rPr>
              <w:t>Define link-specific trigger delay, clear criteria, severity, eligibility and hysteresis.</w:t>
            </w:r>
          </w:p>
        </w:tc>
      </w:tr>
      <w:tr>
        <w:tc>
          <w:tcPr>
            <w:tcW w:type="dxa" w:w="2033"/>
            <w:tcMar>
              <w:top w:w="35" w:type="dxa"/>
              <w:start w:w="45" w:type="dxa"/>
              <w:bottom w:w="35" w:type="dxa"/>
              <w:end w:w="45" w:type="dxa"/>
            </w:tcMar>
          </w:tcPr>
          <w:p>
            <w:r>
              <w:rPr>
                <w:rFonts w:ascii="Aptos" w:hAnsi="Aptos" w:eastAsia="Aptos"/>
                <w:b/>
                <w:sz w:val="14"/>
              </w:rPr>
              <w:t>OD-025</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Multi-user alerts / notifications / acknowledgement</w:t>
            </w:r>
          </w:p>
        </w:tc>
        <w:tc>
          <w:tcPr>
            <w:tcW w:type="dxa" w:w="2033"/>
            <w:tcMar>
              <w:top w:w="35" w:type="dxa"/>
              <w:start w:w="45" w:type="dxa"/>
              <w:bottom w:w="35" w:type="dxa"/>
              <w:end w:w="45" w:type="dxa"/>
            </w:tcMar>
          </w:tcPr>
          <w:p>
            <w:r>
              <w:rPr>
                <w:rFonts w:ascii="Aptos" w:hAnsi="Aptos" w:eastAsia="Aptos"/>
                <w:b w:val="0"/>
                <w:sz w:val="14"/>
              </w:rPr>
              <w:t>35,38,39</w:t>
            </w:r>
          </w:p>
        </w:tc>
        <w:tc>
          <w:tcPr>
            <w:tcW w:type="dxa" w:w="2033"/>
            <w:tcMar>
              <w:top w:w="35" w:type="dxa"/>
              <w:start w:w="45" w:type="dxa"/>
              <w:bottom w:w="35" w:type="dxa"/>
              <w:end w:w="45" w:type="dxa"/>
            </w:tcMar>
          </w:tcPr>
          <w:p>
            <w:r>
              <w:rPr>
                <w:rFonts w:ascii="Aptos" w:hAnsi="Aptos" w:eastAsia="Aptos"/>
                <w:b w:val="0"/>
                <w:sz w:val="14"/>
              </w:rPr>
              <w:t>Focused review of secondary-user delivery, multi-phone behavior, reminders, snooze and acknowledgement. Do not repurpose this OD for AlertEvent UUID/dedup mechanics.</w:t>
            </w:r>
          </w:p>
        </w:tc>
      </w:tr>
      <w:tr>
        <w:tc>
          <w:tcPr>
            <w:tcW w:type="dxa" w:w="2033"/>
            <w:tcMar>
              <w:top w:w="35" w:type="dxa"/>
              <w:start w:w="45" w:type="dxa"/>
              <w:bottom w:w="35" w:type="dxa"/>
              <w:end w:w="45" w:type="dxa"/>
            </w:tcMar>
          </w:tcPr>
          <w:p>
            <w:r>
              <w:rPr>
                <w:rFonts w:ascii="Aptos" w:hAnsi="Aptos" w:eastAsia="Aptos"/>
                <w:b/>
                <w:sz w:val="14"/>
              </w:rPr>
              <w:t>OD-026</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Notification channel expansion / delivery evidence</w:t>
            </w:r>
          </w:p>
        </w:tc>
        <w:tc>
          <w:tcPr>
            <w:tcW w:type="dxa" w:w="2033"/>
            <w:tcMar>
              <w:top w:w="35" w:type="dxa"/>
              <w:start w:w="45" w:type="dxa"/>
              <w:bottom w:w="35" w:type="dxa"/>
              <w:end w:w="45" w:type="dxa"/>
            </w:tcMar>
          </w:tcPr>
          <w:p>
            <w:r>
              <w:rPr>
                <w:rFonts w:ascii="Aptos" w:hAnsi="Aptos" w:eastAsia="Aptos"/>
                <w:b w:val="0"/>
                <w:sz w:val="14"/>
              </w:rPr>
              <w:t>36,37</w:t>
            </w:r>
          </w:p>
        </w:tc>
        <w:tc>
          <w:tcPr>
            <w:tcW w:type="dxa" w:w="2033"/>
            <w:tcMar>
              <w:top w:w="35" w:type="dxa"/>
              <w:start w:w="45" w:type="dxa"/>
              <w:bottom w:w="35" w:type="dxa"/>
              <w:end w:w="45" w:type="dxa"/>
            </w:tcMar>
          </w:tcPr>
          <w:p>
            <w:r>
              <w:rPr>
                <w:rFonts w:ascii="Aptos" w:hAnsi="Aptos" w:eastAsia="Aptos"/>
                <w:b w:val="0"/>
                <w:sz w:val="14"/>
              </w:rPr>
              <w:t>Define SMS/email implementation, verified contact data/consent, retries/provider failures and provable delivery states.</w:t>
            </w:r>
          </w:p>
        </w:tc>
      </w:tr>
      <w:tr>
        <w:tc>
          <w:tcPr>
            <w:tcW w:type="dxa" w:w="2033"/>
            <w:tcMar>
              <w:top w:w="35" w:type="dxa"/>
              <w:start w:w="45" w:type="dxa"/>
              <w:bottom w:w="35" w:type="dxa"/>
              <w:end w:w="45" w:type="dxa"/>
            </w:tcMar>
          </w:tcPr>
          <w:p>
            <w:r>
              <w:rPr>
                <w:rFonts w:ascii="Aptos" w:hAnsi="Aptos" w:eastAsia="Aptos"/>
                <w:b/>
                <w:sz w:val="14"/>
              </w:rPr>
              <w:t>OD-027</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Technical duplicate-notification storm safeguard</w:t>
            </w:r>
          </w:p>
        </w:tc>
        <w:tc>
          <w:tcPr>
            <w:tcW w:type="dxa" w:w="2033"/>
            <w:tcMar>
              <w:top w:w="35" w:type="dxa"/>
              <w:start w:w="45" w:type="dxa"/>
              <w:bottom w:w="35" w:type="dxa"/>
              <w:end w:w="45" w:type="dxa"/>
            </w:tcMar>
          </w:tcPr>
          <w:p>
            <w:r>
              <w:rPr>
                <w:rFonts w:ascii="Aptos" w:hAnsi="Aptos" w:eastAsia="Aptos"/>
                <w:b w:val="0"/>
                <w:sz w:val="14"/>
              </w:rPr>
              <w:t>43</w:t>
            </w:r>
          </w:p>
        </w:tc>
        <w:tc>
          <w:tcPr>
            <w:tcW w:type="dxa" w:w="2033"/>
            <w:tcMar>
              <w:top w:w="35" w:type="dxa"/>
              <w:start w:w="45" w:type="dxa"/>
              <w:bottom w:w="35" w:type="dxa"/>
              <w:end w:w="45" w:type="dxa"/>
            </w:tcMar>
          </w:tcPr>
          <w:p>
            <w:r>
              <w:rPr>
                <w:rFonts w:ascii="Aptos" w:hAnsi="Aptos" w:eastAsia="Aptos"/>
                <w:b w:val="0"/>
                <w:sz w:val="14"/>
              </w:rPr>
              <w:t>Confirm safeguard without suppressing legitimate new AlertEvents.</w:t>
            </w:r>
          </w:p>
        </w:tc>
      </w:tr>
      <w:tr>
        <w:tc>
          <w:tcPr>
            <w:tcW w:type="dxa" w:w="2033"/>
            <w:tcMar>
              <w:top w:w="35" w:type="dxa"/>
              <w:start w:w="45" w:type="dxa"/>
              <w:bottom w:w="35" w:type="dxa"/>
              <w:end w:w="45" w:type="dxa"/>
            </w:tcMar>
          </w:tcPr>
          <w:p>
            <w:r>
              <w:rPr>
                <w:rFonts w:ascii="Aptos" w:hAnsi="Aptos" w:eastAsia="Aptos"/>
                <w:b/>
                <w:sz w:val="14"/>
              </w:rPr>
              <w:t>OD-028</w:t>
            </w:r>
          </w:p>
        </w:tc>
        <w:tc>
          <w:tcPr>
            <w:tcW w:type="dxa" w:w="2033"/>
            <w:tcMar>
              <w:top w:w="35" w:type="dxa"/>
              <w:start w:w="45" w:type="dxa"/>
              <w:bottom w:w="35" w:type="dxa"/>
              <w:end w:w="45" w:type="dxa"/>
            </w:tcMar>
            <w:shd w:fill="FFF2CC"/>
          </w:tcPr>
          <w:p>
            <w:r>
              <w:rPr>
                <w:rFonts w:ascii="Aptos" w:hAnsi="Aptos" w:eastAsia="Aptos"/>
                <w:b w:val="0"/>
                <w:sz w:val="14"/>
              </w:rPr>
              <w:t>WIP — PRODUCT / DEVELOPER</w:t>
            </w:r>
          </w:p>
        </w:tc>
        <w:tc>
          <w:tcPr>
            <w:tcW w:type="dxa" w:w="2033"/>
            <w:tcMar>
              <w:top w:w="35" w:type="dxa"/>
              <w:start w:w="45" w:type="dxa"/>
              <w:bottom w:w="35" w:type="dxa"/>
              <w:end w:w="45" w:type="dxa"/>
            </w:tcMar>
          </w:tcPr>
          <w:p>
            <w:r>
              <w:rPr>
                <w:rFonts w:ascii="Aptos" w:hAnsi="Aptos" w:eastAsia="Aptos"/>
                <w:b w:val="0"/>
                <w:sz w:val="14"/>
              </w:rPr>
              <w:t>Per-unit health labels / precedence presentation</w:t>
            </w:r>
          </w:p>
        </w:tc>
        <w:tc>
          <w:tcPr>
            <w:tcW w:type="dxa" w:w="2033"/>
            <w:tcMar>
              <w:top w:w="35" w:type="dxa"/>
              <w:start w:w="45" w:type="dxa"/>
              <w:bottom w:w="35" w:type="dxa"/>
              <w:end w:w="45" w:type="dxa"/>
            </w:tcMar>
          </w:tcPr>
          <w:p>
            <w:r>
              <w:rPr>
                <w:rFonts w:ascii="Aptos" w:hAnsi="Aptos" w:eastAsia="Aptos"/>
                <w:b w:val="0"/>
                <w:sz w:val="14"/>
              </w:rPr>
              <w:t>44</w:t>
            </w:r>
          </w:p>
        </w:tc>
        <w:tc>
          <w:tcPr>
            <w:tcW w:type="dxa" w:w="2033"/>
            <w:tcMar>
              <w:top w:w="35" w:type="dxa"/>
              <w:start w:w="45" w:type="dxa"/>
              <w:bottom w:w="35" w:type="dxa"/>
              <w:end w:w="45" w:type="dxa"/>
            </w:tcMar>
          </w:tcPr>
          <w:p>
            <w:r>
              <w:rPr>
                <w:rFonts w:ascii="Aptos" w:hAnsi="Aptos" w:eastAsia="Aptos"/>
                <w:b w:val="0"/>
                <w:sz w:val="14"/>
              </w:rPr>
              <w:t>Finalize user-facing labels and exact precedence while preserving defined semantics.</w:t>
            </w:r>
          </w:p>
        </w:tc>
      </w:tr>
      <w:tr>
        <w:tc>
          <w:tcPr>
            <w:tcW w:type="dxa" w:w="2033"/>
            <w:tcMar>
              <w:top w:w="35" w:type="dxa"/>
              <w:start w:w="45" w:type="dxa"/>
              <w:bottom w:w="35" w:type="dxa"/>
              <w:end w:w="45" w:type="dxa"/>
            </w:tcMar>
          </w:tcPr>
          <w:p>
            <w:r>
              <w:rPr>
                <w:rFonts w:ascii="Aptos" w:hAnsi="Aptos" w:eastAsia="Aptos"/>
                <w:b/>
                <w:sz w:val="14"/>
              </w:rPr>
              <w:t>OD-029</w:t>
            </w:r>
          </w:p>
        </w:tc>
        <w:tc>
          <w:tcPr>
            <w:tcW w:type="dxa" w:w="2033"/>
            <w:tcMar>
              <w:top w:w="35" w:type="dxa"/>
              <w:start w:w="45" w:type="dxa"/>
              <w:bottom w:w="35" w:type="dxa"/>
              <w:end w:w="45" w:type="dxa"/>
            </w:tcMar>
            <w:shd w:fill="FFF2CC"/>
          </w:tcPr>
          <w:p>
            <w:r>
              <w:rPr>
                <w:rFonts w:ascii="Aptos" w:hAnsi="Aptos" w:eastAsia="Aptos"/>
                <w:b w:val="0"/>
                <w:sz w:val="14"/>
              </w:rPr>
              <w:t>WIP — PRODUCT / DEVELOPER</w:t>
            </w:r>
          </w:p>
        </w:tc>
        <w:tc>
          <w:tcPr>
            <w:tcW w:type="dxa" w:w="2033"/>
            <w:tcMar>
              <w:top w:w="35" w:type="dxa"/>
              <w:start w:w="45" w:type="dxa"/>
              <w:bottom w:w="35" w:type="dxa"/>
              <w:end w:w="45" w:type="dxa"/>
            </w:tcMar>
          </w:tcPr>
          <w:p>
            <w:r>
              <w:rPr>
                <w:rFonts w:ascii="Aptos" w:hAnsi="Aptos" w:eastAsia="Aptos"/>
                <w:b w:val="0"/>
                <w:sz w:val="14"/>
              </w:rPr>
              <w:t>Fleet-health population inclusion / exclusion</w:t>
            </w:r>
          </w:p>
        </w:tc>
        <w:tc>
          <w:tcPr>
            <w:tcW w:type="dxa" w:w="2033"/>
            <w:tcMar>
              <w:top w:w="35" w:type="dxa"/>
              <w:start w:w="45" w:type="dxa"/>
              <w:bottom w:w="35" w:type="dxa"/>
              <w:end w:w="45" w:type="dxa"/>
            </w:tcMar>
          </w:tcPr>
          <w:p>
            <w:r>
              <w:rPr>
                <w:rFonts w:ascii="Aptos" w:hAnsi="Aptos" w:eastAsia="Aptos"/>
                <w:b w:val="0"/>
                <w:sz w:val="14"/>
              </w:rPr>
              <w:t>45</w:t>
            </w:r>
          </w:p>
        </w:tc>
        <w:tc>
          <w:tcPr>
            <w:tcW w:type="dxa" w:w="2033"/>
            <w:tcMar>
              <w:top w:w="35" w:type="dxa"/>
              <w:start w:w="45" w:type="dxa"/>
              <w:bottom w:w="35" w:type="dxa"/>
              <w:end w:w="45" w:type="dxa"/>
            </w:tcMar>
          </w:tcPr>
          <w:p>
            <w:r>
              <w:rPr>
                <w:rFonts w:ascii="Aptos" w:hAnsi="Aptos" w:eastAsia="Aptos"/>
                <w:b w:val="0"/>
                <w:sz w:val="14"/>
              </w:rPr>
              <w:t>Finalize retired/deactivated/non-operational VIN denominator treatment; lifecycle dimensions are now separately defined.</w:t>
            </w:r>
          </w:p>
        </w:tc>
      </w:tr>
      <w:tr>
        <w:tc>
          <w:tcPr>
            <w:tcW w:type="dxa" w:w="2033"/>
            <w:tcMar>
              <w:top w:w="35" w:type="dxa"/>
              <w:start w:w="45" w:type="dxa"/>
              <w:bottom w:w="35" w:type="dxa"/>
              <w:end w:w="45" w:type="dxa"/>
            </w:tcMar>
          </w:tcPr>
          <w:p>
            <w:r>
              <w:rPr>
                <w:rFonts w:ascii="Aptos" w:hAnsi="Aptos" w:eastAsia="Aptos"/>
                <w:b/>
                <w:sz w:val="14"/>
              </w:rPr>
              <w:t>OD-030</w:t>
            </w:r>
          </w:p>
        </w:tc>
        <w:tc>
          <w:tcPr>
            <w:tcW w:type="dxa" w:w="2033"/>
            <w:tcMar>
              <w:top w:w="35" w:type="dxa"/>
              <w:start w:w="45" w:type="dxa"/>
              <w:bottom w:w="35" w:type="dxa"/>
              <w:end w:w="45" w:type="dxa"/>
            </w:tcMar>
            <w:shd w:fill="E7E6E6"/>
          </w:tcPr>
          <w:p>
            <w:r>
              <w:rPr>
                <w:rFonts w:ascii="Aptos" w:hAnsi="Aptos" w:eastAsia="Aptos"/>
                <w:b w:val="0"/>
                <w:sz w:val="14"/>
              </w:rPr>
              <w:t>DEFERRED / FUTURE PHASE</w:t>
            </w:r>
          </w:p>
        </w:tc>
        <w:tc>
          <w:tcPr>
            <w:tcW w:type="dxa" w:w="2033"/>
            <w:tcMar>
              <w:top w:w="35" w:type="dxa"/>
              <w:start w:w="45" w:type="dxa"/>
              <w:bottom w:w="35" w:type="dxa"/>
              <w:end w:w="45" w:type="dxa"/>
            </w:tcMar>
          </w:tcPr>
          <w:p>
            <w:r>
              <w:rPr>
                <w:rFonts w:ascii="Aptos" w:hAnsi="Aptos" w:eastAsia="Aptos"/>
                <w:b w:val="0"/>
                <w:sz w:val="14"/>
              </w:rPr>
              <w:t>Advanced analytics and AI product capability</w:t>
            </w:r>
          </w:p>
        </w:tc>
        <w:tc>
          <w:tcPr>
            <w:tcW w:type="dxa" w:w="2033"/>
            <w:tcMar>
              <w:top w:w="35" w:type="dxa"/>
              <w:start w:w="45" w:type="dxa"/>
              <w:bottom w:w="35" w:type="dxa"/>
              <w:end w:w="45" w:type="dxa"/>
            </w:tcMar>
          </w:tcPr>
          <w:p>
            <w:r>
              <w:rPr>
                <w:rFonts w:ascii="Aptos" w:hAnsi="Aptos" w:eastAsia="Aptos"/>
                <w:b w:val="0"/>
                <w:sz w:val="14"/>
              </w:rPr>
              <w:t>50,51</w:t>
            </w:r>
          </w:p>
        </w:tc>
        <w:tc>
          <w:tcPr>
            <w:tcW w:type="dxa" w:w="2033"/>
            <w:tcMar>
              <w:top w:w="35" w:type="dxa"/>
              <w:start w:w="45" w:type="dxa"/>
              <w:bottom w:w="35" w:type="dxa"/>
              <w:end w:w="45" w:type="dxa"/>
            </w:tcMar>
          </w:tcPr>
          <w:p>
            <w:r>
              <w:rPr>
                <w:rFonts w:ascii="Aptos" w:hAnsi="Aptos" w:eastAsia="Aptos"/>
                <w:b w:val="0"/>
                <w:sz w:val="14"/>
              </w:rPr>
              <w:t>Current phase is display/history/export; define AI analytics UX, validation and governance when prioritized.</w:t>
            </w:r>
          </w:p>
        </w:tc>
      </w:tr>
      <w:tr>
        <w:tc>
          <w:tcPr>
            <w:tcW w:type="dxa" w:w="2033"/>
            <w:tcMar>
              <w:top w:w="35" w:type="dxa"/>
              <w:start w:w="45" w:type="dxa"/>
              <w:bottom w:w="35" w:type="dxa"/>
              <w:end w:w="45" w:type="dxa"/>
            </w:tcMar>
          </w:tcPr>
          <w:p>
            <w:r>
              <w:rPr>
                <w:rFonts w:ascii="Aptos" w:hAnsi="Aptos" w:eastAsia="Aptos"/>
                <w:b/>
                <w:sz w:val="14"/>
              </w:rPr>
              <w:t>OD-031</w:t>
            </w:r>
          </w:p>
        </w:tc>
        <w:tc>
          <w:tcPr>
            <w:tcW w:type="dxa" w:w="2033"/>
            <w:tcMar>
              <w:top w:w="35" w:type="dxa"/>
              <w:start w:w="45" w:type="dxa"/>
              <w:bottom w:w="35" w:type="dxa"/>
              <w:end w:w="45" w:type="dxa"/>
            </w:tcMar>
            <w:shd w:fill="FFF2CC"/>
          </w:tcPr>
          <w:p>
            <w:r>
              <w:rPr>
                <w:rFonts w:ascii="Aptos" w:hAnsi="Aptos" w:eastAsia="Aptos"/>
                <w:b w:val="0"/>
                <w:sz w:val="14"/>
              </w:rPr>
              <w:t>WIP — PRODUCT / DEVELOPER</w:t>
            </w:r>
          </w:p>
        </w:tc>
        <w:tc>
          <w:tcPr>
            <w:tcW w:type="dxa" w:w="2033"/>
            <w:tcMar>
              <w:top w:w="35" w:type="dxa"/>
              <w:start w:w="45" w:type="dxa"/>
              <w:bottom w:w="35" w:type="dxa"/>
              <w:end w:w="45" w:type="dxa"/>
            </w:tcMar>
          </w:tcPr>
          <w:p>
            <w:r>
              <w:rPr>
                <w:rFonts w:ascii="Aptos" w:hAnsi="Aptos" w:eastAsia="Aptos"/>
                <w:b w:val="0"/>
                <w:sz w:val="14"/>
              </w:rPr>
              <w:t>Subscription / entitlement architecture details</w:t>
            </w:r>
          </w:p>
        </w:tc>
        <w:tc>
          <w:tcPr>
            <w:tcW w:type="dxa" w:w="2033"/>
            <w:tcMar>
              <w:top w:w="35" w:type="dxa"/>
              <w:start w:w="45" w:type="dxa"/>
              <w:bottom w:w="35" w:type="dxa"/>
              <w:end w:w="45" w:type="dxa"/>
            </w:tcMar>
          </w:tcPr>
          <w:p>
            <w:r>
              <w:rPr>
                <w:rFonts w:ascii="Aptos" w:hAnsi="Aptos" w:eastAsia="Aptos"/>
                <w:b w:val="0"/>
                <w:sz w:val="14"/>
              </w:rPr>
              <w:t>52,54,56</w:t>
            </w:r>
          </w:p>
        </w:tc>
        <w:tc>
          <w:tcPr>
            <w:tcW w:type="dxa" w:w="2033"/>
            <w:tcMar>
              <w:top w:w="35" w:type="dxa"/>
              <w:start w:w="45" w:type="dxa"/>
              <w:bottom w:w="35" w:type="dxa"/>
              <w:end w:w="45" w:type="dxa"/>
            </w:tcMar>
          </w:tcPr>
          <w:p>
            <w:r>
              <w:rPr>
                <w:rFonts w:ascii="Aptos" w:hAnsi="Aptos" w:eastAsia="Aptos"/>
                <w:b w:val="0"/>
                <w:sz w:val="14"/>
              </w:rPr>
              <w:t>Define store/billing integration, renewal/lapse/grace/refund, notifications, plan transitions and entitlement sync. Included-term start/config is now defined.</w:t>
            </w:r>
          </w:p>
        </w:tc>
      </w:tr>
      <w:tr>
        <w:tc>
          <w:tcPr>
            <w:tcW w:type="dxa" w:w="2033"/>
            <w:tcMar>
              <w:top w:w="35" w:type="dxa"/>
              <w:start w:w="45" w:type="dxa"/>
              <w:bottom w:w="35" w:type="dxa"/>
              <w:end w:w="45" w:type="dxa"/>
            </w:tcMar>
          </w:tcPr>
          <w:p>
            <w:r>
              <w:rPr>
                <w:rFonts w:ascii="Aptos" w:hAnsi="Aptos" w:eastAsia="Aptos"/>
                <w:b/>
                <w:sz w:val="14"/>
              </w:rPr>
              <w:t>OD-032</w:t>
            </w:r>
          </w:p>
        </w:tc>
        <w:tc>
          <w:tcPr>
            <w:tcW w:type="dxa" w:w="2033"/>
            <w:tcMar>
              <w:top w:w="35" w:type="dxa"/>
              <w:start w:w="45" w:type="dxa"/>
              <w:bottom w:w="35" w:type="dxa"/>
              <w:end w:w="45" w:type="dxa"/>
            </w:tcMar>
            <w:shd w:fill="FFF2CC"/>
          </w:tcPr>
          <w:p>
            <w:r>
              <w:rPr>
                <w:rFonts w:ascii="Aptos" w:hAnsi="Aptos" w:eastAsia="Aptos"/>
                <w:b w:val="0"/>
                <w:sz w:val="14"/>
              </w:rPr>
              <w:t>WIP — PRODUCT / DEVELOPER</w:t>
            </w:r>
          </w:p>
        </w:tc>
        <w:tc>
          <w:tcPr>
            <w:tcW w:type="dxa" w:w="2033"/>
            <w:tcMar>
              <w:top w:w="35" w:type="dxa"/>
              <w:start w:w="45" w:type="dxa"/>
              <w:bottom w:w="35" w:type="dxa"/>
              <w:end w:w="45" w:type="dxa"/>
            </w:tcMar>
          </w:tcPr>
          <w:p>
            <w:r>
              <w:rPr>
                <w:rFonts w:ascii="Aptos" w:hAnsi="Aptos" w:eastAsia="Aptos"/>
                <w:b w:val="0"/>
                <w:sz w:val="14"/>
              </w:rPr>
              <w:t>Permanent Essentials safety-floor feature list</w:t>
            </w:r>
          </w:p>
        </w:tc>
        <w:tc>
          <w:tcPr>
            <w:tcW w:type="dxa" w:w="2033"/>
            <w:tcMar>
              <w:top w:w="35" w:type="dxa"/>
              <w:start w:w="45" w:type="dxa"/>
              <w:bottom w:w="35" w:type="dxa"/>
              <w:end w:w="45" w:type="dxa"/>
            </w:tcMar>
          </w:tcPr>
          <w:p>
            <w:r>
              <w:rPr>
                <w:rFonts w:ascii="Aptos" w:hAnsi="Aptos" w:eastAsia="Aptos"/>
                <w:b w:val="0"/>
                <w:sz w:val="14"/>
              </w:rPr>
              <w:t>55,56</w:t>
            </w:r>
          </w:p>
        </w:tc>
        <w:tc>
          <w:tcPr>
            <w:tcW w:type="dxa" w:w="2033"/>
            <w:tcMar>
              <w:top w:w="35" w:type="dxa"/>
              <w:start w:w="45" w:type="dxa"/>
              <w:bottom w:w="35" w:type="dxa"/>
              <w:end w:w="45" w:type="dxa"/>
            </w:tcMar>
          </w:tcPr>
          <w:p>
            <w:r>
              <w:rPr>
                <w:rFonts w:ascii="Aptos" w:hAnsi="Aptos" w:eastAsia="Aptos"/>
                <w:b w:val="0"/>
                <w:sz w:val="14"/>
              </w:rPr>
              <w:t>TPMS is permanent; decide whether additional Gateway safety functions belong to Essentials.</w:t>
            </w:r>
          </w:p>
        </w:tc>
      </w:tr>
      <w:tr>
        <w:tc>
          <w:tcPr>
            <w:tcW w:type="dxa" w:w="2033"/>
            <w:tcMar>
              <w:top w:w="35" w:type="dxa"/>
              <w:start w:w="45" w:type="dxa"/>
              <w:bottom w:w="35" w:type="dxa"/>
              <w:end w:w="45" w:type="dxa"/>
            </w:tcMar>
          </w:tcPr>
          <w:p>
            <w:r>
              <w:rPr>
                <w:rFonts w:ascii="Aptos" w:hAnsi="Aptos" w:eastAsia="Aptos"/>
                <w:b/>
                <w:sz w:val="14"/>
              </w:rPr>
              <w:t>OD-033</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Flutter flavor vs server-runtime configuration boundary</w:t>
            </w:r>
          </w:p>
        </w:tc>
        <w:tc>
          <w:tcPr>
            <w:tcW w:type="dxa" w:w="2033"/>
            <w:tcMar>
              <w:top w:w="35" w:type="dxa"/>
              <w:start w:w="45" w:type="dxa"/>
              <w:bottom w:w="35" w:type="dxa"/>
              <w:end w:w="45" w:type="dxa"/>
            </w:tcMar>
          </w:tcPr>
          <w:p>
            <w:r>
              <w:rPr>
                <w:rFonts w:ascii="Aptos" w:hAnsi="Aptos" w:eastAsia="Aptos"/>
                <w:b w:val="0"/>
                <w:sz w:val="14"/>
              </w:rPr>
              <w:t>57</w:t>
            </w:r>
          </w:p>
        </w:tc>
        <w:tc>
          <w:tcPr>
            <w:tcW w:type="dxa" w:w="2033"/>
            <w:tcMar>
              <w:top w:w="35" w:type="dxa"/>
              <w:start w:w="45" w:type="dxa"/>
              <w:bottom w:w="35" w:type="dxa"/>
              <w:end w:w="45" w:type="dxa"/>
            </w:tcMar>
          </w:tcPr>
          <w:p>
            <w:r>
              <w:rPr>
                <w:rFonts w:ascii="Aptos" w:hAnsi="Aptos" w:eastAsia="Aptos"/>
                <w:b w:val="0"/>
                <w:sz w:val="14"/>
              </w:rPr>
              <w:t>Finalize build-time flavor vs dynamic server configuration responsibilities.</w:t>
            </w:r>
          </w:p>
        </w:tc>
      </w:tr>
      <w:tr>
        <w:tc>
          <w:tcPr>
            <w:tcW w:type="dxa" w:w="2033"/>
            <w:tcMar>
              <w:top w:w="35" w:type="dxa"/>
              <w:start w:w="45" w:type="dxa"/>
              <w:bottom w:w="35" w:type="dxa"/>
              <w:end w:w="45" w:type="dxa"/>
            </w:tcMar>
          </w:tcPr>
          <w:p>
            <w:r>
              <w:rPr>
                <w:rFonts w:ascii="Aptos" w:hAnsi="Aptos" w:eastAsia="Aptos"/>
                <w:b/>
                <w:sz w:val="14"/>
              </w:rPr>
              <w:t>OD-034</w:t>
            </w:r>
          </w:p>
        </w:tc>
        <w:tc>
          <w:tcPr>
            <w:tcW w:type="dxa" w:w="2033"/>
            <w:tcMar>
              <w:top w:w="35" w:type="dxa"/>
              <w:start w:w="45" w:type="dxa"/>
              <w:bottom w:w="35" w:type="dxa"/>
              <w:end w:w="45" w:type="dxa"/>
            </w:tcMar>
            <w:shd w:fill="FFF2CC"/>
          </w:tcPr>
          <w:p>
            <w:r>
              <w:rPr>
                <w:rFonts w:ascii="Aptos" w:hAnsi="Aptos" w:eastAsia="Aptos"/>
                <w:b w:val="0"/>
                <w:sz w:val="14"/>
              </w:rPr>
              <w:t>WIP — FIRMWARE / DEVELOPER</w:t>
            </w:r>
          </w:p>
        </w:tc>
        <w:tc>
          <w:tcPr>
            <w:tcW w:type="dxa" w:w="2033"/>
            <w:tcMar>
              <w:top w:w="35" w:type="dxa"/>
              <w:start w:w="45" w:type="dxa"/>
              <w:bottom w:w="35" w:type="dxa"/>
              <w:end w:w="45" w:type="dxa"/>
            </w:tcMar>
          </w:tcPr>
          <w:p>
            <w:r>
              <w:rPr>
                <w:rFonts w:ascii="Aptos" w:hAnsi="Aptos" w:eastAsia="Aptos"/>
                <w:b w:val="0"/>
                <w:sz w:val="14"/>
              </w:rPr>
              <w:t>Gateway firmware release mechanics and health gates</w:t>
            </w:r>
          </w:p>
        </w:tc>
        <w:tc>
          <w:tcPr>
            <w:tcW w:type="dxa" w:w="2033"/>
            <w:tcMar>
              <w:top w:w="35" w:type="dxa"/>
              <w:start w:w="45" w:type="dxa"/>
              <w:bottom w:w="35" w:type="dxa"/>
              <w:end w:w="45" w:type="dxa"/>
            </w:tcMar>
          </w:tcPr>
          <w:p>
            <w:r>
              <w:rPr>
                <w:rFonts w:ascii="Aptos" w:hAnsi="Aptos" w:eastAsia="Aptos"/>
                <w:b w:val="0"/>
                <w:sz w:val="14"/>
              </w:rPr>
              <w:t>59</w:t>
            </w:r>
          </w:p>
        </w:tc>
        <w:tc>
          <w:tcPr>
            <w:tcW w:type="dxa" w:w="2033"/>
            <w:tcMar>
              <w:top w:w="35" w:type="dxa"/>
              <w:start w:w="45" w:type="dxa"/>
              <w:bottom w:w="35" w:type="dxa"/>
              <w:end w:w="45" w:type="dxa"/>
            </w:tcMar>
          </w:tcPr>
          <w:p>
            <w:r>
              <w:rPr>
                <w:rFonts w:ascii="Aptos" w:hAnsi="Aptos" w:eastAsia="Aptos"/>
                <w:b w:val="0"/>
                <w:sz w:val="14"/>
              </w:rPr>
              <w:t>Current OTA scope is Gateway firmware. Define signing, release rings, rollout %, install timing, retries and halt criteria.</w:t>
            </w:r>
          </w:p>
        </w:tc>
      </w:tr>
      <w:tr>
        <w:tc>
          <w:tcPr>
            <w:tcW w:type="dxa" w:w="2033"/>
            <w:tcMar>
              <w:top w:w="35" w:type="dxa"/>
              <w:start w:w="45" w:type="dxa"/>
              <w:bottom w:w="35" w:type="dxa"/>
              <w:end w:w="45" w:type="dxa"/>
            </w:tcMar>
          </w:tcPr>
          <w:p>
            <w:r>
              <w:rPr>
                <w:rFonts w:ascii="Aptos" w:hAnsi="Aptos" w:eastAsia="Aptos"/>
                <w:b/>
                <w:sz w:val="14"/>
              </w:rPr>
              <w:t>OD-035</w:t>
            </w:r>
          </w:p>
        </w:tc>
        <w:tc>
          <w:tcPr>
            <w:tcW w:type="dxa" w:w="2033"/>
            <w:tcMar>
              <w:top w:w="35" w:type="dxa"/>
              <w:start w:w="45" w:type="dxa"/>
              <w:bottom w:w="35" w:type="dxa"/>
              <w:end w:w="45" w:type="dxa"/>
            </w:tcMar>
            <w:shd w:fill="FFF2CC"/>
          </w:tcPr>
          <w:p>
            <w:r>
              <w:rPr>
                <w:rFonts w:ascii="Aptos" w:hAnsi="Aptos" w:eastAsia="Aptos"/>
                <w:b w:val="0"/>
                <w:sz w:val="14"/>
              </w:rPr>
              <w:t>WIP — FIRMWARE / DEVELOPER</w:t>
            </w:r>
          </w:p>
        </w:tc>
        <w:tc>
          <w:tcPr>
            <w:tcW w:type="dxa" w:w="2033"/>
            <w:tcMar>
              <w:top w:w="35" w:type="dxa"/>
              <w:start w:w="45" w:type="dxa"/>
              <w:bottom w:w="35" w:type="dxa"/>
              <w:end w:w="45" w:type="dxa"/>
            </w:tcMar>
          </w:tcPr>
          <w:p>
            <w:r>
              <w:rPr>
                <w:rFonts w:ascii="Aptos" w:hAnsi="Aptos" w:eastAsia="Aptos"/>
                <w:b w:val="0"/>
                <w:sz w:val="14"/>
              </w:rPr>
              <w:t>Gateway firmware rollback mechanics</w:t>
            </w:r>
          </w:p>
        </w:tc>
        <w:tc>
          <w:tcPr>
            <w:tcW w:type="dxa" w:w="2033"/>
            <w:tcMar>
              <w:top w:w="35" w:type="dxa"/>
              <w:start w:w="45" w:type="dxa"/>
              <w:bottom w:w="35" w:type="dxa"/>
              <w:end w:w="45" w:type="dxa"/>
            </w:tcMar>
          </w:tcPr>
          <w:p>
            <w:r>
              <w:rPr>
                <w:rFonts w:ascii="Aptos" w:hAnsi="Aptos" w:eastAsia="Aptos"/>
                <w:b w:val="0"/>
                <w:sz w:val="14"/>
              </w:rPr>
              <w:t>61</w:t>
            </w:r>
          </w:p>
        </w:tc>
        <w:tc>
          <w:tcPr>
            <w:tcW w:type="dxa" w:w="2033"/>
            <w:tcMar>
              <w:top w:w="35" w:type="dxa"/>
              <w:start w:w="45" w:type="dxa"/>
              <w:bottom w:w="35" w:type="dxa"/>
              <w:end w:w="45" w:type="dxa"/>
            </w:tcMar>
          </w:tcPr>
          <w:p>
            <w:r>
              <w:rPr>
                <w:rFonts w:ascii="Aptos" w:hAnsi="Aptos" w:eastAsia="Aptos"/>
                <w:b w:val="0"/>
                <w:sz w:val="14"/>
              </w:rPr>
              <w:t>Current rollback scope is Gateway firmware. Define image storage, bootloader, compatibility, retries and failed-install recovery.</w:t>
            </w:r>
          </w:p>
        </w:tc>
      </w:tr>
      <w:tr>
        <w:tc>
          <w:tcPr>
            <w:tcW w:type="dxa" w:w="2033"/>
            <w:tcMar>
              <w:top w:w="35" w:type="dxa"/>
              <w:start w:w="45" w:type="dxa"/>
              <w:bottom w:w="35" w:type="dxa"/>
              <w:end w:w="45" w:type="dxa"/>
            </w:tcMar>
          </w:tcPr>
          <w:p>
            <w:r>
              <w:rPr>
                <w:rFonts w:ascii="Aptos" w:hAnsi="Aptos" w:eastAsia="Aptos"/>
                <w:b/>
                <w:sz w:val="14"/>
              </w:rPr>
              <w:t>OD-036</w:t>
            </w:r>
          </w:p>
        </w:tc>
        <w:tc>
          <w:tcPr>
            <w:tcW w:type="dxa" w:w="2033"/>
            <w:tcMar>
              <w:top w:w="35" w:type="dxa"/>
              <w:start w:w="45" w:type="dxa"/>
              <w:bottom w:w="35" w:type="dxa"/>
              <w:end w:w="45" w:type="dxa"/>
            </w:tcMar>
            <w:shd w:fill="FFF2CC"/>
          </w:tcPr>
          <w:p>
            <w:r>
              <w:rPr>
                <w:rFonts w:ascii="Aptos" w:hAnsi="Aptos" w:eastAsia="Aptos"/>
                <w:b w:val="0"/>
                <w:sz w:val="14"/>
              </w:rPr>
              <w:t>WIP — DEVOPS / DEVELOPER</w:t>
            </w:r>
          </w:p>
        </w:tc>
        <w:tc>
          <w:tcPr>
            <w:tcW w:type="dxa" w:w="2033"/>
            <w:tcMar>
              <w:top w:w="35" w:type="dxa"/>
              <w:start w:w="45" w:type="dxa"/>
              <w:bottom w:w="35" w:type="dxa"/>
              <w:end w:w="45" w:type="dxa"/>
            </w:tcMar>
          </w:tcPr>
          <w:p>
            <w:r>
              <w:rPr>
                <w:rFonts w:ascii="Aptos" w:hAnsi="Aptos" w:eastAsia="Aptos"/>
                <w:b w:val="0"/>
                <w:sz w:val="14"/>
              </w:rPr>
              <w:t>Infrastructure failure / disaster recovery implementation</w:t>
            </w:r>
          </w:p>
        </w:tc>
        <w:tc>
          <w:tcPr>
            <w:tcW w:type="dxa" w:w="2033"/>
            <w:tcMar>
              <w:top w:w="35" w:type="dxa"/>
              <w:start w:w="45" w:type="dxa"/>
              <w:bottom w:w="35" w:type="dxa"/>
              <w:end w:w="45" w:type="dxa"/>
            </w:tcMar>
          </w:tcPr>
          <w:p>
            <w:r>
              <w:rPr>
                <w:rFonts w:ascii="Aptos" w:hAnsi="Aptos" w:eastAsia="Aptos"/>
                <w:b w:val="0"/>
                <w:sz w:val="14"/>
              </w:rPr>
              <w:t>62</w:t>
            </w:r>
          </w:p>
        </w:tc>
        <w:tc>
          <w:tcPr>
            <w:tcW w:type="dxa" w:w="2033"/>
            <w:tcMar>
              <w:top w:w="35" w:type="dxa"/>
              <w:start w:w="45" w:type="dxa"/>
              <w:bottom w:w="35" w:type="dxa"/>
              <w:end w:w="45" w:type="dxa"/>
            </w:tcMar>
          </w:tcPr>
          <w:p>
            <w:r>
              <w:rPr>
                <w:rFonts w:ascii="Aptos" w:hAnsi="Aptos" w:eastAsia="Aptos"/>
                <w:b w:val="0"/>
                <w:sz w:val="14"/>
              </w:rPr>
              <w:t>Define provider-neutral redundancy, queues/replay, backups, RTO/RPO, failover and runbooks.</w:t>
            </w:r>
          </w:p>
        </w:tc>
      </w:tr>
      <w:tr>
        <w:tc>
          <w:tcPr>
            <w:tcW w:type="dxa" w:w="2033"/>
            <w:tcMar>
              <w:top w:w="35" w:type="dxa"/>
              <w:start w:w="45" w:type="dxa"/>
              <w:bottom w:w="35" w:type="dxa"/>
              <w:end w:w="45" w:type="dxa"/>
            </w:tcMar>
          </w:tcPr>
          <w:p>
            <w:r>
              <w:rPr>
                <w:rFonts w:ascii="Aptos" w:hAnsi="Aptos" w:eastAsia="Aptos"/>
                <w:b/>
                <w:sz w:val="14"/>
              </w:rPr>
              <w:t>OD-037</w:t>
            </w:r>
          </w:p>
        </w:tc>
        <w:tc>
          <w:tcPr>
            <w:tcW w:type="dxa" w:w="2033"/>
            <w:tcMar>
              <w:top w:w="35" w:type="dxa"/>
              <w:start w:w="45" w:type="dxa"/>
              <w:bottom w:w="35" w:type="dxa"/>
              <w:end w:w="45" w:type="dxa"/>
            </w:tcMar>
            <w:shd w:fill="FFF2CC"/>
          </w:tcPr>
          <w:p>
            <w:r>
              <w:rPr>
                <w:rFonts w:ascii="Aptos" w:hAnsi="Aptos" w:eastAsia="Aptos"/>
                <w:b w:val="0"/>
                <w:sz w:val="14"/>
              </w:rPr>
              <w:t>WIP — PRODUCT / DEVELOPER</w:t>
            </w:r>
          </w:p>
        </w:tc>
        <w:tc>
          <w:tcPr>
            <w:tcW w:type="dxa" w:w="2033"/>
            <w:tcMar>
              <w:top w:w="35" w:type="dxa"/>
              <w:start w:w="45" w:type="dxa"/>
              <w:bottom w:w="35" w:type="dxa"/>
              <w:end w:w="45" w:type="dxa"/>
            </w:tcMar>
          </w:tcPr>
          <w:p>
            <w:r>
              <w:rPr>
                <w:rFonts w:ascii="Aptos" w:hAnsi="Aptos" w:eastAsia="Aptos"/>
                <w:b w:val="0"/>
                <w:sz w:val="14"/>
              </w:rPr>
              <w:t>Geofence implementation / advanced logistics details</w:t>
            </w:r>
          </w:p>
        </w:tc>
        <w:tc>
          <w:tcPr>
            <w:tcW w:type="dxa" w:w="2033"/>
            <w:tcMar>
              <w:top w:w="35" w:type="dxa"/>
              <w:start w:w="45" w:type="dxa"/>
              <w:bottom w:w="35" w:type="dxa"/>
              <w:end w:w="45" w:type="dxa"/>
            </w:tcMar>
          </w:tcPr>
          <w:p>
            <w:r>
              <w:rPr>
                <w:rFonts w:ascii="Aptos" w:hAnsi="Aptos" w:eastAsia="Aptos"/>
                <w:b w:val="0"/>
                <w:sz w:val="14"/>
              </w:rPr>
              <w:t>63–65</w:t>
            </w:r>
          </w:p>
        </w:tc>
        <w:tc>
          <w:tcPr>
            <w:tcW w:type="dxa" w:w="2033"/>
            <w:tcMar>
              <w:top w:w="35" w:type="dxa"/>
              <w:start w:w="45" w:type="dxa"/>
              <w:bottom w:w="35" w:type="dxa"/>
              <w:end w:w="45" w:type="dxa"/>
            </w:tcMar>
          </w:tcPr>
          <w:p>
            <w:r>
              <w:rPr>
                <w:rFonts w:ascii="Aptos" w:hAnsi="Aptos" w:eastAsia="Aptos"/>
                <w:b w:val="0"/>
                <w:sz w:val="14"/>
              </w:rPr>
              <w:t>Define geometry, boundary/debounce, dwell timing and optional advanced transit/logistics mechanics for location-capable VINs.</w:t>
            </w:r>
          </w:p>
        </w:tc>
      </w:tr>
      <w:tr>
        <w:tc>
          <w:tcPr>
            <w:tcW w:type="dxa" w:w="2033"/>
            <w:tcMar>
              <w:top w:w="35" w:type="dxa"/>
              <w:start w:w="45" w:type="dxa"/>
              <w:bottom w:w="35" w:type="dxa"/>
              <w:end w:w="45" w:type="dxa"/>
            </w:tcMar>
          </w:tcPr>
          <w:p>
            <w:r>
              <w:rPr>
                <w:rFonts w:ascii="Aptos" w:hAnsi="Aptos" w:eastAsia="Aptos"/>
                <w:b/>
                <w:sz w:val="14"/>
              </w:rPr>
              <w:t>OD-038</w:t>
            </w:r>
          </w:p>
        </w:tc>
        <w:tc>
          <w:tcPr>
            <w:tcW w:type="dxa" w:w="2033"/>
            <w:tcMar>
              <w:top w:w="35" w:type="dxa"/>
              <w:start w:w="45" w:type="dxa"/>
              <w:bottom w:w="35" w:type="dxa"/>
              <w:end w:w="45" w:type="dxa"/>
            </w:tcMar>
            <w:shd w:fill="E7E6E6"/>
          </w:tcPr>
          <w:p>
            <w:r>
              <w:rPr>
                <w:rFonts w:ascii="Aptos" w:hAnsi="Aptos" w:eastAsia="Aptos"/>
                <w:b w:val="0"/>
                <w:sz w:val="14"/>
              </w:rPr>
              <w:t>DEFERRED / NEXT PHASE</w:t>
            </w:r>
          </w:p>
        </w:tc>
        <w:tc>
          <w:tcPr>
            <w:tcW w:type="dxa" w:w="2033"/>
            <w:tcMar>
              <w:top w:w="35" w:type="dxa"/>
              <w:start w:w="45" w:type="dxa"/>
              <w:bottom w:w="35" w:type="dxa"/>
              <w:end w:w="45" w:type="dxa"/>
            </w:tcMar>
          </w:tcPr>
          <w:p>
            <w:r>
              <w:rPr>
                <w:rFonts w:ascii="Aptos" w:hAnsi="Aptos" w:eastAsia="Aptos"/>
                <w:b w:val="0"/>
                <w:sz w:val="14"/>
              </w:rPr>
              <w:t>OEM external API</w:t>
            </w:r>
          </w:p>
        </w:tc>
        <w:tc>
          <w:tcPr>
            <w:tcW w:type="dxa" w:w="2033"/>
            <w:tcMar>
              <w:top w:w="35" w:type="dxa"/>
              <w:start w:w="45" w:type="dxa"/>
              <w:bottom w:w="35" w:type="dxa"/>
              <w:end w:w="45" w:type="dxa"/>
            </w:tcMar>
          </w:tcPr>
          <w:p>
            <w:r>
              <w:rPr>
                <w:rFonts w:ascii="Aptos" w:hAnsi="Aptos" w:eastAsia="Aptos"/>
                <w:b w:val="0"/>
                <w:sz w:val="14"/>
              </w:rPr>
              <w:t>68</w:t>
            </w:r>
          </w:p>
        </w:tc>
        <w:tc>
          <w:tcPr>
            <w:tcW w:type="dxa" w:w="2033"/>
            <w:tcMar>
              <w:top w:w="35" w:type="dxa"/>
              <w:start w:w="45" w:type="dxa"/>
              <w:bottom w:w="35" w:type="dxa"/>
              <w:end w:w="45" w:type="dxa"/>
            </w:tcMar>
          </w:tcPr>
          <w:p>
            <w:r>
              <w:rPr>
                <w:rFonts w:ascii="Aptos" w:hAnsi="Aptos" w:eastAsia="Aptos"/>
                <w:b w:val="0"/>
                <w:sz w:val="14"/>
              </w:rPr>
              <w:t>Architecture should remain future-ready; implementation is not a Phase 1 priority.</w:t>
            </w:r>
          </w:p>
        </w:tc>
      </w:tr>
      <w:tr>
        <w:tc>
          <w:tcPr>
            <w:tcW w:type="dxa" w:w="2033"/>
            <w:tcMar>
              <w:top w:w="35" w:type="dxa"/>
              <w:start w:w="45" w:type="dxa"/>
              <w:bottom w:w="35" w:type="dxa"/>
              <w:end w:w="45" w:type="dxa"/>
            </w:tcMar>
          </w:tcPr>
          <w:p>
            <w:r>
              <w:rPr>
                <w:rFonts w:ascii="Aptos" w:hAnsi="Aptos" w:eastAsia="Aptos"/>
                <w:b/>
                <w:sz w:val="14"/>
              </w:rPr>
              <w:t>OD-039</w:t>
            </w:r>
          </w:p>
        </w:tc>
        <w:tc>
          <w:tcPr>
            <w:tcW w:type="dxa" w:w="2033"/>
            <w:tcMar>
              <w:top w:w="35" w:type="dxa"/>
              <w:start w:w="45" w:type="dxa"/>
              <w:bottom w:w="35" w:type="dxa"/>
              <w:end w:w="45" w:type="dxa"/>
            </w:tcMar>
            <w:shd w:fill="FFF2CC"/>
          </w:tcPr>
          <w:p>
            <w:r>
              <w:rPr>
                <w:rFonts w:ascii="Aptos" w:hAnsi="Aptos" w:eastAsia="Aptos"/>
                <w:b w:val="0"/>
                <w:sz w:val="14"/>
              </w:rPr>
              <w:t>WIP — DEVELOPER CONFIRMATION</w:t>
            </w:r>
          </w:p>
        </w:tc>
        <w:tc>
          <w:tcPr>
            <w:tcW w:type="dxa" w:w="2033"/>
            <w:tcMar>
              <w:top w:w="35" w:type="dxa"/>
              <w:start w:w="45" w:type="dxa"/>
              <w:bottom w:w="35" w:type="dxa"/>
              <w:end w:w="45" w:type="dxa"/>
            </w:tcMar>
          </w:tcPr>
          <w:p>
            <w:r>
              <w:rPr>
                <w:rFonts w:ascii="Aptos" w:hAnsi="Aptos" w:eastAsia="Aptos"/>
                <w:b w:val="0"/>
                <w:sz w:val="14"/>
              </w:rPr>
              <w:t>Bulk export implementation mechanics</w:t>
            </w:r>
          </w:p>
        </w:tc>
        <w:tc>
          <w:tcPr>
            <w:tcW w:type="dxa" w:w="2033"/>
            <w:tcMar>
              <w:top w:w="35" w:type="dxa"/>
              <w:start w:w="45" w:type="dxa"/>
              <w:bottom w:w="35" w:type="dxa"/>
              <w:end w:w="45" w:type="dxa"/>
            </w:tcMar>
          </w:tcPr>
          <w:p>
            <w:r>
              <w:rPr>
                <w:rFonts w:ascii="Aptos" w:hAnsi="Aptos" w:eastAsia="Aptos"/>
                <w:b w:val="0"/>
                <w:sz w:val="14"/>
              </w:rPr>
              <w:t>69</w:t>
            </w:r>
          </w:p>
        </w:tc>
        <w:tc>
          <w:tcPr>
            <w:tcW w:type="dxa" w:w="2033"/>
            <w:tcMar>
              <w:top w:w="35" w:type="dxa"/>
              <w:start w:w="45" w:type="dxa"/>
              <w:bottom w:w="35" w:type="dxa"/>
              <w:end w:w="45" w:type="dxa"/>
            </w:tcMar>
          </w:tcPr>
          <w:p>
            <w:r>
              <w:rPr>
                <w:rFonts w:ascii="Aptos" w:hAnsi="Aptos" w:eastAsia="Aptos"/>
                <w:b w:val="0"/>
                <w:sz w:val="14"/>
              </w:rPr>
              <w:t>Phase 1 requirement; define formats, file limits, async delivery and operational mechanics.</w:t>
            </w:r>
          </w:p>
        </w:tc>
      </w:tr>
      <w:tr>
        <w:tc>
          <w:tcPr>
            <w:tcW w:type="dxa" w:w="2033"/>
            <w:tcMar>
              <w:top w:w="35" w:type="dxa"/>
              <w:start w:w="45" w:type="dxa"/>
              <w:bottom w:w="35" w:type="dxa"/>
              <w:end w:w="45" w:type="dxa"/>
            </w:tcMar>
          </w:tcPr>
          <w:p>
            <w:r>
              <w:rPr>
                <w:rFonts w:ascii="Aptos" w:hAnsi="Aptos" w:eastAsia="Aptos"/>
                <w:b/>
                <w:sz w:val="14"/>
              </w:rPr>
              <w:t>OD-040</w:t>
            </w:r>
          </w:p>
        </w:tc>
        <w:tc>
          <w:tcPr>
            <w:tcW w:type="dxa" w:w="2033"/>
            <w:tcMar>
              <w:top w:w="35" w:type="dxa"/>
              <w:start w:w="45" w:type="dxa"/>
              <w:bottom w:w="35" w:type="dxa"/>
              <w:end w:w="45" w:type="dxa"/>
            </w:tcMar>
            <w:shd w:fill="E7E6E6"/>
          </w:tcPr>
          <w:p>
            <w:r>
              <w:rPr>
                <w:rFonts w:ascii="Aptos" w:hAnsi="Aptos" w:eastAsia="Aptos"/>
                <w:b w:val="0"/>
                <w:sz w:val="14"/>
              </w:rPr>
              <w:t>DEFERRED / FUTURE PHASE</w:t>
            </w:r>
          </w:p>
        </w:tc>
        <w:tc>
          <w:tcPr>
            <w:tcW w:type="dxa" w:w="2033"/>
            <w:tcMar>
              <w:top w:w="35" w:type="dxa"/>
              <w:start w:w="45" w:type="dxa"/>
              <w:bottom w:w="35" w:type="dxa"/>
              <w:end w:w="45" w:type="dxa"/>
            </w:tcMar>
          </w:tcPr>
          <w:p>
            <w:r>
              <w:rPr>
                <w:rFonts w:ascii="Aptos" w:hAnsi="Aptos" w:eastAsia="Aptos"/>
                <w:b w:val="0"/>
                <w:sz w:val="14"/>
              </w:rPr>
              <w:t>Maintenance scheduling detailed workflow</w:t>
            </w:r>
          </w:p>
        </w:tc>
        <w:tc>
          <w:tcPr>
            <w:tcW w:type="dxa" w:w="2033"/>
            <w:tcMar>
              <w:top w:w="35" w:type="dxa"/>
              <w:start w:w="45" w:type="dxa"/>
              <w:bottom w:w="35" w:type="dxa"/>
              <w:end w:w="45" w:type="dxa"/>
            </w:tcMar>
          </w:tcPr>
          <w:p>
            <w:r>
              <w:rPr>
                <w:rFonts w:ascii="Aptos" w:hAnsi="Aptos" w:eastAsia="Aptos"/>
                <w:b w:val="0"/>
                <w:sz w:val="14"/>
              </w:rPr>
              <w:t>70</w:t>
            </w:r>
          </w:p>
        </w:tc>
        <w:tc>
          <w:tcPr>
            <w:tcW w:type="dxa" w:w="2033"/>
            <w:tcMar>
              <w:top w:w="35" w:type="dxa"/>
              <w:start w:w="45" w:type="dxa"/>
              <w:bottom w:w="35" w:type="dxa"/>
              <w:end w:w="45" w:type="dxa"/>
            </w:tcMar>
          </w:tcPr>
          <w:p>
            <w:r>
              <w:rPr>
                <w:rFonts w:ascii="Aptos" w:hAnsi="Aptos" w:eastAsia="Aptos"/>
                <w:b w:val="0"/>
                <w:sz w:val="14"/>
              </w:rPr>
              <w:t>Define catalog, recurrence, reminders, completion, timing and UX when maintenance is prioritized.</w:t>
            </w:r>
          </w:p>
        </w:tc>
      </w:tr>
    </w:tbl>
    <w:p>
      <w:r>
        <w:br w:type="page"/>
      </w:r>
    </w:p>
    <w:p>
      <w:pPr>
        <w:pStyle w:val="Heading1"/>
        <w:keepNext/>
      </w:pPr>
      <w:r>
        <w:t>Appendix B — Current Decision / Change Control Trace</w:t>
      </w:r>
    </w:p>
    <w:p>
      <w:r>
        <w:t>D-001–D-103 remain preserved in superseded Register v0.6 as historical decision evidence. D-104–D-120 remain controlled decisions from the v0.7 change cycle. D-121 is the v0.8 Product Owner clarification defining Gateway-only environmental/motion capability. CHG-036 records the mobile pairing/Imperial directive. CHG-037 records the August 12, 2026 Product Owner Gateway App decisions on multi-RV retail roles, Primary Owner TPMS service/cross-VIN sensor authority and Significant G Event presentation/lifecycle. CHG-036/CHG-037 do not invent new Decision IDs.</w:t>
      </w:r>
    </w:p>
    <w:p>
      <w:pPr>
        <w:pStyle w:val="RequirementBullet"/>
      </w:pPr>
      <w:r>
        <w:t>• CHG-037: One account may hold VIN-scoped roles across multiple RVs; Primary Owner may service a TPMS sensor only in an existing Model-defined position with server-authoritative cross-VIN eligibility; RV Owner motion presentation is cloud-defined Significant G Events only; Significant G is momentary immutable historical evidence and never auto-resolves when viewed/acknowledged.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2F5597"/>
          </w:tcPr>
          <w:p>
            <w:r>
              <w:rPr>
                <w:rFonts w:ascii="Aptos" w:hAnsi="Aptos" w:eastAsia="Aptos"/>
                <w:b/>
                <w:color w:val="FFFFFF"/>
                <w:sz w:val="15"/>
              </w:rPr>
              <w:t>Decision ID</w:t>
            </w:r>
          </w:p>
        </w:tc>
        <w:tc>
          <w:tcPr>
            <w:tcW w:type="dxa" w:w="1694"/>
            <w:shd w:fill="2F5597"/>
          </w:tcPr>
          <w:p>
            <w:r>
              <w:rPr>
                <w:rFonts w:ascii="Aptos" w:hAnsi="Aptos" w:eastAsia="Aptos"/>
                <w:b/>
                <w:color w:val="FFFFFF"/>
                <w:sz w:val="15"/>
              </w:rPr>
              <w:t>Merge IDs</w:t>
            </w:r>
          </w:p>
        </w:tc>
        <w:tc>
          <w:tcPr>
            <w:tcW w:type="dxa" w:w="1694"/>
            <w:shd w:fill="2F5597"/>
          </w:tcPr>
          <w:p>
            <w:r>
              <w:rPr>
                <w:rFonts w:ascii="Aptos" w:hAnsi="Aptos" w:eastAsia="Aptos"/>
                <w:b/>
                <w:color w:val="FFFFFF"/>
                <w:sz w:val="15"/>
              </w:rPr>
              <w:t>Topic</w:t>
            </w:r>
          </w:p>
        </w:tc>
        <w:tc>
          <w:tcPr>
            <w:tcW w:type="dxa" w:w="1694"/>
            <w:shd w:fill="2F5597"/>
          </w:tcPr>
          <w:p>
            <w:r>
              <w:rPr>
                <w:rFonts w:ascii="Aptos" w:hAnsi="Aptos" w:eastAsia="Aptos"/>
                <w:b/>
                <w:color w:val="FFFFFF"/>
                <w:sz w:val="15"/>
              </w:rPr>
              <w:t>Status</w:t>
            </w:r>
          </w:p>
        </w:tc>
        <w:tc>
          <w:tcPr>
            <w:tcW w:type="dxa" w:w="1694"/>
            <w:shd w:fill="2F5597"/>
          </w:tcPr>
          <w:p>
            <w:r>
              <w:rPr>
                <w:rFonts w:ascii="Aptos" w:hAnsi="Aptos" w:eastAsia="Aptos"/>
                <w:b/>
                <w:color w:val="FFFFFF"/>
                <w:sz w:val="15"/>
              </w:rPr>
              <w:t>Final Decision</w:t>
            </w:r>
          </w:p>
        </w:tc>
        <w:tc>
          <w:tcPr>
            <w:tcW w:type="dxa" w:w="1694"/>
            <w:shd w:fill="2F5597"/>
          </w:tcPr>
          <w:p>
            <w:r>
              <w:rPr>
                <w:rFonts w:ascii="Aptos" w:hAnsi="Aptos" w:eastAsia="Aptos"/>
                <w:b/>
                <w:color w:val="FFFFFF"/>
                <w:sz w:val="15"/>
              </w:rPr>
              <w:t>Source</w:t>
            </w:r>
          </w:p>
        </w:tc>
      </w:tr>
      <w:tr>
        <w:tc>
          <w:tcPr>
            <w:tcW w:type="dxa" w:w="1694"/>
            <w:tcMar>
              <w:top w:w="35" w:type="dxa"/>
              <w:start w:w="45" w:type="dxa"/>
              <w:bottom w:w="35" w:type="dxa"/>
              <w:end w:w="45" w:type="dxa"/>
            </w:tcMar>
          </w:tcPr>
          <w:p>
            <w:r>
              <w:rPr>
                <w:rFonts w:ascii="Aptos" w:hAnsi="Aptos" w:eastAsia="Aptos"/>
                <w:b/>
                <w:sz w:val="14"/>
              </w:rPr>
              <w:t>D-104</w:t>
            </w:r>
          </w:p>
        </w:tc>
        <w:tc>
          <w:tcPr>
            <w:tcW w:type="dxa" w:w="1694"/>
            <w:tcMar>
              <w:top w:w="35" w:type="dxa"/>
              <w:start w:w="45" w:type="dxa"/>
              <w:bottom w:w="35" w:type="dxa"/>
              <w:end w:w="45" w:type="dxa"/>
            </w:tcMar>
          </w:tcPr>
          <w:p>
            <w:r>
              <w:rPr>
                <w:rFonts w:ascii="Aptos" w:hAnsi="Aptos" w:eastAsia="Aptos"/>
                <w:b w:val="0"/>
                <w:sz w:val="14"/>
              </w:rPr>
              <w:t>1,2,4,5,45</w:t>
            </w:r>
          </w:p>
        </w:tc>
        <w:tc>
          <w:tcPr>
            <w:tcW w:type="dxa" w:w="1694"/>
            <w:tcMar>
              <w:top w:w="35" w:type="dxa"/>
              <w:start w:w="45" w:type="dxa"/>
              <w:bottom w:w="35" w:type="dxa"/>
              <w:end w:w="45" w:type="dxa"/>
            </w:tcMar>
          </w:tcPr>
          <w:p>
            <w:r>
              <w:rPr>
                <w:rFonts w:ascii="Aptos" w:hAnsi="Aptos" w:eastAsia="Aptos"/>
                <w:b w:val="0"/>
                <w:sz w:val="14"/>
              </w:rPr>
              <w:t>Lifecycle state architecture</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Separate VIN operational lifecycle, retail ownership/claim state, and Gateway lifecycle. Do not overload one state machine; transitions are authorized/audited.</w:t>
            </w:r>
          </w:p>
        </w:tc>
        <w:tc>
          <w:tcPr>
            <w:tcW w:type="dxa" w:w="1694"/>
            <w:tcMar>
              <w:top w:w="35" w:type="dxa"/>
              <w:start w:w="45" w:type="dxa"/>
              <w:bottom w:w="35" w:type="dxa"/>
              <w:end w:w="45" w:type="dxa"/>
            </w:tcMar>
          </w:tcPr>
          <w:p>
            <w:r>
              <w:rPr>
                <w:rFonts w:ascii="Aptos" w:hAnsi="Aptos" w:eastAsia="Aptos"/>
                <w:b w:val="0"/>
                <w:sz w:val="14"/>
              </w:rPr>
              <w:t>R-04</w:t>
            </w:r>
          </w:p>
        </w:tc>
      </w:tr>
      <w:tr>
        <w:tc>
          <w:tcPr>
            <w:tcW w:type="dxa" w:w="1694"/>
            <w:tcMar>
              <w:top w:w="35" w:type="dxa"/>
              <w:start w:w="45" w:type="dxa"/>
              <w:bottom w:w="35" w:type="dxa"/>
              <w:end w:w="45" w:type="dxa"/>
            </w:tcMar>
          </w:tcPr>
          <w:p>
            <w:r>
              <w:rPr>
                <w:rFonts w:ascii="Aptos" w:hAnsi="Aptos" w:eastAsia="Aptos"/>
                <w:b/>
                <w:sz w:val="14"/>
              </w:rPr>
              <w:t>D-105</w:t>
            </w:r>
          </w:p>
        </w:tc>
        <w:tc>
          <w:tcPr>
            <w:tcW w:type="dxa" w:w="1694"/>
            <w:tcMar>
              <w:top w:w="35" w:type="dxa"/>
              <w:start w:w="45" w:type="dxa"/>
              <w:bottom w:w="35" w:type="dxa"/>
              <w:end w:w="45" w:type="dxa"/>
            </w:tcMar>
          </w:tcPr>
          <w:p>
            <w:r>
              <w:rPr>
                <w:rFonts w:ascii="Aptos" w:hAnsi="Aptos" w:eastAsia="Aptos"/>
                <w:b w:val="0"/>
                <w:sz w:val="14"/>
              </w:rPr>
              <w:t>4</w:t>
            </w:r>
          </w:p>
        </w:tc>
        <w:tc>
          <w:tcPr>
            <w:tcW w:type="dxa" w:w="1694"/>
            <w:tcMar>
              <w:top w:w="35" w:type="dxa"/>
              <w:start w:w="45" w:type="dxa"/>
              <w:bottom w:w="35" w:type="dxa"/>
              <w:end w:w="45" w:type="dxa"/>
            </w:tcMar>
          </w:tcPr>
          <w:p>
            <w:r>
              <w:rPr>
                <w:rFonts w:ascii="Aptos" w:hAnsi="Aptos" w:eastAsia="Aptos"/>
                <w:b w:val="0"/>
                <w:sz w:val="14"/>
              </w:rPr>
              <w:t>Gateway replacement transaction</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Old Gateway remains Current until successful atomic cutover. Replacement job supports Started / Setup In Progress / Ready for Cutover / Complete and Aborted; new Gateway becomes Current only after required config and TPMS pairing.</w:t>
            </w:r>
          </w:p>
        </w:tc>
        <w:tc>
          <w:tcPr>
            <w:tcW w:type="dxa" w:w="1694"/>
            <w:tcMar>
              <w:top w:w="35" w:type="dxa"/>
              <w:start w:w="45" w:type="dxa"/>
              <w:bottom w:w="35" w:type="dxa"/>
              <w:end w:w="45" w:type="dxa"/>
            </w:tcMar>
          </w:tcPr>
          <w:p>
            <w:r>
              <w:rPr>
                <w:rFonts w:ascii="Aptos" w:hAnsi="Aptos" w:eastAsia="Aptos"/>
                <w:b w:val="0"/>
                <w:sz w:val="14"/>
              </w:rPr>
              <w:t>R-05</w:t>
            </w:r>
          </w:p>
        </w:tc>
      </w:tr>
      <w:tr>
        <w:tc>
          <w:tcPr>
            <w:tcW w:type="dxa" w:w="1694"/>
            <w:tcMar>
              <w:top w:w="35" w:type="dxa"/>
              <w:start w:w="45" w:type="dxa"/>
              <w:bottom w:w="35" w:type="dxa"/>
              <w:end w:w="45" w:type="dxa"/>
            </w:tcMar>
          </w:tcPr>
          <w:p>
            <w:r>
              <w:rPr>
                <w:rFonts w:ascii="Aptos" w:hAnsi="Aptos" w:eastAsia="Aptos"/>
                <w:b/>
                <w:sz w:val="14"/>
              </w:rPr>
              <w:t>D-106</w:t>
            </w:r>
          </w:p>
        </w:tc>
        <w:tc>
          <w:tcPr>
            <w:tcW w:type="dxa" w:w="1694"/>
            <w:tcMar>
              <w:top w:w="35" w:type="dxa"/>
              <w:start w:w="45" w:type="dxa"/>
              <w:bottom w:w="35" w:type="dxa"/>
              <w:end w:w="45" w:type="dxa"/>
            </w:tcMar>
          </w:tcPr>
          <w:p>
            <w:r>
              <w:rPr>
                <w:rFonts w:ascii="Aptos" w:hAnsi="Aptos" w:eastAsia="Aptos"/>
                <w:b w:val="0"/>
                <w:sz w:val="14"/>
              </w:rPr>
              <w:t>17,32</w:t>
            </w:r>
          </w:p>
        </w:tc>
        <w:tc>
          <w:tcPr>
            <w:tcW w:type="dxa" w:w="1694"/>
            <w:tcMar>
              <w:top w:w="35" w:type="dxa"/>
              <w:start w:w="45" w:type="dxa"/>
              <w:bottom w:w="35" w:type="dxa"/>
              <w:end w:w="45" w:type="dxa"/>
            </w:tcMar>
          </w:tcPr>
          <w:p>
            <w:r>
              <w:rPr>
                <w:rFonts w:ascii="Aptos" w:hAnsi="Aptos" w:eastAsia="Aptos"/>
                <w:b w:val="0"/>
                <w:sz w:val="14"/>
              </w:rPr>
              <w:t>Canonical AlertEvent and backfill behavior</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One canonical episode with idempotent cloud reconciliation. Cleared-before-reconnect evidence is historical/no new live notification; still-active-on-reconnect event may enter normal notification workflow for recipients not already notified/acknowledged. Exact ID/dedup algorithm is technical.</w:t>
            </w:r>
          </w:p>
        </w:tc>
        <w:tc>
          <w:tcPr>
            <w:tcW w:type="dxa" w:w="1694"/>
            <w:tcMar>
              <w:top w:w="35" w:type="dxa"/>
              <w:start w:w="45" w:type="dxa"/>
              <w:bottom w:w="35" w:type="dxa"/>
              <w:end w:w="45" w:type="dxa"/>
            </w:tcMar>
          </w:tcPr>
          <w:p>
            <w:r>
              <w:rPr>
                <w:rFonts w:ascii="Aptos" w:hAnsi="Aptos" w:eastAsia="Aptos"/>
                <w:b w:val="0"/>
                <w:sz w:val="14"/>
              </w:rPr>
              <w:t>R-06</w:t>
            </w:r>
          </w:p>
        </w:tc>
      </w:tr>
      <w:tr>
        <w:tc>
          <w:tcPr>
            <w:tcW w:type="dxa" w:w="1694"/>
            <w:tcMar>
              <w:top w:w="35" w:type="dxa"/>
              <w:start w:w="45" w:type="dxa"/>
              <w:bottom w:w="35" w:type="dxa"/>
              <w:end w:w="45" w:type="dxa"/>
            </w:tcMar>
          </w:tcPr>
          <w:p>
            <w:r>
              <w:rPr>
                <w:rFonts w:ascii="Aptos" w:hAnsi="Aptos" w:eastAsia="Aptos"/>
                <w:b/>
                <w:sz w:val="14"/>
              </w:rPr>
              <w:t>D-107</w:t>
            </w:r>
          </w:p>
        </w:tc>
        <w:tc>
          <w:tcPr>
            <w:tcW w:type="dxa" w:w="1694"/>
            <w:tcMar>
              <w:top w:w="35" w:type="dxa"/>
              <w:start w:w="45" w:type="dxa"/>
              <w:bottom w:w="35" w:type="dxa"/>
              <w:end w:w="45" w:type="dxa"/>
            </w:tcMar>
          </w:tcPr>
          <w:p>
            <w:r>
              <w:rPr>
                <w:rFonts w:ascii="Aptos" w:hAnsi="Aptos" w:eastAsia="Aptos"/>
                <w:b w:val="0"/>
                <w:sz w:val="14"/>
              </w:rPr>
              <w:t>23,25,28</w:t>
            </w:r>
          </w:p>
        </w:tc>
        <w:tc>
          <w:tcPr>
            <w:tcW w:type="dxa" w:w="1694"/>
            <w:tcMar>
              <w:top w:w="35" w:type="dxa"/>
              <w:start w:w="45" w:type="dxa"/>
              <w:bottom w:w="35" w:type="dxa"/>
              <w:end w:w="45" w:type="dxa"/>
            </w:tcMar>
          </w:tcPr>
          <w:p>
            <w:r>
              <w:rPr>
                <w:rFonts w:ascii="Aptos" w:hAnsi="Aptos" w:eastAsia="Aptos"/>
                <w:b w:val="0"/>
                <w:sz w:val="14"/>
              </w:rPr>
              <w:t>Rule-version effect on active alert</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AlertEvent permanently retains triggering rule/version. After a new version is actually active at the authoritative evaluator, same event remains active if still violating or clears normally if compliant; audit records rule/config change context.</w:t>
            </w:r>
          </w:p>
        </w:tc>
        <w:tc>
          <w:tcPr>
            <w:tcW w:type="dxa" w:w="1694"/>
            <w:tcMar>
              <w:top w:w="35" w:type="dxa"/>
              <w:start w:w="45" w:type="dxa"/>
              <w:bottom w:w="35" w:type="dxa"/>
              <w:end w:w="45" w:type="dxa"/>
            </w:tcMar>
          </w:tcPr>
          <w:p>
            <w:r>
              <w:rPr>
                <w:rFonts w:ascii="Aptos" w:hAnsi="Aptos" w:eastAsia="Aptos"/>
                <w:b w:val="0"/>
                <w:sz w:val="14"/>
              </w:rPr>
              <w:t>R-07</w:t>
            </w:r>
          </w:p>
        </w:tc>
      </w:tr>
      <w:tr>
        <w:tc>
          <w:tcPr>
            <w:tcW w:type="dxa" w:w="1694"/>
            <w:tcMar>
              <w:top w:w="35" w:type="dxa"/>
              <w:start w:w="45" w:type="dxa"/>
              <w:bottom w:w="35" w:type="dxa"/>
              <w:end w:w="45" w:type="dxa"/>
            </w:tcMar>
          </w:tcPr>
          <w:p>
            <w:r>
              <w:rPr>
                <w:rFonts w:ascii="Aptos" w:hAnsi="Aptos" w:eastAsia="Aptos"/>
                <w:b/>
                <w:sz w:val="14"/>
              </w:rPr>
              <w:t>D-108</w:t>
            </w:r>
          </w:p>
        </w:tc>
        <w:tc>
          <w:tcPr>
            <w:tcW w:type="dxa" w:w="1694"/>
            <w:tcMar>
              <w:top w:w="35" w:type="dxa"/>
              <w:start w:w="45" w:type="dxa"/>
              <w:bottom w:w="35" w:type="dxa"/>
              <w:end w:w="45" w:type="dxa"/>
            </w:tcMar>
          </w:tcPr>
          <w:p>
            <w:r>
              <w:rPr>
                <w:rFonts w:ascii="Aptos" w:hAnsi="Aptos" w:eastAsia="Aptos"/>
                <w:b w:val="0"/>
                <w:sz w:val="14"/>
              </w:rPr>
              <w:t>21,22,63–65,70</w:t>
            </w:r>
          </w:p>
        </w:tc>
        <w:tc>
          <w:tcPr>
            <w:tcW w:type="dxa" w:w="1694"/>
            <w:tcMar>
              <w:top w:w="35" w:type="dxa"/>
              <w:start w:w="45" w:type="dxa"/>
              <w:bottom w:w="35" w:type="dxa"/>
              <w:end w:w="45" w:type="dxa"/>
            </w:tcMar>
          </w:tcPr>
          <w:p>
            <w:r>
              <w:rPr>
                <w:rFonts w:ascii="Aptos" w:hAnsi="Aptos" w:eastAsia="Aptos"/>
                <w:b w:val="0"/>
                <w:sz w:val="14"/>
              </w:rPr>
              <w:t>Product Mode applicability for mileage/location/geofence/maintenance</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Gateway/GPS is current authoritative mileage/location source. Direct TPMS shows mileage/location/geofence Not Available. Time maintenance may apply to either; mileage maintenance only with authoritative mileage, currently Gateway.</w:t>
            </w:r>
          </w:p>
        </w:tc>
        <w:tc>
          <w:tcPr>
            <w:tcW w:type="dxa" w:w="1694"/>
            <w:tcMar>
              <w:top w:w="35" w:type="dxa"/>
              <w:start w:w="45" w:type="dxa"/>
              <w:bottom w:w="35" w:type="dxa"/>
              <w:end w:w="45" w:type="dxa"/>
            </w:tcMar>
          </w:tcPr>
          <w:p>
            <w:r>
              <w:rPr>
                <w:rFonts w:ascii="Aptos" w:hAnsi="Aptos" w:eastAsia="Aptos"/>
                <w:b w:val="0"/>
                <w:sz w:val="14"/>
              </w:rPr>
              <w:t>R-08</w:t>
            </w:r>
          </w:p>
        </w:tc>
      </w:tr>
      <w:tr>
        <w:tc>
          <w:tcPr>
            <w:tcW w:type="dxa" w:w="1694"/>
            <w:tcMar>
              <w:top w:w="35" w:type="dxa"/>
              <w:start w:w="45" w:type="dxa"/>
              <w:bottom w:w="35" w:type="dxa"/>
              <w:end w:w="45" w:type="dxa"/>
            </w:tcMar>
          </w:tcPr>
          <w:p>
            <w:r>
              <w:rPr>
                <w:rFonts w:ascii="Aptos" w:hAnsi="Aptos" w:eastAsia="Aptos"/>
                <w:b/>
                <w:sz w:val="14"/>
              </w:rPr>
              <w:t>D-109</w:t>
            </w:r>
          </w:p>
        </w:tc>
        <w:tc>
          <w:tcPr>
            <w:tcW w:type="dxa" w:w="1694"/>
            <w:tcMar>
              <w:top w:w="35" w:type="dxa"/>
              <w:start w:w="45" w:type="dxa"/>
              <w:bottom w:w="35" w:type="dxa"/>
              <w:end w:w="45" w:type="dxa"/>
            </w:tcMar>
          </w:tcPr>
          <w:p>
            <w:r>
              <w:rPr>
                <w:rFonts w:ascii="Aptos" w:hAnsi="Aptos" w:eastAsia="Aptos"/>
                <w:b w:val="0"/>
                <w:sz w:val="14"/>
              </w:rPr>
              <w:t>3,5</w:t>
            </w:r>
          </w:p>
        </w:tc>
        <w:tc>
          <w:tcPr>
            <w:tcW w:type="dxa" w:w="1694"/>
            <w:tcMar>
              <w:top w:w="35" w:type="dxa"/>
              <w:start w:w="45" w:type="dxa"/>
              <w:bottom w:w="35" w:type="dxa"/>
              <w:end w:w="45" w:type="dxa"/>
            </w:tcMar>
          </w:tcPr>
          <w:p>
            <w:r>
              <w:rPr>
                <w:rFonts w:ascii="Aptos" w:hAnsi="Aptos" w:eastAsia="Aptos"/>
                <w:b w:val="0"/>
                <w:sz w:val="14"/>
              </w:rPr>
              <w:t>Gateway pairing credential and claim security</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Pairing code belongs to Gateway, is manufactured/predefined, appears on label and is reported to cloud. Gateway claim requires local BLE, that code, Gateway LTE, cloud claimability and current-Gateway confirmation. Normal transfer does not rotate it.</w:t>
            </w:r>
          </w:p>
        </w:tc>
        <w:tc>
          <w:tcPr>
            <w:tcW w:type="dxa" w:w="1694"/>
            <w:tcMar>
              <w:top w:w="35" w:type="dxa"/>
              <w:start w:w="45" w:type="dxa"/>
              <w:bottom w:w="35" w:type="dxa"/>
              <w:end w:w="45" w:type="dxa"/>
            </w:tcMar>
          </w:tcPr>
          <w:p>
            <w:r>
              <w:rPr>
                <w:rFonts w:ascii="Aptos" w:hAnsi="Aptos" w:eastAsia="Aptos"/>
                <w:b w:val="0"/>
                <w:sz w:val="14"/>
              </w:rPr>
              <w:t>R-09</w:t>
            </w:r>
          </w:p>
        </w:tc>
      </w:tr>
      <w:tr>
        <w:tc>
          <w:tcPr>
            <w:tcW w:type="dxa" w:w="1694"/>
            <w:tcMar>
              <w:top w:w="35" w:type="dxa"/>
              <w:start w:w="45" w:type="dxa"/>
              <w:bottom w:w="35" w:type="dxa"/>
              <w:end w:w="45" w:type="dxa"/>
            </w:tcMar>
          </w:tcPr>
          <w:p>
            <w:r>
              <w:rPr>
                <w:rFonts w:ascii="Aptos" w:hAnsi="Aptos" w:eastAsia="Aptos"/>
                <w:b/>
                <w:sz w:val="14"/>
              </w:rPr>
              <w:t>D-110</w:t>
            </w:r>
          </w:p>
        </w:tc>
        <w:tc>
          <w:tcPr>
            <w:tcW w:type="dxa" w:w="1694"/>
            <w:tcMar>
              <w:top w:w="35" w:type="dxa"/>
              <w:start w:w="45" w:type="dxa"/>
              <w:bottom w:w="35" w:type="dxa"/>
              <w:end w:w="45" w:type="dxa"/>
            </w:tcMar>
          </w:tcPr>
          <w:p>
            <w:r>
              <w:rPr>
                <w:rFonts w:ascii="Aptos" w:hAnsi="Aptos" w:eastAsia="Aptos"/>
                <w:b w:val="0"/>
                <w:sz w:val="14"/>
              </w:rPr>
              <w:t>3,10</w:t>
            </w:r>
          </w:p>
        </w:tc>
        <w:tc>
          <w:tcPr>
            <w:tcW w:type="dxa" w:w="1694"/>
            <w:tcMar>
              <w:top w:w="35" w:type="dxa"/>
              <w:start w:w="45" w:type="dxa"/>
              <w:bottom w:w="35" w:type="dxa"/>
              <w:end w:w="45" w:type="dxa"/>
            </w:tcMar>
          </w:tcPr>
          <w:p>
            <w:r>
              <w:rPr>
                <w:rFonts w:ascii="Aptos" w:hAnsi="Aptos" w:eastAsia="Aptos"/>
                <w:b w:val="0"/>
                <w:sz w:val="14"/>
              </w:rPr>
              <w:t>Direct TPMS owner claim architecture</w:t>
            </w:r>
          </w:p>
        </w:tc>
        <w:tc>
          <w:tcPr>
            <w:tcW w:type="dxa" w:w="1694"/>
            <w:tcMar>
              <w:top w:w="35" w:type="dxa"/>
              <w:start w:w="45" w:type="dxa"/>
              <w:bottom w:w="35" w:type="dxa"/>
              <w:end w:w="45" w:type="dxa"/>
            </w:tcMar>
          </w:tcPr>
          <w:p>
            <w:r>
              <w:rPr>
                <w:rFonts w:ascii="Aptos" w:hAnsi="Aptos" w:eastAsia="Aptos"/>
                <w:b w:val="0"/>
                <w:sz w:val="14"/>
              </w:rPr>
              <w:t>Decided — detail open</w:t>
            </w:r>
          </w:p>
        </w:tc>
        <w:tc>
          <w:tcPr>
            <w:tcW w:type="dxa" w:w="1694"/>
            <w:tcMar>
              <w:top w:w="35" w:type="dxa"/>
              <w:start w:w="45" w:type="dxa"/>
              <w:bottom w:w="35" w:type="dxa"/>
              <w:end w:w="45" w:type="dxa"/>
            </w:tcMar>
          </w:tcPr>
          <w:p>
            <w:r>
              <w:rPr>
                <w:rFonts w:ascii="Aptos" w:hAnsi="Aptos" w:eastAsia="Aptos"/>
                <w:b w:val="0"/>
                <w:sz w:val="14"/>
              </w:rPr>
              <w:t>Direct TPMS claim uses verified account + VIN + cloud claimability + local BLE presence verification of VIN factory sensor set. Exact sensor-count/timing criterion remains OD-009.</w:t>
            </w:r>
          </w:p>
        </w:tc>
        <w:tc>
          <w:tcPr>
            <w:tcW w:type="dxa" w:w="1694"/>
            <w:tcMar>
              <w:top w:w="35" w:type="dxa"/>
              <w:start w:w="45" w:type="dxa"/>
              <w:bottom w:w="35" w:type="dxa"/>
              <w:end w:w="45" w:type="dxa"/>
            </w:tcMar>
          </w:tcPr>
          <w:p>
            <w:r>
              <w:rPr>
                <w:rFonts w:ascii="Aptos" w:hAnsi="Aptos" w:eastAsia="Aptos"/>
                <w:b w:val="0"/>
                <w:sz w:val="14"/>
              </w:rPr>
              <w:t>PO-01</w:t>
            </w:r>
          </w:p>
        </w:tc>
      </w:tr>
      <w:tr>
        <w:tc>
          <w:tcPr>
            <w:tcW w:type="dxa" w:w="1694"/>
            <w:tcMar>
              <w:top w:w="35" w:type="dxa"/>
              <w:start w:w="45" w:type="dxa"/>
              <w:bottom w:w="35" w:type="dxa"/>
              <w:end w:w="45" w:type="dxa"/>
            </w:tcMar>
          </w:tcPr>
          <w:p>
            <w:r>
              <w:rPr>
                <w:rFonts w:ascii="Aptos" w:hAnsi="Aptos" w:eastAsia="Aptos"/>
                <w:b/>
                <w:sz w:val="14"/>
              </w:rPr>
              <w:t>D-111</w:t>
            </w:r>
          </w:p>
        </w:tc>
        <w:tc>
          <w:tcPr>
            <w:tcW w:type="dxa" w:w="1694"/>
            <w:tcMar>
              <w:top w:w="35" w:type="dxa"/>
              <w:start w:w="45" w:type="dxa"/>
              <w:bottom w:w="35" w:type="dxa"/>
              <w:end w:w="45" w:type="dxa"/>
            </w:tcMar>
          </w:tcPr>
          <w:p>
            <w:r>
              <w:rPr>
                <w:rFonts w:ascii="Aptos" w:hAnsi="Aptos" w:eastAsia="Aptos"/>
                <w:b w:val="0"/>
                <w:sz w:val="14"/>
              </w:rPr>
              <w:t>10</w:t>
            </w:r>
          </w:p>
        </w:tc>
        <w:tc>
          <w:tcPr>
            <w:tcW w:type="dxa" w:w="1694"/>
            <w:tcMar>
              <w:top w:w="35" w:type="dxa"/>
              <w:start w:w="45" w:type="dxa"/>
              <w:bottom w:w="35" w:type="dxa"/>
              <w:end w:w="45" w:type="dxa"/>
            </w:tcMar>
          </w:tcPr>
          <w:p>
            <w:r>
              <w:rPr>
                <w:rFonts w:ascii="Aptos" w:hAnsi="Aptos" w:eastAsia="Aptos"/>
                <w:b w:val="0"/>
                <w:sz w:val="14"/>
              </w:rPr>
              <w:t>Direct TPMS monitoring-state evidence</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App visibly indicates monitoring active/not active and preserves feasible session start, last-known heartbeat/time and known stop/loss reason; impossible exact OS-kill timestamp is not required; latency traces to controlled J3309 test definition.</w:t>
            </w:r>
          </w:p>
        </w:tc>
        <w:tc>
          <w:tcPr>
            <w:tcW w:type="dxa" w:w="1694"/>
            <w:tcMar>
              <w:top w:w="35" w:type="dxa"/>
              <w:start w:w="45" w:type="dxa"/>
              <w:bottom w:w="35" w:type="dxa"/>
              <w:end w:w="45" w:type="dxa"/>
            </w:tcMar>
          </w:tcPr>
          <w:p>
            <w:r>
              <w:rPr>
                <w:rFonts w:ascii="Aptos" w:hAnsi="Aptos" w:eastAsia="Aptos"/>
                <w:b w:val="0"/>
                <w:sz w:val="14"/>
              </w:rPr>
              <w:t>R-10</w:t>
            </w:r>
          </w:p>
        </w:tc>
      </w:tr>
      <w:tr>
        <w:tc>
          <w:tcPr>
            <w:tcW w:type="dxa" w:w="1694"/>
            <w:tcMar>
              <w:top w:w="35" w:type="dxa"/>
              <w:start w:w="45" w:type="dxa"/>
              <w:bottom w:w="35" w:type="dxa"/>
              <w:end w:w="45" w:type="dxa"/>
            </w:tcMar>
          </w:tcPr>
          <w:p>
            <w:r>
              <w:rPr>
                <w:rFonts w:ascii="Aptos" w:hAnsi="Aptos" w:eastAsia="Aptos"/>
                <w:b/>
                <w:sz w:val="14"/>
              </w:rPr>
              <w:t>D-112</w:t>
            </w:r>
          </w:p>
        </w:tc>
        <w:tc>
          <w:tcPr>
            <w:tcW w:type="dxa" w:w="1694"/>
            <w:tcMar>
              <w:top w:w="35" w:type="dxa"/>
              <w:start w:w="45" w:type="dxa"/>
              <w:bottom w:w="35" w:type="dxa"/>
              <w:end w:w="45" w:type="dxa"/>
            </w:tcMar>
          </w:tcPr>
          <w:p>
            <w:r>
              <w:rPr>
                <w:rFonts w:ascii="Aptos" w:hAnsi="Aptos" w:eastAsia="Aptos"/>
                <w:b w:val="0"/>
                <w:sz w:val="14"/>
              </w:rPr>
              <w:t>31,43</w:t>
            </w:r>
          </w:p>
        </w:tc>
        <w:tc>
          <w:tcPr>
            <w:tcW w:type="dxa" w:w="1694"/>
            <w:tcMar>
              <w:top w:w="35" w:type="dxa"/>
              <w:start w:w="45" w:type="dxa"/>
              <w:bottom w:w="35" w:type="dxa"/>
              <w:end w:w="45" w:type="dxa"/>
            </w:tcMar>
          </w:tcPr>
          <w:p>
            <w:r>
              <w:rPr>
                <w:rFonts w:ascii="Aptos" w:hAnsi="Aptos" w:eastAsia="Aptos"/>
                <w:b w:val="0"/>
                <w:sz w:val="14"/>
              </w:rPr>
              <w:t>Severity vs always-on notification policy</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Do not import an unapproved severity taxonomy. Severity remains separate; 24/7/no-quiet-hours is a Notification Manager policy attribute for applicable safety alerts.</w:t>
            </w:r>
          </w:p>
        </w:tc>
        <w:tc>
          <w:tcPr>
            <w:tcW w:type="dxa" w:w="1694"/>
            <w:tcMar>
              <w:top w:w="35" w:type="dxa"/>
              <w:start w:w="45" w:type="dxa"/>
              <w:bottom w:w="35" w:type="dxa"/>
              <w:end w:w="45" w:type="dxa"/>
            </w:tcMar>
          </w:tcPr>
          <w:p>
            <w:r>
              <w:rPr>
                <w:rFonts w:ascii="Aptos" w:hAnsi="Aptos" w:eastAsia="Aptos"/>
                <w:b w:val="0"/>
                <w:sz w:val="14"/>
              </w:rPr>
              <w:t>R-11</w:t>
            </w:r>
          </w:p>
        </w:tc>
      </w:tr>
      <w:tr>
        <w:tc>
          <w:tcPr>
            <w:tcW w:type="dxa" w:w="1694"/>
            <w:tcMar>
              <w:top w:w="35" w:type="dxa"/>
              <w:start w:w="45" w:type="dxa"/>
              <w:bottom w:w="35" w:type="dxa"/>
              <w:end w:w="45" w:type="dxa"/>
            </w:tcMar>
          </w:tcPr>
          <w:p>
            <w:r>
              <w:rPr>
                <w:rFonts w:ascii="Aptos" w:hAnsi="Aptos" w:eastAsia="Aptos"/>
                <w:b/>
                <w:sz w:val="14"/>
              </w:rPr>
              <w:t>D-113</w:t>
            </w:r>
          </w:p>
        </w:tc>
        <w:tc>
          <w:tcPr>
            <w:tcW w:type="dxa" w:w="1694"/>
            <w:tcMar>
              <w:top w:w="35" w:type="dxa"/>
              <w:start w:w="45" w:type="dxa"/>
              <w:bottom w:w="35" w:type="dxa"/>
              <w:end w:w="45" w:type="dxa"/>
            </w:tcMar>
          </w:tcPr>
          <w:p>
            <w:r>
              <w:rPr>
                <w:rFonts w:ascii="Aptos" w:hAnsi="Aptos" w:eastAsia="Aptos"/>
                <w:b w:val="0"/>
                <w:sz w:val="14"/>
              </w:rPr>
              <w:t>6,67</w:t>
            </w:r>
          </w:p>
        </w:tc>
        <w:tc>
          <w:tcPr>
            <w:tcW w:type="dxa" w:w="1694"/>
            <w:tcMar>
              <w:top w:w="35" w:type="dxa"/>
              <w:start w:w="45" w:type="dxa"/>
              <w:bottom w:w="35" w:type="dxa"/>
              <w:end w:w="45" w:type="dxa"/>
            </w:tcMar>
          </w:tcPr>
          <w:p>
            <w:r>
              <w:rPr>
                <w:rFonts w:ascii="Aptos" w:hAnsi="Aptos" w:eastAsia="Aptos"/>
                <w:b w:val="0"/>
                <w:sz w:val="14"/>
              </w:rPr>
              <w:t>Immutable User ID and PII minimization</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Retained evidence uses stable immutable internal User ID; applicable display PII may be removed/anonymized on account closure while history remains referentially stable. Exact legal retention/anonymization mechanics remain security/privacy implementation.</w:t>
            </w:r>
          </w:p>
        </w:tc>
        <w:tc>
          <w:tcPr>
            <w:tcW w:type="dxa" w:w="1694"/>
            <w:tcMar>
              <w:top w:w="35" w:type="dxa"/>
              <w:start w:w="45" w:type="dxa"/>
              <w:bottom w:w="35" w:type="dxa"/>
              <w:end w:w="45" w:type="dxa"/>
            </w:tcMar>
          </w:tcPr>
          <w:p>
            <w:r>
              <w:rPr>
                <w:rFonts w:ascii="Aptos" w:hAnsi="Aptos" w:eastAsia="Aptos"/>
                <w:b w:val="0"/>
                <w:sz w:val="14"/>
              </w:rPr>
              <w:t>R-12</w:t>
            </w:r>
          </w:p>
        </w:tc>
      </w:tr>
      <w:tr>
        <w:tc>
          <w:tcPr>
            <w:tcW w:type="dxa" w:w="1694"/>
            <w:tcMar>
              <w:top w:w="35" w:type="dxa"/>
              <w:start w:w="45" w:type="dxa"/>
              <w:bottom w:w="35" w:type="dxa"/>
              <w:end w:w="45" w:type="dxa"/>
            </w:tcMar>
          </w:tcPr>
          <w:p>
            <w:r>
              <w:rPr>
                <w:rFonts w:ascii="Aptos" w:hAnsi="Aptos" w:eastAsia="Aptos"/>
                <w:b/>
                <w:sz w:val="14"/>
              </w:rPr>
              <w:t>D-114</w:t>
            </w:r>
          </w:p>
        </w:tc>
        <w:tc>
          <w:tcPr>
            <w:tcW w:type="dxa" w:w="1694"/>
            <w:tcMar>
              <w:top w:w="35" w:type="dxa"/>
              <w:start w:w="45" w:type="dxa"/>
              <w:bottom w:w="35" w:type="dxa"/>
              <w:end w:w="45" w:type="dxa"/>
            </w:tcMar>
          </w:tcPr>
          <w:p>
            <w:r>
              <w:rPr>
                <w:rFonts w:ascii="Aptos" w:hAnsi="Aptos" w:eastAsia="Aptos"/>
                <w:b w:val="0"/>
                <w:sz w:val="14"/>
              </w:rPr>
              <w:t>3,67</w:t>
            </w:r>
          </w:p>
        </w:tc>
        <w:tc>
          <w:tcPr>
            <w:tcW w:type="dxa" w:w="1694"/>
            <w:tcMar>
              <w:top w:w="35" w:type="dxa"/>
              <w:start w:w="45" w:type="dxa"/>
              <w:bottom w:w="35" w:type="dxa"/>
              <w:end w:w="45" w:type="dxa"/>
            </w:tcMar>
          </w:tcPr>
          <w:p>
            <w:r>
              <w:rPr>
                <w:rFonts w:ascii="Aptos" w:hAnsi="Aptos" w:eastAsia="Aptos"/>
                <w:b w:val="0"/>
                <w:sz w:val="14"/>
              </w:rPr>
              <w:t>Email change and account recovery</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Email change requires authenticated session plus new-email verification before effective and prior-email notice where possible. Lost access uses controlled/audited SmartSense support/admin recovery; VIN + Gateway code alone is insufficient.</w:t>
            </w:r>
          </w:p>
        </w:tc>
        <w:tc>
          <w:tcPr>
            <w:tcW w:type="dxa" w:w="1694"/>
            <w:tcMar>
              <w:top w:w="35" w:type="dxa"/>
              <w:start w:w="45" w:type="dxa"/>
              <w:bottom w:w="35" w:type="dxa"/>
              <w:end w:w="45" w:type="dxa"/>
            </w:tcMar>
          </w:tcPr>
          <w:p>
            <w:r>
              <w:rPr>
                <w:rFonts w:ascii="Aptos" w:hAnsi="Aptos" w:eastAsia="Aptos"/>
                <w:b w:val="0"/>
                <w:sz w:val="14"/>
              </w:rPr>
              <w:t>R-13</w:t>
            </w:r>
          </w:p>
        </w:tc>
      </w:tr>
      <w:tr>
        <w:tc>
          <w:tcPr>
            <w:tcW w:type="dxa" w:w="1694"/>
            <w:tcMar>
              <w:top w:w="35" w:type="dxa"/>
              <w:start w:w="45" w:type="dxa"/>
              <w:bottom w:w="35" w:type="dxa"/>
              <w:end w:w="45" w:type="dxa"/>
            </w:tcMar>
          </w:tcPr>
          <w:p>
            <w:r>
              <w:rPr>
                <w:rFonts w:ascii="Aptos" w:hAnsi="Aptos" w:eastAsia="Aptos"/>
                <w:b/>
                <w:sz w:val="14"/>
              </w:rPr>
              <w:t>D-115</w:t>
            </w:r>
          </w:p>
        </w:tc>
        <w:tc>
          <w:tcPr>
            <w:tcW w:type="dxa" w:w="1694"/>
            <w:tcMar>
              <w:top w:w="35" w:type="dxa"/>
              <w:start w:w="45" w:type="dxa"/>
              <w:bottom w:w="35" w:type="dxa"/>
              <w:end w:w="45" w:type="dxa"/>
            </w:tcMar>
          </w:tcPr>
          <w:p>
            <w:r>
              <w:rPr>
                <w:rFonts w:ascii="Aptos" w:hAnsi="Aptos" w:eastAsia="Aptos"/>
                <w:b w:val="0"/>
                <w:sz w:val="14"/>
              </w:rPr>
              <w:t>52</w:t>
            </w:r>
          </w:p>
        </w:tc>
        <w:tc>
          <w:tcPr>
            <w:tcW w:type="dxa" w:w="1694"/>
            <w:tcMar>
              <w:top w:w="35" w:type="dxa"/>
              <w:start w:w="45" w:type="dxa"/>
              <w:bottom w:w="35" w:type="dxa"/>
              <w:end w:w="45" w:type="dxa"/>
            </w:tcMar>
          </w:tcPr>
          <w:p>
            <w:r>
              <w:rPr>
                <w:rFonts w:ascii="Aptos" w:hAnsi="Aptos" w:eastAsia="Aptos"/>
                <w:b w:val="0"/>
                <w:sz w:val="14"/>
              </w:rPr>
              <w:t>OEM-paid included-term configuration</w:t>
            </w:r>
          </w:p>
        </w:tc>
        <w:tc>
          <w:tcPr>
            <w:tcW w:type="dxa" w:w="1694"/>
            <w:tcMar>
              <w:top w:w="35" w:type="dxa"/>
              <w:start w:w="45" w:type="dxa"/>
              <w:bottom w:w="35" w:type="dxa"/>
              <w:end w:w="45" w:type="dxa"/>
            </w:tcMar>
          </w:tcPr>
          <w:p>
            <w:r>
              <w:rPr>
                <w:rFonts w:ascii="Aptos" w:hAnsi="Aptos" w:eastAsia="Aptos"/>
                <w:b w:val="0"/>
                <w:sz w:val="14"/>
              </w:rPr>
              <w:t>Decided — material</w:t>
            </w:r>
          </w:p>
        </w:tc>
        <w:tc>
          <w:tcPr>
            <w:tcW w:type="dxa" w:w="1694"/>
            <w:tcMar>
              <w:top w:w="35" w:type="dxa"/>
              <w:start w:w="45" w:type="dxa"/>
              <w:bottom w:w="35" w:type="dxa"/>
              <w:end w:w="45" w:type="dxa"/>
            </w:tcMar>
          </w:tcPr>
          <w:p>
            <w:r>
              <w:rPr>
                <w:rFonts w:ascii="Aptos" w:hAnsi="Aptos" w:eastAsia="Aptos"/>
                <w:b w:val="0"/>
                <w:sz w:val="14"/>
              </w:rPr>
              <w:t>36 months is initial/default, configurable at server-authoritative Model subscription configuration. VIN snapshots applicable included term/start at OEM registration; later Model changes are not retroactive.</w:t>
            </w:r>
          </w:p>
        </w:tc>
        <w:tc>
          <w:tcPr>
            <w:tcW w:type="dxa" w:w="1694"/>
            <w:tcMar>
              <w:top w:w="35" w:type="dxa"/>
              <w:start w:w="45" w:type="dxa"/>
              <w:bottom w:w="35" w:type="dxa"/>
              <w:end w:w="45" w:type="dxa"/>
            </w:tcMar>
          </w:tcPr>
          <w:p>
            <w:r>
              <w:rPr>
                <w:rFonts w:ascii="Aptos" w:hAnsi="Aptos" w:eastAsia="Aptos"/>
                <w:b w:val="0"/>
                <w:sz w:val="14"/>
              </w:rPr>
              <w:t>R-15</w:t>
            </w:r>
          </w:p>
        </w:tc>
      </w:tr>
      <w:tr>
        <w:tc>
          <w:tcPr>
            <w:tcW w:type="dxa" w:w="1694"/>
            <w:tcMar>
              <w:top w:w="35" w:type="dxa"/>
              <w:start w:w="45" w:type="dxa"/>
              <w:bottom w:w="35" w:type="dxa"/>
              <w:end w:w="45" w:type="dxa"/>
            </w:tcMar>
          </w:tcPr>
          <w:p>
            <w:r>
              <w:rPr>
                <w:rFonts w:ascii="Aptos" w:hAnsi="Aptos" w:eastAsia="Aptos"/>
                <w:b/>
                <w:sz w:val="14"/>
              </w:rPr>
              <w:t>D-116</w:t>
            </w:r>
          </w:p>
        </w:tc>
        <w:tc>
          <w:tcPr>
            <w:tcW w:type="dxa" w:w="1694"/>
            <w:tcMar>
              <w:top w:w="35" w:type="dxa"/>
              <w:start w:w="45" w:type="dxa"/>
              <w:bottom w:w="35" w:type="dxa"/>
              <w:end w:w="45" w:type="dxa"/>
            </w:tcMar>
          </w:tcPr>
          <w:p>
            <w:r>
              <w:rPr>
                <w:rFonts w:ascii="Aptos" w:hAnsi="Aptos" w:eastAsia="Aptos"/>
                <w:b w:val="0"/>
                <w:sz w:val="14"/>
              </w:rPr>
              <w:t>8,66,69</w:t>
            </w:r>
          </w:p>
        </w:tc>
        <w:tc>
          <w:tcPr>
            <w:tcW w:type="dxa" w:w="1694"/>
            <w:tcMar>
              <w:top w:w="35" w:type="dxa"/>
              <w:start w:w="45" w:type="dxa"/>
              <w:bottom w:w="35" w:type="dxa"/>
              <w:end w:w="45" w:type="dxa"/>
            </w:tcMar>
          </w:tcPr>
          <w:p>
            <w:r>
              <w:rPr>
                <w:rFonts w:ascii="Aptos" w:hAnsi="Aptos" w:eastAsia="Aptos"/>
                <w:b w:val="0"/>
                <w:sz w:val="14"/>
              </w:rPr>
              <w:t>OEM visibility of retail owner identity</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OEM may see activation/ownership status and dates needed for fleet/service administration, but retail login email/account identity is not exposed in OEM portal or OEM bulk export by default. SmartSense Admin may access when legitimately required.</w:t>
            </w:r>
          </w:p>
        </w:tc>
        <w:tc>
          <w:tcPr>
            <w:tcW w:type="dxa" w:w="1694"/>
            <w:tcMar>
              <w:top w:w="35" w:type="dxa"/>
              <w:start w:w="45" w:type="dxa"/>
              <w:bottom w:w="35" w:type="dxa"/>
              <w:end w:w="45" w:type="dxa"/>
            </w:tcMar>
          </w:tcPr>
          <w:p>
            <w:r>
              <w:rPr>
                <w:rFonts w:ascii="Aptos" w:hAnsi="Aptos" w:eastAsia="Aptos"/>
                <w:b w:val="0"/>
                <w:sz w:val="14"/>
              </w:rPr>
              <w:t>R-16</w:t>
            </w:r>
          </w:p>
        </w:tc>
      </w:tr>
      <w:tr>
        <w:tc>
          <w:tcPr>
            <w:tcW w:type="dxa" w:w="1694"/>
            <w:tcMar>
              <w:top w:w="35" w:type="dxa"/>
              <w:start w:w="45" w:type="dxa"/>
              <w:bottom w:w="35" w:type="dxa"/>
              <w:end w:w="45" w:type="dxa"/>
            </w:tcMar>
          </w:tcPr>
          <w:p>
            <w:r>
              <w:rPr>
                <w:rFonts w:ascii="Aptos" w:hAnsi="Aptos" w:eastAsia="Aptos"/>
                <w:b/>
                <w:sz w:val="14"/>
              </w:rPr>
              <w:t>D-117</w:t>
            </w:r>
          </w:p>
        </w:tc>
        <w:tc>
          <w:tcPr>
            <w:tcW w:type="dxa" w:w="1694"/>
            <w:tcMar>
              <w:top w:w="35" w:type="dxa"/>
              <w:start w:w="45" w:type="dxa"/>
              <w:bottom w:w="35" w:type="dxa"/>
              <w:end w:w="45" w:type="dxa"/>
            </w:tcMar>
          </w:tcPr>
          <w:p>
            <w:r>
              <w:rPr>
                <w:rFonts w:ascii="Aptos" w:hAnsi="Aptos" w:eastAsia="Aptos"/>
                <w:b w:val="0"/>
                <w:sz w:val="14"/>
              </w:rPr>
              <w:t>3</w:t>
            </w:r>
          </w:p>
        </w:tc>
        <w:tc>
          <w:tcPr>
            <w:tcW w:type="dxa" w:w="1694"/>
            <w:tcMar>
              <w:top w:w="35" w:type="dxa"/>
              <w:start w:w="45" w:type="dxa"/>
              <w:bottom w:w="35" w:type="dxa"/>
              <w:end w:w="45" w:type="dxa"/>
            </w:tcMar>
          </w:tcPr>
          <w:p>
            <w:r>
              <w:rPr>
                <w:rFonts w:ascii="Aptos" w:hAnsi="Aptos" w:eastAsia="Aptos"/>
                <w:b w:val="0"/>
                <w:sz w:val="14"/>
              </w:rPr>
              <w:t>Gateway LTE requirement for owner claim</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Gateway-mode owner claim/activation requires the Current Gateway itself online through LTE. Phone-only cloud connectivity is not sufficient; no offline Gateway claim path in current scope.</w:t>
            </w:r>
          </w:p>
        </w:tc>
        <w:tc>
          <w:tcPr>
            <w:tcW w:type="dxa" w:w="1694"/>
            <w:tcMar>
              <w:top w:w="35" w:type="dxa"/>
              <w:start w:w="45" w:type="dxa"/>
              <w:bottom w:w="35" w:type="dxa"/>
              <w:end w:w="45" w:type="dxa"/>
            </w:tcMar>
          </w:tcPr>
          <w:p>
            <w:r>
              <w:rPr>
                <w:rFonts w:ascii="Aptos" w:hAnsi="Aptos" w:eastAsia="Aptos"/>
                <w:b w:val="0"/>
                <w:sz w:val="14"/>
              </w:rPr>
              <w:t>R-18</w:t>
            </w:r>
          </w:p>
        </w:tc>
      </w:tr>
      <w:tr>
        <w:tc>
          <w:tcPr>
            <w:tcW w:type="dxa" w:w="1694"/>
            <w:tcMar>
              <w:top w:w="35" w:type="dxa"/>
              <w:start w:w="45" w:type="dxa"/>
              <w:bottom w:w="35" w:type="dxa"/>
              <w:end w:w="45" w:type="dxa"/>
            </w:tcMar>
          </w:tcPr>
          <w:p>
            <w:r>
              <w:rPr>
                <w:rFonts w:ascii="Aptos" w:hAnsi="Aptos" w:eastAsia="Aptos"/>
                <w:b/>
                <w:sz w:val="14"/>
              </w:rPr>
              <w:t>D-118</w:t>
            </w:r>
          </w:p>
        </w:tc>
        <w:tc>
          <w:tcPr>
            <w:tcW w:type="dxa" w:w="1694"/>
            <w:tcMar>
              <w:top w:w="35" w:type="dxa"/>
              <w:start w:w="45" w:type="dxa"/>
              <w:bottom w:w="35" w:type="dxa"/>
              <w:end w:w="45" w:type="dxa"/>
            </w:tcMar>
          </w:tcPr>
          <w:p>
            <w:r>
              <w:rPr>
                <w:rFonts w:ascii="Aptos" w:hAnsi="Aptos" w:eastAsia="Aptos"/>
                <w:b w:val="0"/>
                <w:sz w:val="14"/>
              </w:rPr>
              <w:t>59,61</w:t>
            </w:r>
          </w:p>
        </w:tc>
        <w:tc>
          <w:tcPr>
            <w:tcW w:type="dxa" w:w="1694"/>
            <w:tcMar>
              <w:top w:w="35" w:type="dxa"/>
              <w:start w:w="45" w:type="dxa"/>
              <w:bottom w:w="35" w:type="dxa"/>
              <w:end w:w="45" w:type="dxa"/>
            </w:tcMar>
          </w:tcPr>
          <w:p>
            <w:r>
              <w:rPr>
                <w:rFonts w:ascii="Aptos" w:hAnsi="Aptos" w:eastAsia="Aptos"/>
                <w:b w:val="0"/>
                <w:sz w:val="14"/>
              </w:rPr>
              <w:t>Current OTA/rollback scope</w:t>
            </w:r>
          </w:p>
        </w:tc>
        <w:tc>
          <w:tcPr>
            <w:tcW w:type="dxa" w:w="1694"/>
            <w:tcMar>
              <w:top w:w="35" w:type="dxa"/>
              <w:start w:w="45" w:type="dxa"/>
              <w:bottom w:w="35" w:type="dxa"/>
              <w:end w:w="45" w:type="dxa"/>
            </w:tcMar>
          </w:tcPr>
          <w:p>
            <w:r>
              <w:rPr>
                <w:rFonts w:ascii="Aptos" w:hAnsi="Aptos" w:eastAsia="Aptos"/>
                <w:b w:val="0"/>
                <w:sz w:val="14"/>
              </w:rPr>
              <w:t>Decided</w:t>
            </w:r>
          </w:p>
        </w:tc>
        <w:tc>
          <w:tcPr>
            <w:tcW w:type="dxa" w:w="1694"/>
            <w:tcMar>
              <w:top w:w="35" w:type="dxa"/>
              <w:start w:w="45" w:type="dxa"/>
              <w:bottom w:w="35" w:type="dxa"/>
              <w:end w:w="45" w:type="dxa"/>
            </w:tcMar>
          </w:tcPr>
          <w:p>
            <w:r>
              <w:rPr>
                <w:rFonts w:ascii="Aptos" w:hAnsi="Aptos" w:eastAsia="Aptos"/>
                <w:b w:val="0"/>
                <w:sz w:val="14"/>
              </w:rPr>
              <w:t>Current OTA release and rollback scope is SmartSense Gateway firmware only. TPMS sensor/CAN/peripheral OTA is outside current scope unless later controlled.</w:t>
            </w:r>
          </w:p>
        </w:tc>
        <w:tc>
          <w:tcPr>
            <w:tcW w:type="dxa" w:w="1694"/>
            <w:tcMar>
              <w:top w:w="35" w:type="dxa"/>
              <w:start w:w="45" w:type="dxa"/>
              <w:bottom w:w="35" w:type="dxa"/>
              <w:end w:w="45" w:type="dxa"/>
            </w:tcMar>
          </w:tcPr>
          <w:p>
            <w:r>
              <w:rPr>
                <w:rFonts w:ascii="Aptos" w:hAnsi="Aptos" w:eastAsia="Aptos"/>
                <w:b w:val="0"/>
                <w:sz w:val="14"/>
              </w:rPr>
              <w:t>R-20</w:t>
            </w:r>
          </w:p>
        </w:tc>
      </w:tr>
      <w:tr>
        <w:tc>
          <w:tcPr>
            <w:tcW w:type="dxa" w:w="1694"/>
            <w:tcMar>
              <w:top w:w="35" w:type="dxa"/>
              <w:start w:w="45" w:type="dxa"/>
              <w:bottom w:w="35" w:type="dxa"/>
              <w:end w:w="45" w:type="dxa"/>
            </w:tcMar>
          </w:tcPr>
          <w:p>
            <w:r>
              <w:rPr>
                <w:rFonts w:ascii="Aptos" w:hAnsi="Aptos" w:eastAsia="Aptos"/>
                <w:b/>
                <w:sz w:val="14"/>
              </w:rPr>
              <w:t>D-119</w:t>
            </w:r>
          </w:p>
        </w:tc>
        <w:tc>
          <w:tcPr>
            <w:tcW w:type="dxa" w:w="1694"/>
            <w:tcMar>
              <w:top w:w="35" w:type="dxa"/>
              <w:start w:w="45" w:type="dxa"/>
              <w:bottom w:w="35" w:type="dxa"/>
              <w:end w:w="45" w:type="dxa"/>
            </w:tcMar>
          </w:tcPr>
          <w:p>
            <w:r>
              <w:rPr>
                <w:rFonts w:ascii="Aptos" w:hAnsi="Aptos" w:eastAsia="Aptos"/>
                <w:b w:val="0"/>
                <w:sz w:val="14"/>
              </w:rPr>
              <w:t>3</w:t>
            </w:r>
          </w:p>
        </w:tc>
        <w:tc>
          <w:tcPr>
            <w:tcW w:type="dxa" w:w="1694"/>
            <w:tcMar>
              <w:top w:w="35" w:type="dxa"/>
              <w:start w:w="45" w:type="dxa"/>
              <w:bottom w:w="35" w:type="dxa"/>
              <w:end w:w="45" w:type="dxa"/>
            </w:tcMar>
          </w:tcPr>
          <w:p>
            <w:r>
              <w:rPr>
                <w:rFonts w:ascii="Aptos" w:hAnsi="Aptos" w:eastAsia="Aptos"/>
                <w:b w:val="0"/>
                <w:sz w:val="14"/>
              </w:rPr>
              <w:t>Authorized User maximum</w:t>
            </w:r>
          </w:p>
        </w:tc>
        <w:tc>
          <w:tcPr>
            <w:tcW w:type="dxa" w:w="1694"/>
            <w:tcMar>
              <w:top w:w="35" w:type="dxa"/>
              <w:start w:w="45" w:type="dxa"/>
              <w:bottom w:w="35" w:type="dxa"/>
              <w:end w:w="45" w:type="dxa"/>
            </w:tcMar>
          </w:tcPr>
          <w:p>
            <w:r>
              <w:rPr>
                <w:rFonts w:ascii="Aptos" w:hAnsi="Aptos" w:eastAsia="Aptos"/>
                <w:b w:val="0"/>
                <w:sz w:val="14"/>
              </w:rPr>
              <w:t>Decided — no cap</w:t>
            </w:r>
          </w:p>
        </w:tc>
        <w:tc>
          <w:tcPr>
            <w:tcW w:type="dxa" w:w="1694"/>
            <w:tcMar>
              <w:top w:w="35" w:type="dxa"/>
              <w:start w:w="45" w:type="dxa"/>
              <w:bottom w:w="35" w:type="dxa"/>
              <w:end w:w="45" w:type="dxa"/>
            </w:tcMar>
          </w:tcPr>
          <w:p>
            <w:r>
              <w:rPr>
                <w:rFonts w:ascii="Aptos" w:hAnsi="Aptos" w:eastAsia="Aptos"/>
                <w:b w:val="0"/>
                <w:sz w:val="14"/>
              </w:rPr>
              <w:t>No product-defined maximum Authorized Users per VIN in current scope. Operational abuse/rate/fan-out safeguards may exist without becoming a user-visible product cap.</w:t>
            </w:r>
          </w:p>
        </w:tc>
        <w:tc>
          <w:tcPr>
            <w:tcW w:type="dxa" w:w="1694"/>
            <w:tcMar>
              <w:top w:w="35" w:type="dxa"/>
              <w:start w:w="45" w:type="dxa"/>
              <w:bottom w:w="35" w:type="dxa"/>
              <w:end w:w="45" w:type="dxa"/>
            </w:tcMar>
          </w:tcPr>
          <w:p>
            <w:r>
              <w:rPr>
                <w:rFonts w:ascii="Aptos" w:hAnsi="Aptos" w:eastAsia="Aptos"/>
                <w:b w:val="0"/>
                <w:sz w:val="14"/>
              </w:rPr>
              <w:t>R-21</w:t>
            </w:r>
          </w:p>
        </w:tc>
      </w:tr>
      <w:tr>
        <w:tc>
          <w:tcPr>
            <w:tcW w:type="dxa" w:w="1694"/>
            <w:tcMar>
              <w:top w:w="35" w:type="dxa"/>
              <w:start w:w="45" w:type="dxa"/>
              <w:bottom w:w="35" w:type="dxa"/>
              <w:end w:w="45" w:type="dxa"/>
            </w:tcMar>
          </w:tcPr>
          <w:p>
            <w:r>
              <w:rPr>
                <w:rFonts w:ascii="Aptos" w:hAnsi="Aptos" w:eastAsia="Aptos"/>
                <w:b/>
                <w:sz w:val="14"/>
              </w:rPr>
              <w:t>D-120</w:t>
            </w:r>
          </w:p>
        </w:tc>
        <w:tc>
          <w:tcPr>
            <w:tcW w:type="dxa" w:w="1694"/>
            <w:tcMar>
              <w:top w:w="35" w:type="dxa"/>
              <w:start w:w="45" w:type="dxa"/>
              <w:bottom w:w="35" w:type="dxa"/>
              <w:end w:w="45" w:type="dxa"/>
            </w:tcMar>
          </w:tcPr>
          <w:p>
            <w:r>
              <w:rPr>
                <w:rFonts w:ascii="Aptos" w:hAnsi="Aptos" w:eastAsia="Aptos"/>
                <w:b w:val="0"/>
                <w:sz w:val="14"/>
              </w:rPr>
              <w:t>9</w:t>
            </w:r>
          </w:p>
        </w:tc>
        <w:tc>
          <w:tcPr>
            <w:tcW w:type="dxa" w:w="1694"/>
            <w:tcMar>
              <w:top w:w="35" w:type="dxa"/>
              <w:start w:w="45" w:type="dxa"/>
              <w:bottom w:w="35" w:type="dxa"/>
              <w:end w:w="45" w:type="dxa"/>
            </w:tcMar>
          </w:tcPr>
          <w:p>
            <w:r>
              <w:rPr>
                <w:rFonts w:ascii="Aptos" w:hAnsi="Aptos" w:eastAsia="Aptos"/>
                <w:b w:val="0"/>
                <w:sz w:val="14"/>
              </w:rPr>
              <w:t>Spare-tire monitoring scope</w:t>
            </w:r>
          </w:p>
        </w:tc>
        <w:tc>
          <w:tcPr>
            <w:tcW w:type="dxa" w:w="1694"/>
            <w:tcMar>
              <w:top w:w="35" w:type="dxa"/>
              <w:start w:w="45" w:type="dxa"/>
              <w:bottom w:w="35" w:type="dxa"/>
              <w:end w:w="45" w:type="dxa"/>
            </w:tcMar>
          </w:tcPr>
          <w:p>
            <w:r>
              <w:rPr>
                <w:rFonts w:ascii="Aptos" w:hAnsi="Aptos" w:eastAsia="Aptos"/>
                <w:b w:val="0"/>
                <w:sz w:val="14"/>
              </w:rPr>
              <w:t>Decided — not current scope</w:t>
            </w:r>
          </w:p>
        </w:tc>
        <w:tc>
          <w:tcPr>
            <w:tcW w:type="dxa" w:w="1694"/>
            <w:tcMar>
              <w:top w:w="35" w:type="dxa"/>
              <w:start w:w="45" w:type="dxa"/>
              <w:bottom w:w="35" w:type="dxa"/>
              <w:end w:w="45" w:type="dxa"/>
            </w:tcMar>
          </w:tcPr>
          <w:p>
            <w:r>
              <w:rPr>
                <w:rFonts w:ascii="Aptos" w:hAnsi="Aptos" w:eastAsia="Aptos"/>
                <w:b w:val="0"/>
                <w:sz w:val="14"/>
              </w:rPr>
              <w:t>Do not add monitored spare-tire positions to current SmartSense requirements; revisit only through a future controlled OEM/customer requirement.</w:t>
            </w:r>
          </w:p>
        </w:tc>
        <w:tc>
          <w:tcPr>
            <w:tcW w:type="dxa" w:w="1694"/>
            <w:tcMar>
              <w:top w:w="35" w:type="dxa"/>
              <w:start w:w="45" w:type="dxa"/>
              <w:bottom w:w="35" w:type="dxa"/>
              <w:end w:w="45" w:type="dxa"/>
            </w:tcMar>
          </w:tcPr>
          <w:p>
            <w:r>
              <w:rPr>
                <w:rFonts w:ascii="Aptos" w:hAnsi="Aptos" w:eastAsia="Aptos"/>
                <w:b w:val="0"/>
                <w:sz w:val="14"/>
              </w:rPr>
              <w:t>R-28</w:t>
            </w:r>
          </w:p>
        </w:tc>
      </w:tr>
      <w:tr>
        <w:tc>
          <w:tcPr>
            <w:tcW w:type="dxa" w:w="1694"/>
          </w:tcPr>
          <w:p>
            <w:r>
              <w:t>D-121</w:t>
            </w:r>
          </w:p>
        </w:tc>
        <w:tc>
          <w:tcPr>
            <w:tcW w:type="dxa" w:w="1694"/>
          </w:tcPr>
          <w:p>
            <w:r>
              <w:t>10,11,16,19,23,44,72</w:t>
            </w:r>
          </w:p>
        </w:tc>
        <w:tc>
          <w:tcPr>
            <w:tcW w:type="dxa" w:w="1694"/>
          </w:tcPr>
          <w:p>
            <w:r>
              <w:t>Gateway-only temperature/humidity and accelerometer capability</w:t>
            </w:r>
          </w:p>
        </w:tc>
        <w:tc>
          <w:tcPr>
            <w:tcW w:type="dxa" w:w="1694"/>
          </w:tcPr>
          <w:p>
            <w:r>
              <w:t>Decided — material</w:t>
            </w:r>
          </w:p>
        </w:tc>
        <w:tc>
          <w:tcPr>
            <w:tcW w:type="dxa" w:w="1694"/>
          </w:tcPr>
          <w:p>
            <w:r>
              <w:t>Gateway Mode supports applicable temperature/humidity and accelerometer data through the Gateway, and the Gateway-mode mobile app presents that Gateway-provided information. DIRECT_TPMS remains a separate TPMS-only mobile experience; temperature/humidity and accelerometer are Not Available in DIRECT_TPMS. Shared cloud/portal data models preserve this applicability and do not represent unsupported Direct capability as Stale/Offline.</w:t>
            </w:r>
          </w:p>
        </w:tc>
        <w:tc>
          <w:tcPr>
            <w:tcW w:type="dxa" w:w="1694"/>
          </w:tcPr>
          <w:p>
            <w:r>
              <w:t>PO clarification 2026-08-11</w:t>
            </w:r>
          </w:p>
        </w:tc>
      </w:tr>
    </w:tbl>
    <w:p>
      <w:pPr>
        <w:pStyle w:val="Heading2"/>
        <w:keepNext/>
      </w:pPr>
      <w:r>
        <w:t>Legacy Decision Supersession / Reframing</w:t>
      </w:r>
    </w:p>
    <w:p>
      <w:pPr>
        <w:pStyle w:val="RequirementBullet"/>
      </w:pPr>
      <w:r>
        <w:rPr>
          <w:b/>
        </w:rPr>
        <w:t xml:space="preserve">• D-009: Superseded / corrected by D-109 and D-110. </w:t>
      </w:r>
      <w:r>
        <w:t>Earlier pairing-code wording implied both Product Modes use the pairing code. Current architecture is Gateway credential only; Direct TPMS uses local factory-sensor presence proof.</w:t>
      </w:r>
    </w:p>
    <w:p>
      <w:pPr>
        <w:pStyle w:val="RequirementBullet"/>
      </w:pPr>
      <w:r>
        <w:rPr>
          <w:b/>
        </w:rPr>
        <w:t xml:space="preserve">• D-013: Resolved / superseded by D-115 and M52. </w:t>
      </w:r>
      <w:r>
        <w:t>Earlier subscription-start deferral is obsolete. Included term starts at OEM VIN registration under M52.</w:t>
      </w:r>
    </w:p>
    <w:p>
      <w:pPr>
        <w:pStyle w:val="RequirementBullet"/>
      </w:pPr>
      <w:r>
        <w:rPr>
          <w:b/>
        </w:rPr>
        <w:t xml:space="preserve">• D-018: Reframed by D-109 / D-110. </w:t>
      </w:r>
      <w:r>
        <w:t>Earlier 'same permanent pairing code' transfer wording now applies only to Gateway-mode Current Gateway credential; Direct TPMS has no Gateway pairing code.</w:t>
      </w:r>
    </w:p>
    <w:p>
      <w:pPr>
        <w:pStyle w:val="RequirementBullet"/>
      </w:pPr>
      <w:r>
        <w:t>• D-001–D-103 other: Retained in archived Register v0.6 unless explicitly superseded/reframed by a v0.7 decision or current Merge logic. The legacy decision text remains part of the audit chain; current target behavior is controlled by Register v0.10 + Specification v0.8.</w:t>
      </w:r>
    </w:p>
    <w:p>
      <w:r>
        <w:br w:type="page"/>
      </w:r>
    </w:p>
    <w:p>
      <w:pPr>
        <w:pStyle w:val="Heading1"/>
        <w:keepNext/>
      </w:pPr>
      <w:r>
        <w:t>Appendix C — v0.5 Review-to-Control Trace (historical change-cycle evidence)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F5597"/>
          </w:tcPr>
          <w:p>
            <w:r>
              <w:rPr>
                <w:rFonts w:ascii="Aptos" w:hAnsi="Aptos" w:eastAsia="Aptos"/>
                <w:b/>
                <w:color w:val="FFFFFF"/>
                <w:sz w:val="15"/>
              </w:rPr>
              <w:t>Review ID</w:t>
            </w:r>
          </w:p>
        </w:tc>
        <w:tc>
          <w:tcPr>
            <w:tcW w:type="dxa" w:w="2541"/>
            <w:shd w:fill="2F5597"/>
          </w:tcPr>
          <w:p>
            <w:r>
              <w:rPr>
                <w:rFonts w:ascii="Aptos" w:hAnsi="Aptos" w:eastAsia="Aptos"/>
                <w:b/>
                <w:color w:val="FFFFFF"/>
                <w:sz w:val="15"/>
              </w:rPr>
              <w:t>Affected Merge IDs</w:t>
            </w:r>
          </w:p>
        </w:tc>
        <w:tc>
          <w:tcPr>
            <w:tcW w:type="dxa" w:w="2541"/>
            <w:shd w:fill="2F5597"/>
          </w:tcPr>
          <w:p>
            <w:r>
              <w:rPr>
                <w:rFonts w:ascii="Aptos" w:hAnsi="Aptos" w:eastAsia="Aptos"/>
                <w:b/>
                <w:color w:val="FFFFFF"/>
                <w:sz w:val="15"/>
              </w:rPr>
              <w:t>Disposition</w:t>
            </w:r>
          </w:p>
        </w:tc>
        <w:tc>
          <w:tcPr>
            <w:tcW w:type="dxa" w:w="2541"/>
            <w:shd w:fill="2F5597"/>
          </w:tcPr>
          <w:p>
            <w:r>
              <w:rPr>
                <w:rFonts w:ascii="Aptos" w:hAnsi="Aptos" w:eastAsia="Aptos"/>
                <w:b/>
                <w:color w:val="FFFFFF"/>
                <w:sz w:val="15"/>
              </w:rPr>
              <w:t>Controlled Treatment</w:t>
            </w:r>
          </w:p>
        </w:tc>
      </w:tr>
      <w:tr>
        <w:tc>
          <w:tcPr>
            <w:tcW w:type="dxa" w:w="2541"/>
            <w:tcMar>
              <w:top w:w="35" w:type="dxa"/>
              <w:start w:w="45" w:type="dxa"/>
              <w:bottom w:w="35" w:type="dxa"/>
              <w:end w:w="45" w:type="dxa"/>
            </w:tcMar>
          </w:tcPr>
          <w:p>
            <w:r>
              <w:rPr>
                <w:rFonts w:ascii="Aptos" w:hAnsi="Aptos" w:eastAsia="Aptos"/>
                <w:b/>
                <w:sz w:val="14"/>
              </w:rPr>
              <w:t>R-01</w:t>
            </w:r>
          </w:p>
        </w:tc>
        <w:tc>
          <w:tcPr>
            <w:tcW w:type="dxa" w:w="2541"/>
            <w:tcMar>
              <w:top w:w="35" w:type="dxa"/>
              <w:start w:w="45" w:type="dxa"/>
              <w:bottom w:w="35" w:type="dxa"/>
              <w:end w:w="45" w:type="dxa"/>
            </w:tcMar>
          </w:tcPr>
          <w:p>
            <w:r>
              <w:rPr>
                <w:rFonts w:ascii="Aptos" w:hAnsi="Aptos" w:eastAsia="Aptos"/>
                <w:b w:val="0"/>
                <w:sz w:val="14"/>
              </w:rPr>
              <w:t>11,26,27,32</w:t>
            </w:r>
          </w:p>
        </w:tc>
        <w:tc>
          <w:tcPr>
            <w:tcW w:type="dxa" w:w="2541"/>
            <w:tcMar>
              <w:top w:w="35" w:type="dxa"/>
              <w:start w:w="45" w:type="dxa"/>
              <w:bottom w:w="35" w:type="dxa"/>
              <w:end w:w="45" w:type="dxa"/>
            </w:tcMar>
          </w:tcPr>
          <w:p>
            <w:r>
              <w:rPr>
                <w:rFonts w:ascii="Aptos" w:hAnsi="Aptos" w:eastAsia="Aptos"/>
                <w:b w:val="0"/>
                <w:sz w:val="14"/>
              </w:rPr>
              <w:t>RETAIN CURRENT</w:t>
            </w:r>
          </w:p>
        </w:tc>
        <w:tc>
          <w:tcPr>
            <w:tcW w:type="dxa" w:w="2541"/>
            <w:tcMar>
              <w:top w:w="35" w:type="dxa"/>
              <w:start w:w="45" w:type="dxa"/>
              <w:bottom w:w="35" w:type="dxa"/>
              <w:end w:w="45" w:type="dxa"/>
            </w:tcMar>
          </w:tcPr>
          <w:p>
            <w:r>
              <w:rPr>
                <w:rFonts w:ascii="Aptos" w:hAnsi="Aptos" w:eastAsia="Aptos"/>
                <w:b w:val="0"/>
                <w:sz w:val="14"/>
              </w:rPr>
              <w:t>Gateway remains sole authoritative evaluator in Gateway Mode; faster BLE does not create second app evaluator.</w:t>
            </w:r>
          </w:p>
        </w:tc>
      </w:tr>
      <w:tr>
        <w:tc>
          <w:tcPr>
            <w:tcW w:type="dxa" w:w="2541"/>
            <w:tcMar>
              <w:top w:w="35" w:type="dxa"/>
              <w:start w:w="45" w:type="dxa"/>
              <w:bottom w:w="35" w:type="dxa"/>
              <w:end w:w="45" w:type="dxa"/>
            </w:tcMar>
          </w:tcPr>
          <w:p>
            <w:r>
              <w:rPr>
                <w:rFonts w:ascii="Aptos" w:hAnsi="Aptos" w:eastAsia="Aptos"/>
                <w:b/>
                <w:sz w:val="14"/>
              </w:rPr>
              <w:t>R-02</w:t>
            </w:r>
          </w:p>
        </w:tc>
        <w:tc>
          <w:tcPr>
            <w:tcW w:type="dxa" w:w="2541"/>
            <w:tcMar>
              <w:top w:w="35" w:type="dxa"/>
              <w:start w:w="45" w:type="dxa"/>
              <w:bottom w:w="35" w:type="dxa"/>
              <w:end w:w="45" w:type="dxa"/>
            </w:tcMar>
          </w:tcPr>
          <w:p>
            <w:r>
              <w:rPr>
                <w:rFonts w:ascii="Aptos" w:hAnsi="Aptos" w:eastAsia="Aptos"/>
                <w:b w:val="0"/>
                <w:sz w:val="14"/>
              </w:rPr>
              <w:t>3,8,52</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Remove stale subscription-start deferrals; cross-reference M52.</w:t>
            </w:r>
          </w:p>
        </w:tc>
      </w:tr>
      <w:tr>
        <w:tc>
          <w:tcPr>
            <w:tcW w:type="dxa" w:w="2541"/>
            <w:tcMar>
              <w:top w:w="35" w:type="dxa"/>
              <w:start w:w="45" w:type="dxa"/>
              <w:bottom w:w="35" w:type="dxa"/>
              <w:end w:w="45" w:type="dxa"/>
            </w:tcMar>
          </w:tcPr>
          <w:p>
            <w:r>
              <w:rPr>
                <w:rFonts w:ascii="Aptos" w:hAnsi="Aptos" w:eastAsia="Aptos"/>
                <w:b/>
                <w:sz w:val="14"/>
              </w:rPr>
              <w:t>R-03</w:t>
            </w:r>
          </w:p>
        </w:tc>
        <w:tc>
          <w:tcPr>
            <w:tcW w:type="dxa" w:w="2541"/>
            <w:tcMar>
              <w:top w:w="35" w:type="dxa"/>
              <w:start w:w="45" w:type="dxa"/>
              <w:bottom w:w="35" w:type="dxa"/>
              <w:end w:w="45" w:type="dxa"/>
            </w:tcMar>
          </w:tcPr>
          <w:p>
            <w:r>
              <w:rPr>
                <w:rFonts w:ascii="Aptos" w:hAnsi="Aptos" w:eastAsia="Aptos"/>
                <w:b w:val="0"/>
                <w:sz w:val="14"/>
              </w:rPr>
              <w:t>Document-wide</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Separate Definition Status from Phase/Scope; normalize open-item vocabulary.</w:t>
            </w:r>
          </w:p>
        </w:tc>
      </w:tr>
      <w:tr>
        <w:tc>
          <w:tcPr>
            <w:tcW w:type="dxa" w:w="2541"/>
            <w:tcMar>
              <w:top w:w="35" w:type="dxa"/>
              <w:start w:w="45" w:type="dxa"/>
              <w:bottom w:w="35" w:type="dxa"/>
              <w:end w:w="45" w:type="dxa"/>
            </w:tcMar>
          </w:tcPr>
          <w:p>
            <w:r>
              <w:rPr>
                <w:rFonts w:ascii="Aptos" w:hAnsi="Aptos" w:eastAsia="Aptos"/>
                <w:b/>
                <w:sz w:val="14"/>
              </w:rPr>
              <w:t>R-04</w:t>
            </w:r>
          </w:p>
        </w:tc>
        <w:tc>
          <w:tcPr>
            <w:tcW w:type="dxa" w:w="2541"/>
            <w:tcMar>
              <w:top w:w="35" w:type="dxa"/>
              <w:start w:w="45" w:type="dxa"/>
              <w:bottom w:w="35" w:type="dxa"/>
              <w:end w:w="45" w:type="dxa"/>
            </w:tcMar>
          </w:tcPr>
          <w:p>
            <w:r>
              <w:rPr>
                <w:rFonts w:ascii="Aptos" w:hAnsi="Aptos" w:eastAsia="Aptos"/>
                <w:b w:val="0"/>
                <w:sz w:val="14"/>
              </w:rPr>
              <w:t>1,2,4,5,45</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Separate VIN operational, retail claim/ownership and Gateway lifecycle dimensions.</w:t>
            </w:r>
          </w:p>
        </w:tc>
      </w:tr>
      <w:tr>
        <w:tc>
          <w:tcPr>
            <w:tcW w:type="dxa" w:w="2541"/>
            <w:tcMar>
              <w:top w:w="35" w:type="dxa"/>
              <w:start w:w="45" w:type="dxa"/>
              <w:bottom w:w="35" w:type="dxa"/>
              <w:end w:w="45" w:type="dxa"/>
            </w:tcMar>
          </w:tcPr>
          <w:p>
            <w:r>
              <w:rPr>
                <w:rFonts w:ascii="Aptos" w:hAnsi="Aptos" w:eastAsia="Aptos"/>
                <w:b/>
                <w:sz w:val="14"/>
              </w:rPr>
              <w:t>R-05</w:t>
            </w:r>
          </w:p>
        </w:tc>
        <w:tc>
          <w:tcPr>
            <w:tcW w:type="dxa" w:w="2541"/>
            <w:tcMar>
              <w:top w:w="35" w:type="dxa"/>
              <w:start w:w="45" w:type="dxa"/>
              <w:bottom w:w="35" w:type="dxa"/>
              <w:end w:w="45" w:type="dxa"/>
            </w:tcMar>
          </w:tcPr>
          <w:p>
            <w:r>
              <w:rPr>
                <w:rFonts w:ascii="Aptos" w:hAnsi="Aptos" w:eastAsia="Aptos"/>
                <w:b w:val="0"/>
                <w:sz w:val="14"/>
              </w:rPr>
              <w:t>4</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Controlled replacement transaction with old Gateway Current until atomic cutover.</w:t>
            </w:r>
          </w:p>
        </w:tc>
      </w:tr>
      <w:tr>
        <w:tc>
          <w:tcPr>
            <w:tcW w:type="dxa" w:w="2541"/>
            <w:tcMar>
              <w:top w:w="35" w:type="dxa"/>
              <w:start w:w="45" w:type="dxa"/>
              <w:bottom w:w="35" w:type="dxa"/>
              <w:end w:w="45" w:type="dxa"/>
            </w:tcMar>
          </w:tcPr>
          <w:p>
            <w:r>
              <w:rPr>
                <w:rFonts w:ascii="Aptos" w:hAnsi="Aptos" w:eastAsia="Aptos"/>
                <w:b/>
                <w:sz w:val="14"/>
              </w:rPr>
              <w:t>R-06</w:t>
            </w:r>
          </w:p>
        </w:tc>
        <w:tc>
          <w:tcPr>
            <w:tcW w:type="dxa" w:w="2541"/>
            <w:tcMar>
              <w:top w:w="35" w:type="dxa"/>
              <w:start w:w="45" w:type="dxa"/>
              <w:bottom w:w="35" w:type="dxa"/>
              <w:end w:w="45" w:type="dxa"/>
            </w:tcMar>
          </w:tcPr>
          <w:p>
            <w:r>
              <w:rPr>
                <w:rFonts w:ascii="Aptos" w:hAnsi="Aptos" w:eastAsia="Aptos"/>
                <w:b w:val="0"/>
                <w:sz w:val="14"/>
              </w:rPr>
              <w:t>17,32</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Canonical AlertEvent + backfill live/historical behavior; algorithm remains technical.</w:t>
            </w:r>
          </w:p>
        </w:tc>
      </w:tr>
      <w:tr>
        <w:tc>
          <w:tcPr>
            <w:tcW w:type="dxa" w:w="2541"/>
            <w:tcMar>
              <w:top w:w="35" w:type="dxa"/>
              <w:start w:w="45" w:type="dxa"/>
              <w:bottom w:w="35" w:type="dxa"/>
              <w:end w:w="45" w:type="dxa"/>
            </w:tcMar>
          </w:tcPr>
          <w:p>
            <w:r>
              <w:rPr>
                <w:rFonts w:ascii="Aptos" w:hAnsi="Aptos" w:eastAsia="Aptos"/>
                <w:b/>
                <w:sz w:val="14"/>
              </w:rPr>
              <w:t>R-07</w:t>
            </w:r>
          </w:p>
        </w:tc>
        <w:tc>
          <w:tcPr>
            <w:tcW w:type="dxa" w:w="2541"/>
            <w:tcMar>
              <w:top w:w="35" w:type="dxa"/>
              <w:start w:w="45" w:type="dxa"/>
              <w:bottom w:w="35" w:type="dxa"/>
              <w:end w:w="45" w:type="dxa"/>
            </w:tcMar>
          </w:tcPr>
          <w:p>
            <w:r>
              <w:rPr>
                <w:rFonts w:ascii="Aptos" w:hAnsi="Aptos" w:eastAsia="Aptos"/>
                <w:b w:val="0"/>
                <w:sz w:val="14"/>
              </w:rPr>
              <w:t>23,25,28</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Active rule version transition behavior defined without rewriting triggering version.</w:t>
            </w:r>
          </w:p>
        </w:tc>
      </w:tr>
      <w:tr>
        <w:tc>
          <w:tcPr>
            <w:tcW w:type="dxa" w:w="2541"/>
            <w:tcMar>
              <w:top w:w="35" w:type="dxa"/>
              <w:start w:w="45" w:type="dxa"/>
              <w:bottom w:w="35" w:type="dxa"/>
              <w:end w:w="45" w:type="dxa"/>
            </w:tcMar>
          </w:tcPr>
          <w:p>
            <w:r>
              <w:rPr>
                <w:rFonts w:ascii="Aptos" w:hAnsi="Aptos" w:eastAsia="Aptos"/>
                <w:b/>
                <w:sz w:val="14"/>
              </w:rPr>
              <w:t>R-08</w:t>
            </w:r>
          </w:p>
        </w:tc>
        <w:tc>
          <w:tcPr>
            <w:tcW w:type="dxa" w:w="2541"/>
            <w:tcMar>
              <w:top w:w="35" w:type="dxa"/>
              <w:start w:w="45" w:type="dxa"/>
              <w:bottom w:w="35" w:type="dxa"/>
              <w:end w:w="45" w:type="dxa"/>
            </w:tcMar>
          </w:tcPr>
          <w:p>
            <w:r>
              <w:rPr>
                <w:rFonts w:ascii="Aptos" w:hAnsi="Aptos" w:eastAsia="Aptos"/>
                <w:b w:val="0"/>
                <w:sz w:val="14"/>
              </w:rPr>
              <w:t>21,22,63–65,70</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Direct TPMS mileage/location/geofence Not Available; maintenance applicability clarified.</w:t>
            </w:r>
          </w:p>
        </w:tc>
      </w:tr>
      <w:tr>
        <w:tc>
          <w:tcPr>
            <w:tcW w:type="dxa" w:w="2541"/>
            <w:tcMar>
              <w:top w:w="35" w:type="dxa"/>
              <w:start w:w="45" w:type="dxa"/>
              <w:bottom w:w="35" w:type="dxa"/>
              <w:end w:w="45" w:type="dxa"/>
            </w:tcMar>
          </w:tcPr>
          <w:p>
            <w:r>
              <w:rPr>
                <w:rFonts w:ascii="Aptos" w:hAnsi="Aptos" w:eastAsia="Aptos"/>
                <w:b/>
                <w:sz w:val="14"/>
              </w:rPr>
              <w:t>R-09</w:t>
            </w:r>
          </w:p>
        </w:tc>
        <w:tc>
          <w:tcPr>
            <w:tcW w:type="dxa" w:w="2541"/>
            <w:tcMar>
              <w:top w:w="35" w:type="dxa"/>
              <w:start w:w="45" w:type="dxa"/>
              <w:bottom w:w="35" w:type="dxa"/>
              <w:end w:w="45" w:type="dxa"/>
            </w:tcMar>
          </w:tcPr>
          <w:p>
            <w:r>
              <w:rPr>
                <w:rFonts w:ascii="Aptos" w:hAnsi="Aptos" w:eastAsia="Aptos"/>
                <w:b w:val="0"/>
                <w:sz w:val="14"/>
              </w:rPr>
              <w:t>3,5</w:t>
            </w:r>
          </w:p>
        </w:tc>
        <w:tc>
          <w:tcPr>
            <w:tcW w:type="dxa" w:w="2541"/>
            <w:tcMar>
              <w:top w:w="35" w:type="dxa"/>
              <w:start w:w="45" w:type="dxa"/>
              <w:bottom w:w="35" w:type="dxa"/>
              <w:end w:w="45" w:type="dxa"/>
            </w:tcMar>
          </w:tcPr>
          <w:p>
            <w:r>
              <w:rPr>
                <w:rFonts w:ascii="Aptos" w:hAnsi="Aptos" w:eastAsia="Aptos"/>
                <w:b w:val="0"/>
                <w:sz w:val="14"/>
              </w:rPr>
              <w:t>APPROVED / REFRAMED</w:t>
            </w:r>
          </w:p>
        </w:tc>
        <w:tc>
          <w:tcPr>
            <w:tcW w:type="dxa" w:w="2541"/>
            <w:tcMar>
              <w:top w:w="35" w:type="dxa"/>
              <w:start w:w="45" w:type="dxa"/>
              <w:bottom w:w="35" w:type="dxa"/>
              <w:end w:w="45" w:type="dxa"/>
            </w:tcMar>
          </w:tcPr>
          <w:p>
            <w:r>
              <w:rPr>
                <w:rFonts w:ascii="Aptos" w:hAnsi="Aptos" w:eastAsia="Aptos"/>
                <w:b w:val="0"/>
                <w:sz w:val="14"/>
              </w:rPr>
              <w:t>Pairing code is manufactured Gateway credential; claim requires BLE + code + Gateway LTE + cloud/current-Gateway checks.</w:t>
            </w:r>
          </w:p>
        </w:tc>
      </w:tr>
      <w:tr>
        <w:tc>
          <w:tcPr>
            <w:tcW w:type="dxa" w:w="2541"/>
            <w:tcMar>
              <w:top w:w="35" w:type="dxa"/>
              <w:start w:w="45" w:type="dxa"/>
              <w:bottom w:w="35" w:type="dxa"/>
              <w:end w:w="45" w:type="dxa"/>
            </w:tcMar>
          </w:tcPr>
          <w:p>
            <w:r>
              <w:rPr>
                <w:rFonts w:ascii="Aptos" w:hAnsi="Aptos" w:eastAsia="Aptos"/>
                <w:b/>
                <w:sz w:val="14"/>
              </w:rPr>
              <w:t>R-10</w:t>
            </w:r>
          </w:p>
        </w:tc>
        <w:tc>
          <w:tcPr>
            <w:tcW w:type="dxa" w:w="2541"/>
            <w:tcMar>
              <w:top w:w="35" w:type="dxa"/>
              <w:start w:w="45" w:type="dxa"/>
              <w:bottom w:w="35" w:type="dxa"/>
              <w:end w:w="45" w:type="dxa"/>
            </w:tcMar>
          </w:tcPr>
          <w:p>
            <w:r>
              <w:rPr>
                <w:rFonts w:ascii="Aptos" w:hAnsi="Aptos" w:eastAsia="Aptos"/>
                <w:b w:val="0"/>
                <w:sz w:val="14"/>
              </w:rPr>
              <w:t>10</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Direct monitoring active/not-active UX and feasible session evidence; J3309 latency trace.</w:t>
            </w:r>
          </w:p>
        </w:tc>
      </w:tr>
      <w:tr>
        <w:tc>
          <w:tcPr>
            <w:tcW w:type="dxa" w:w="2541"/>
            <w:tcMar>
              <w:top w:w="35" w:type="dxa"/>
              <w:start w:w="45" w:type="dxa"/>
              <w:bottom w:w="35" w:type="dxa"/>
              <w:end w:w="45" w:type="dxa"/>
            </w:tcMar>
          </w:tcPr>
          <w:p>
            <w:r>
              <w:rPr>
                <w:rFonts w:ascii="Aptos" w:hAnsi="Aptos" w:eastAsia="Aptos"/>
                <w:b/>
                <w:sz w:val="14"/>
              </w:rPr>
              <w:t>R-11</w:t>
            </w:r>
          </w:p>
        </w:tc>
        <w:tc>
          <w:tcPr>
            <w:tcW w:type="dxa" w:w="2541"/>
            <w:tcMar>
              <w:top w:w="35" w:type="dxa"/>
              <w:start w:w="45" w:type="dxa"/>
              <w:bottom w:w="35" w:type="dxa"/>
              <w:end w:w="45" w:type="dxa"/>
            </w:tcMar>
          </w:tcPr>
          <w:p>
            <w:r>
              <w:rPr>
                <w:rFonts w:ascii="Aptos" w:hAnsi="Aptos" w:eastAsia="Aptos"/>
                <w:b w:val="0"/>
                <w:sz w:val="14"/>
              </w:rPr>
              <w:t>31,43</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Severity taxonomy separate from 24/7 safety notification policy.</w:t>
            </w:r>
          </w:p>
        </w:tc>
      </w:tr>
      <w:tr>
        <w:tc>
          <w:tcPr>
            <w:tcW w:type="dxa" w:w="2541"/>
            <w:tcMar>
              <w:top w:w="35" w:type="dxa"/>
              <w:start w:w="45" w:type="dxa"/>
              <w:bottom w:w="35" w:type="dxa"/>
              <w:end w:w="45" w:type="dxa"/>
            </w:tcMar>
          </w:tcPr>
          <w:p>
            <w:r>
              <w:rPr>
                <w:rFonts w:ascii="Aptos" w:hAnsi="Aptos" w:eastAsia="Aptos"/>
                <w:b/>
                <w:sz w:val="14"/>
              </w:rPr>
              <w:t>R-12</w:t>
            </w:r>
          </w:p>
        </w:tc>
        <w:tc>
          <w:tcPr>
            <w:tcW w:type="dxa" w:w="2541"/>
            <w:tcMar>
              <w:top w:w="35" w:type="dxa"/>
              <w:start w:w="45" w:type="dxa"/>
              <w:bottom w:w="35" w:type="dxa"/>
              <w:end w:w="45" w:type="dxa"/>
            </w:tcMar>
          </w:tcPr>
          <w:p>
            <w:r>
              <w:rPr>
                <w:rFonts w:ascii="Aptos" w:hAnsi="Aptos" w:eastAsia="Aptos"/>
                <w:b w:val="0"/>
                <w:sz w:val="14"/>
              </w:rPr>
              <w:t>6,67</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Immutable internal User ID retained; display PII may be minimized/anonymized.</w:t>
            </w:r>
          </w:p>
        </w:tc>
      </w:tr>
      <w:tr>
        <w:tc>
          <w:tcPr>
            <w:tcW w:type="dxa" w:w="2541"/>
            <w:tcMar>
              <w:top w:w="35" w:type="dxa"/>
              <w:start w:w="45" w:type="dxa"/>
              <w:bottom w:w="35" w:type="dxa"/>
              <w:end w:w="45" w:type="dxa"/>
            </w:tcMar>
          </w:tcPr>
          <w:p>
            <w:r>
              <w:rPr>
                <w:rFonts w:ascii="Aptos" w:hAnsi="Aptos" w:eastAsia="Aptos"/>
                <w:b/>
                <w:sz w:val="14"/>
              </w:rPr>
              <w:t>R-13</w:t>
            </w:r>
          </w:p>
        </w:tc>
        <w:tc>
          <w:tcPr>
            <w:tcW w:type="dxa" w:w="2541"/>
            <w:tcMar>
              <w:top w:w="35" w:type="dxa"/>
              <w:start w:w="45" w:type="dxa"/>
              <w:bottom w:w="35" w:type="dxa"/>
              <w:end w:w="45" w:type="dxa"/>
            </w:tcMar>
          </w:tcPr>
          <w:p>
            <w:r>
              <w:rPr>
                <w:rFonts w:ascii="Aptos" w:hAnsi="Aptos" w:eastAsia="Aptos"/>
                <w:b w:val="0"/>
                <w:sz w:val="14"/>
              </w:rPr>
              <w:t>3,67</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Verified email-change and controlled audited account recovery.</w:t>
            </w:r>
          </w:p>
        </w:tc>
      </w:tr>
      <w:tr>
        <w:tc>
          <w:tcPr>
            <w:tcW w:type="dxa" w:w="2541"/>
            <w:tcMar>
              <w:top w:w="35" w:type="dxa"/>
              <w:start w:w="45" w:type="dxa"/>
              <w:bottom w:w="35" w:type="dxa"/>
              <w:end w:w="45" w:type="dxa"/>
            </w:tcMar>
          </w:tcPr>
          <w:p>
            <w:r>
              <w:rPr>
                <w:rFonts w:ascii="Aptos" w:hAnsi="Aptos" w:eastAsia="Aptos"/>
                <w:b/>
                <w:sz w:val="14"/>
              </w:rPr>
              <w:t>R-14</w:t>
            </w:r>
          </w:p>
        </w:tc>
        <w:tc>
          <w:tcPr>
            <w:tcW w:type="dxa" w:w="2541"/>
            <w:tcMar>
              <w:top w:w="35" w:type="dxa"/>
              <w:start w:w="45" w:type="dxa"/>
              <w:bottom w:w="35" w:type="dxa"/>
              <w:end w:w="45" w:type="dxa"/>
            </w:tcMar>
          </w:tcPr>
          <w:p>
            <w:r>
              <w:rPr>
                <w:rFonts w:ascii="Aptos" w:hAnsi="Aptos" w:eastAsia="Aptos"/>
                <w:b w:val="0"/>
                <w:sz w:val="14"/>
              </w:rPr>
              <w:t>36</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Future SMS requires phone collection/verification/consent/provider mechanics.</w:t>
            </w:r>
          </w:p>
        </w:tc>
      </w:tr>
      <w:tr>
        <w:tc>
          <w:tcPr>
            <w:tcW w:type="dxa" w:w="2541"/>
            <w:tcMar>
              <w:top w:w="35" w:type="dxa"/>
              <w:start w:w="45" w:type="dxa"/>
              <w:bottom w:w="35" w:type="dxa"/>
              <w:end w:w="45" w:type="dxa"/>
            </w:tcMar>
          </w:tcPr>
          <w:p>
            <w:r>
              <w:rPr>
                <w:rFonts w:ascii="Aptos" w:hAnsi="Aptos" w:eastAsia="Aptos"/>
                <w:b/>
                <w:sz w:val="14"/>
              </w:rPr>
              <w:t>R-15</w:t>
            </w:r>
          </w:p>
        </w:tc>
        <w:tc>
          <w:tcPr>
            <w:tcW w:type="dxa" w:w="2541"/>
            <w:tcMar>
              <w:top w:w="35" w:type="dxa"/>
              <w:start w:w="45" w:type="dxa"/>
              <w:bottom w:w="35" w:type="dxa"/>
              <w:end w:w="45" w:type="dxa"/>
            </w:tcMar>
          </w:tcPr>
          <w:p>
            <w:r>
              <w:rPr>
                <w:rFonts w:ascii="Aptos" w:hAnsi="Aptos" w:eastAsia="Aptos"/>
                <w:b w:val="0"/>
                <w:sz w:val="14"/>
              </w:rPr>
              <w:t>52</w:t>
            </w:r>
          </w:p>
        </w:tc>
        <w:tc>
          <w:tcPr>
            <w:tcW w:type="dxa" w:w="2541"/>
            <w:tcMar>
              <w:top w:w="35" w:type="dxa"/>
              <w:start w:w="45" w:type="dxa"/>
              <w:bottom w:w="35" w:type="dxa"/>
              <w:end w:w="45" w:type="dxa"/>
            </w:tcMar>
          </w:tcPr>
          <w:p>
            <w:r>
              <w:rPr>
                <w:rFonts w:ascii="Aptos" w:hAnsi="Aptos" w:eastAsia="Aptos"/>
                <w:b w:val="0"/>
                <w:sz w:val="14"/>
              </w:rPr>
              <w:t>APPROVED — MATERIAL</w:t>
            </w:r>
          </w:p>
        </w:tc>
        <w:tc>
          <w:tcPr>
            <w:tcW w:type="dxa" w:w="2541"/>
            <w:tcMar>
              <w:top w:w="35" w:type="dxa"/>
              <w:start w:w="45" w:type="dxa"/>
              <w:bottom w:w="35" w:type="dxa"/>
              <w:end w:w="45" w:type="dxa"/>
            </w:tcMar>
          </w:tcPr>
          <w:p>
            <w:r>
              <w:rPr>
                <w:rFonts w:ascii="Aptos" w:hAnsi="Aptos" w:eastAsia="Aptos"/>
                <w:b w:val="0"/>
                <w:sz w:val="14"/>
              </w:rPr>
              <w:t>36 months becomes initial/default Model-configurable included term; VIN snapshots at registration.</w:t>
            </w:r>
          </w:p>
        </w:tc>
      </w:tr>
      <w:tr>
        <w:tc>
          <w:tcPr>
            <w:tcW w:type="dxa" w:w="2541"/>
            <w:tcMar>
              <w:top w:w="35" w:type="dxa"/>
              <w:start w:w="45" w:type="dxa"/>
              <w:bottom w:w="35" w:type="dxa"/>
              <w:end w:w="45" w:type="dxa"/>
            </w:tcMar>
          </w:tcPr>
          <w:p>
            <w:r>
              <w:rPr>
                <w:rFonts w:ascii="Aptos" w:hAnsi="Aptos" w:eastAsia="Aptos"/>
                <w:b/>
                <w:sz w:val="14"/>
              </w:rPr>
              <w:t>R-16</w:t>
            </w:r>
          </w:p>
        </w:tc>
        <w:tc>
          <w:tcPr>
            <w:tcW w:type="dxa" w:w="2541"/>
            <w:tcMar>
              <w:top w:w="35" w:type="dxa"/>
              <w:start w:w="45" w:type="dxa"/>
              <w:bottom w:w="35" w:type="dxa"/>
              <w:end w:w="45" w:type="dxa"/>
            </w:tcMar>
          </w:tcPr>
          <w:p>
            <w:r>
              <w:rPr>
                <w:rFonts w:ascii="Aptos" w:hAnsi="Aptos" w:eastAsia="Aptos"/>
                <w:b w:val="0"/>
                <w:sz w:val="14"/>
              </w:rPr>
              <w:t>8,66,69</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OEM sees status/dates, not retail login identity by default.</w:t>
            </w:r>
          </w:p>
        </w:tc>
      </w:tr>
      <w:tr>
        <w:tc>
          <w:tcPr>
            <w:tcW w:type="dxa" w:w="2541"/>
            <w:tcMar>
              <w:top w:w="35" w:type="dxa"/>
              <w:start w:w="45" w:type="dxa"/>
              <w:bottom w:w="35" w:type="dxa"/>
              <w:end w:w="45" w:type="dxa"/>
            </w:tcMar>
          </w:tcPr>
          <w:p>
            <w:r>
              <w:rPr>
                <w:rFonts w:ascii="Aptos" w:hAnsi="Aptos" w:eastAsia="Aptos"/>
                <w:b/>
                <w:sz w:val="14"/>
              </w:rPr>
              <w:t>R-17</w:t>
            </w:r>
          </w:p>
        </w:tc>
        <w:tc>
          <w:tcPr>
            <w:tcW w:type="dxa" w:w="2541"/>
            <w:tcMar>
              <w:top w:w="35" w:type="dxa"/>
              <w:start w:w="45" w:type="dxa"/>
              <w:bottom w:w="35" w:type="dxa"/>
              <w:end w:w="45" w:type="dxa"/>
            </w:tcMar>
          </w:tcPr>
          <w:p>
            <w:r>
              <w:rPr>
                <w:rFonts w:ascii="Aptos" w:hAnsi="Aptos" w:eastAsia="Aptos"/>
                <w:b w:val="0"/>
                <w:sz w:val="14"/>
              </w:rPr>
              <w:t>26,33</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Cloud may detect communication absence without becoming competing threshold evaluator.</w:t>
            </w:r>
          </w:p>
        </w:tc>
      </w:tr>
      <w:tr>
        <w:tc>
          <w:tcPr>
            <w:tcW w:type="dxa" w:w="2541"/>
            <w:tcMar>
              <w:top w:w="35" w:type="dxa"/>
              <w:start w:w="45" w:type="dxa"/>
              <w:bottom w:w="35" w:type="dxa"/>
              <w:end w:w="45" w:type="dxa"/>
            </w:tcMar>
          </w:tcPr>
          <w:p>
            <w:r>
              <w:rPr>
                <w:rFonts w:ascii="Aptos" w:hAnsi="Aptos" w:eastAsia="Aptos"/>
                <w:b/>
                <w:sz w:val="14"/>
              </w:rPr>
              <w:t>R-18</w:t>
            </w:r>
          </w:p>
        </w:tc>
        <w:tc>
          <w:tcPr>
            <w:tcW w:type="dxa" w:w="2541"/>
            <w:tcMar>
              <w:top w:w="35" w:type="dxa"/>
              <w:start w:w="45" w:type="dxa"/>
              <w:bottom w:w="35" w:type="dxa"/>
              <w:end w:w="45" w:type="dxa"/>
            </w:tcMar>
          </w:tcPr>
          <w:p>
            <w:r>
              <w:rPr>
                <w:rFonts w:ascii="Aptos" w:hAnsi="Aptos" w:eastAsia="Aptos"/>
                <w:b w:val="0"/>
                <w:sz w:val="14"/>
              </w:rPr>
              <w:t>3</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Gateway LTE required for Gateway-mode claim; phone-only cloud path insufficient.</w:t>
            </w:r>
          </w:p>
        </w:tc>
      </w:tr>
      <w:tr>
        <w:tc>
          <w:tcPr>
            <w:tcW w:type="dxa" w:w="2541"/>
            <w:tcMar>
              <w:top w:w="35" w:type="dxa"/>
              <w:start w:w="45" w:type="dxa"/>
              <w:bottom w:w="35" w:type="dxa"/>
              <w:end w:w="45" w:type="dxa"/>
            </w:tcMar>
          </w:tcPr>
          <w:p>
            <w:r>
              <w:rPr>
                <w:rFonts w:ascii="Aptos" w:hAnsi="Aptos" w:eastAsia="Aptos"/>
                <w:b/>
                <w:sz w:val="14"/>
              </w:rPr>
              <w:t>R-19</w:t>
            </w:r>
          </w:p>
        </w:tc>
        <w:tc>
          <w:tcPr>
            <w:tcW w:type="dxa" w:w="2541"/>
            <w:tcMar>
              <w:top w:w="35" w:type="dxa"/>
              <w:start w:w="45" w:type="dxa"/>
              <w:bottom w:w="35" w:type="dxa"/>
              <w:end w:w="45" w:type="dxa"/>
            </w:tcMar>
          </w:tcPr>
          <w:p>
            <w:r>
              <w:rPr>
                <w:rFonts w:ascii="Aptos" w:hAnsi="Aptos" w:eastAsia="Aptos"/>
                <w:b w:val="0"/>
                <w:sz w:val="14"/>
              </w:rPr>
              <w:t>66</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Authorization must support future roles without weakening default-deny/tenant isolation.</w:t>
            </w:r>
          </w:p>
        </w:tc>
      </w:tr>
      <w:tr>
        <w:tc>
          <w:tcPr>
            <w:tcW w:type="dxa" w:w="2541"/>
            <w:tcMar>
              <w:top w:w="35" w:type="dxa"/>
              <w:start w:w="45" w:type="dxa"/>
              <w:bottom w:w="35" w:type="dxa"/>
              <w:end w:w="45" w:type="dxa"/>
            </w:tcMar>
          </w:tcPr>
          <w:p>
            <w:r>
              <w:rPr>
                <w:rFonts w:ascii="Aptos" w:hAnsi="Aptos" w:eastAsia="Aptos"/>
                <w:b/>
                <w:sz w:val="14"/>
              </w:rPr>
              <w:t>R-20</w:t>
            </w:r>
          </w:p>
        </w:tc>
        <w:tc>
          <w:tcPr>
            <w:tcW w:type="dxa" w:w="2541"/>
            <w:tcMar>
              <w:top w:w="35" w:type="dxa"/>
              <w:start w:w="45" w:type="dxa"/>
              <w:bottom w:w="35" w:type="dxa"/>
              <w:end w:w="45" w:type="dxa"/>
            </w:tcMar>
          </w:tcPr>
          <w:p>
            <w:r>
              <w:rPr>
                <w:rFonts w:ascii="Aptos" w:hAnsi="Aptos" w:eastAsia="Aptos"/>
                <w:b w:val="0"/>
                <w:sz w:val="14"/>
              </w:rPr>
              <w:t>59,61</w:t>
            </w:r>
          </w:p>
        </w:tc>
        <w:tc>
          <w:tcPr>
            <w:tcW w:type="dxa" w:w="2541"/>
            <w:tcMar>
              <w:top w:w="35" w:type="dxa"/>
              <w:start w:w="45" w:type="dxa"/>
              <w:bottom w:w="35" w:type="dxa"/>
              <w:end w:w="45" w:type="dxa"/>
            </w:tcMar>
          </w:tcPr>
          <w:p>
            <w:r>
              <w:rPr>
                <w:rFonts w:ascii="Aptos" w:hAnsi="Aptos" w:eastAsia="Aptos"/>
                <w:b w:val="0"/>
                <w:sz w:val="14"/>
              </w:rPr>
              <w:t>APPROVED</w:t>
            </w:r>
          </w:p>
        </w:tc>
        <w:tc>
          <w:tcPr>
            <w:tcW w:type="dxa" w:w="2541"/>
            <w:tcMar>
              <w:top w:w="35" w:type="dxa"/>
              <w:start w:w="45" w:type="dxa"/>
              <w:bottom w:w="35" w:type="dxa"/>
              <w:end w:w="45" w:type="dxa"/>
            </w:tcMar>
          </w:tcPr>
          <w:p>
            <w:r>
              <w:rPr>
                <w:rFonts w:ascii="Aptos" w:hAnsi="Aptos" w:eastAsia="Aptos"/>
                <w:b w:val="0"/>
                <w:sz w:val="14"/>
              </w:rPr>
              <w:t>Current OTA/rollback scope is Gateway firmware only.</w:t>
            </w:r>
          </w:p>
        </w:tc>
      </w:tr>
      <w:tr>
        <w:tc>
          <w:tcPr>
            <w:tcW w:type="dxa" w:w="2541"/>
            <w:tcMar>
              <w:top w:w="35" w:type="dxa"/>
              <w:start w:w="45" w:type="dxa"/>
              <w:bottom w:w="35" w:type="dxa"/>
              <w:end w:w="45" w:type="dxa"/>
            </w:tcMar>
          </w:tcPr>
          <w:p>
            <w:r>
              <w:rPr>
                <w:rFonts w:ascii="Aptos" w:hAnsi="Aptos" w:eastAsia="Aptos"/>
                <w:b/>
                <w:sz w:val="14"/>
              </w:rPr>
              <w:t>R-21</w:t>
            </w:r>
          </w:p>
        </w:tc>
        <w:tc>
          <w:tcPr>
            <w:tcW w:type="dxa" w:w="2541"/>
            <w:tcMar>
              <w:top w:w="35" w:type="dxa"/>
              <w:start w:w="45" w:type="dxa"/>
              <w:bottom w:w="35" w:type="dxa"/>
              <w:end w:w="45" w:type="dxa"/>
            </w:tcMar>
          </w:tcPr>
          <w:p>
            <w:r>
              <w:rPr>
                <w:rFonts w:ascii="Aptos" w:hAnsi="Aptos" w:eastAsia="Aptos"/>
                <w:b w:val="0"/>
                <w:sz w:val="14"/>
              </w:rPr>
              <w:t>3</w:t>
            </w:r>
          </w:p>
        </w:tc>
        <w:tc>
          <w:tcPr>
            <w:tcW w:type="dxa" w:w="2541"/>
            <w:tcMar>
              <w:top w:w="35" w:type="dxa"/>
              <w:start w:w="45" w:type="dxa"/>
              <w:bottom w:w="35" w:type="dxa"/>
              <w:end w:w="45" w:type="dxa"/>
            </w:tcMar>
          </w:tcPr>
          <w:p>
            <w:r>
              <w:rPr>
                <w:rFonts w:ascii="Aptos" w:hAnsi="Aptos" w:eastAsia="Aptos"/>
                <w:b w:val="0"/>
                <w:sz w:val="14"/>
              </w:rPr>
              <w:t>APPROVED — NO CAP</w:t>
            </w:r>
          </w:p>
        </w:tc>
        <w:tc>
          <w:tcPr>
            <w:tcW w:type="dxa" w:w="2541"/>
            <w:tcMar>
              <w:top w:w="35" w:type="dxa"/>
              <w:start w:w="45" w:type="dxa"/>
              <w:bottom w:w="35" w:type="dxa"/>
              <w:end w:w="45" w:type="dxa"/>
            </w:tcMar>
          </w:tcPr>
          <w:p>
            <w:r>
              <w:rPr>
                <w:rFonts w:ascii="Aptos" w:hAnsi="Aptos" w:eastAsia="Aptos"/>
                <w:b w:val="0"/>
                <w:sz w:val="14"/>
              </w:rPr>
              <w:t>No product-defined maximum Authorized Users per VIN.</w:t>
            </w:r>
          </w:p>
        </w:tc>
      </w:tr>
      <w:tr>
        <w:tc>
          <w:tcPr>
            <w:tcW w:type="dxa" w:w="2541"/>
            <w:tcMar>
              <w:top w:w="35" w:type="dxa"/>
              <w:start w:w="45" w:type="dxa"/>
              <w:bottom w:w="35" w:type="dxa"/>
              <w:end w:w="45" w:type="dxa"/>
            </w:tcMar>
          </w:tcPr>
          <w:p>
            <w:r>
              <w:rPr>
                <w:rFonts w:ascii="Aptos" w:hAnsi="Aptos" w:eastAsia="Aptos"/>
                <w:b/>
                <w:sz w:val="14"/>
              </w:rPr>
              <w:t>R-22</w:t>
            </w:r>
          </w:p>
        </w:tc>
        <w:tc>
          <w:tcPr>
            <w:tcW w:type="dxa" w:w="2541"/>
            <w:tcMar>
              <w:top w:w="35" w:type="dxa"/>
              <w:start w:w="45" w:type="dxa"/>
              <w:bottom w:w="35" w:type="dxa"/>
              <w:end w:w="45" w:type="dxa"/>
            </w:tcMar>
          </w:tcPr>
          <w:p>
            <w:r>
              <w:rPr>
                <w:rFonts w:ascii="Aptos" w:hAnsi="Aptos" w:eastAsia="Aptos"/>
                <w:b w:val="0"/>
                <w:sz w:val="14"/>
              </w:rPr>
              <w:t>62</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Critical Logic remains platform-neutral; implementation technologies belong in technical architecture records.</w:t>
            </w:r>
          </w:p>
        </w:tc>
      </w:tr>
      <w:tr>
        <w:tc>
          <w:tcPr>
            <w:tcW w:type="dxa" w:w="2541"/>
            <w:tcMar>
              <w:top w:w="35" w:type="dxa"/>
              <w:start w:w="45" w:type="dxa"/>
              <w:bottom w:w="35" w:type="dxa"/>
              <w:end w:w="45" w:type="dxa"/>
            </w:tcMar>
          </w:tcPr>
          <w:p>
            <w:r>
              <w:rPr>
                <w:rFonts w:ascii="Aptos" w:hAnsi="Aptos" w:eastAsia="Aptos"/>
                <w:b/>
                <w:sz w:val="14"/>
              </w:rPr>
              <w:t>R-23</w:t>
            </w:r>
          </w:p>
        </w:tc>
        <w:tc>
          <w:tcPr>
            <w:tcW w:type="dxa" w:w="2541"/>
            <w:tcMar>
              <w:top w:w="35" w:type="dxa"/>
              <w:start w:w="45" w:type="dxa"/>
              <w:bottom w:w="35" w:type="dxa"/>
              <w:end w:w="45" w:type="dxa"/>
            </w:tcMar>
          </w:tcPr>
          <w:p>
            <w:r>
              <w:rPr>
                <w:rFonts w:ascii="Aptos" w:hAnsi="Aptos" w:eastAsia="Aptos"/>
                <w:b w:val="0"/>
                <w:sz w:val="14"/>
              </w:rPr>
              <w:t>Document-wide</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Add controlled glossary.</w:t>
            </w:r>
          </w:p>
        </w:tc>
      </w:tr>
      <w:tr>
        <w:tc>
          <w:tcPr>
            <w:tcW w:type="dxa" w:w="2541"/>
            <w:tcMar>
              <w:top w:w="35" w:type="dxa"/>
              <w:start w:w="45" w:type="dxa"/>
              <w:bottom w:w="35" w:type="dxa"/>
              <w:end w:w="45" w:type="dxa"/>
            </w:tcMar>
          </w:tcPr>
          <w:p>
            <w:r>
              <w:rPr>
                <w:rFonts w:ascii="Aptos" w:hAnsi="Aptos" w:eastAsia="Aptos"/>
                <w:b/>
                <w:sz w:val="14"/>
              </w:rPr>
              <w:t>R-24</w:t>
            </w:r>
          </w:p>
        </w:tc>
        <w:tc>
          <w:tcPr>
            <w:tcW w:type="dxa" w:w="2541"/>
            <w:tcMar>
              <w:top w:w="35" w:type="dxa"/>
              <w:start w:w="45" w:type="dxa"/>
              <w:bottom w:w="35" w:type="dxa"/>
              <w:end w:w="45" w:type="dxa"/>
            </w:tcMar>
          </w:tcPr>
          <w:p>
            <w:r>
              <w:rPr>
                <w:rFonts w:ascii="Aptos" w:hAnsi="Aptos" w:eastAsia="Aptos"/>
                <w:b w:val="0"/>
                <w:sz w:val="14"/>
              </w:rPr>
              <w:t>Primarily 12–22</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Avoid duplicated normative summaries; maintain one controlling source per requirement.</w:t>
            </w:r>
          </w:p>
        </w:tc>
      </w:tr>
      <w:tr>
        <w:tc>
          <w:tcPr>
            <w:tcW w:type="dxa" w:w="2541"/>
            <w:tcMar>
              <w:top w:w="35" w:type="dxa"/>
              <w:start w:w="45" w:type="dxa"/>
              <w:bottom w:w="35" w:type="dxa"/>
              <w:end w:w="45" w:type="dxa"/>
            </w:tcMar>
          </w:tcPr>
          <w:p>
            <w:r>
              <w:rPr>
                <w:rFonts w:ascii="Aptos" w:hAnsi="Aptos" w:eastAsia="Aptos"/>
                <w:b/>
                <w:sz w:val="14"/>
              </w:rPr>
              <w:t>R-25</w:t>
            </w:r>
          </w:p>
        </w:tc>
        <w:tc>
          <w:tcPr>
            <w:tcW w:type="dxa" w:w="2541"/>
            <w:tcMar>
              <w:top w:w="35" w:type="dxa"/>
              <w:start w:w="45" w:type="dxa"/>
              <w:bottom w:w="35" w:type="dxa"/>
              <w:end w:w="45" w:type="dxa"/>
            </w:tcMar>
          </w:tcPr>
          <w:p>
            <w:r>
              <w:rPr>
                <w:rFonts w:ascii="Aptos" w:hAnsi="Aptos" w:eastAsia="Aptos"/>
                <w:b w:val="0"/>
                <w:sz w:val="14"/>
              </w:rPr>
              <w:t>Document Control</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Document template tiers; use selective process flows only where they reduce ambiguity.</w:t>
            </w:r>
          </w:p>
        </w:tc>
      </w:tr>
      <w:tr>
        <w:tc>
          <w:tcPr>
            <w:tcW w:type="dxa" w:w="2541"/>
            <w:tcMar>
              <w:top w:w="35" w:type="dxa"/>
              <w:start w:w="45" w:type="dxa"/>
              <w:bottom w:w="35" w:type="dxa"/>
              <w:end w:w="45" w:type="dxa"/>
            </w:tcMar>
          </w:tcPr>
          <w:p>
            <w:r>
              <w:rPr>
                <w:rFonts w:ascii="Aptos" w:hAnsi="Aptos" w:eastAsia="Aptos"/>
                <w:b/>
                <w:sz w:val="14"/>
              </w:rPr>
              <w:t>R-26</w:t>
            </w:r>
          </w:p>
        </w:tc>
        <w:tc>
          <w:tcPr>
            <w:tcW w:type="dxa" w:w="2541"/>
            <w:tcMar>
              <w:top w:w="35" w:type="dxa"/>
              <w:start w:w="45" w:type="dxa"/>
              <w:bottom w:w="35" w:type="dxa"/>
              <w:end w:w="45" w:type="dxa"/>
            </w:tcMar>
          </w:tcPr>
          <w:p>
            <w:r>
              <w:rPr>
                <w:rFonts w:ascii="Aptos" w:hAnsi="Aptos" w:eastAsia="Aptos"/>
                <w:b w:val="0"/>
                <w:sz w:val="14"/>
              </w:rPr>
              <w:t>Appendix A / Register</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Define OPEN/WIP/DEFERRED/RESOLVED vocabulary consistently.</w:t>
            </w:r>
          </w:p>
        </w:tc>
      </w:tr>
      <w:tr>
        <w:tc>
          <w:tcPr>
            <w:tcW w:type="dxa" w:w="2541"/>
            <w:tcMar>
              <w:top w:w="35" w:type="dxa"/>
              <w:start w:w="45" w:type="dxa"/>
              <w:bottom w:w="35" w:type="dxa"/>
              <w:end w:w="45" w:type="dxa"/>
            </w:tcMar>
          </w:tcPr>
          <w:p>
            <w:r>
              <w:rPr>
                <w:rFonts w:ascii="Aptos" w:hAnsi="Aptos" w:eastAsia="Aptos"/>
                <w:b/>
                <w:sz w:val="14"/>
              </w:rPr>
              <w:t>R-27</w:t>
            </w:r>
          </w:p>
        </w:tc>
        <w:tc>
          <w:tcPr>
            <w:tcW w:type="dxa" w:w="2541"/>
            <w:tcMar>
              <w:top w:w="35" w:type="dxa"/>
              <w:start w:w="45" w:type="dxa"/>
              <w:bottom w:w="35" w:type="dxa"/>
              <w:end w:w="45" w:type="dxa"/>
            </w:tcMar>
          </w:tcPr>
          <w:p>
            <w:r>
              <w:rPr>
                <w:rFonts w:ascii="Aptos" w:hAnsi="Aptos" w:eastAsia="Aptos"/>
                <w:b w:val="0"/>
                <w:sz w:val="14"/>
              </w:rPr>
              <w:t>Document Control</w:t>
            </w:r>
          </w:p>
        </w:tc>
        <w:tc>
          <w:tcPr>
            <w:tcW w:type="dxa" w:w="2541"/>
            <w:tcMar>
              <w:top w:w="35" w:type="dxa"/>
              <w:start w:w="45" w:type="dxa"/>
              <w:bottom w:w="35" w:type="dxa"/>
              <w:end w:w="45" w:type="dxa"/>
            </w:tcMar>
          </w:tcPr>
          <w:p>
            <w:r>
              <w:rPr>
                <w:rFonts w:ascii="Aptos" w:hAnsi="Aptos" w:eastAsia="Aptos"/>
                <w:b w:val="0"/>
                <w:sz w:val="14"/>
              </w:rPr>
              <w:t>ADOPT</w:t>
            </w:r>
          </w:p>
        </w:tc>
        <w:tc>
          <w:tcPr>
            <w:tcW w:type="dxa" w:w="2541"/>
            <w:tcMar>
              <w:top w:w="35" w:type="dxa"/>
              <w:start w:w="45" w:type="dxa"/>
              <w:bottom w:w="35" w:type="dxa"/>
              <w:end w:w="45" w:type="dxa"/>
            </w:tcMar>
          </w:tcPr>
          <w:p>
            <w:r>
              <w:rPr>
                <w:rFonts w:ascii="Aptos" w:hAnsi="Aptos" w:eastAsia="Aptos"/>
                <w:b w:val="0"/>
                <w:sz w:val="14"/>
              </w:rPr>
              <w:t>Distinguish package version from per-process version.</w:t>
            </w:r>
          </w:p>
        </w:tc>
      </w:tr>
      <w:tr>
        <w:tc>
          <w:tcPr>
            <w:tcW w:type="dxa" w:w="2541"/>
            <w:tcMar>
              <w:top w:w="35" w:type="dxa"/>
              <w:start w:w="45" w:type="dxa"/>
              <w:bottom w:w="35" w:type="dxa"/>
              <w:end w:w="45" w:type="dxa"/>
            </w:tcMar>
          </w:tcPr>
          <w:p>
            <w:r>
              <w:rPr>
                <w:rFonts w:ascii="Aptos" w:hAnsi="Aptos" w:eastAsia="Aptos"/>
                <w:b/>
                <w:sz w:val="14"/>
              </w:rPr>
              <w:t>R-28</w:t>
            </w:r>
          </w:p>
        </w:tc>
        <w:tc>
          <w:tcPr>
            <w:tcW w:type="dxa" w:w="2541"/>
            <w:tcMar>
              <w:top w:w="35" w:type="dxa"/>
              <w:start w:w="45" w:type="dxa"/>
              <w:bottom w:w="35" w:type="dxa"/>
              <w:end w:w="45" w:type="dxa"/>
            </w:tcMar>
          </w:tcPr>
          <w:p>
            <w:r>
              <w:rPr>
                <w:rFonts w:ascii="Aptos" w:hAnsi="Aptos" w:eastAsia="Aptos"/>
                <w:b w:val="0"/>
                <w:sz w:val="14"/>
              </w:rPr>
              <w:t>9</w:t>
            </w:r>
          </w:p>
        </w:tc>
        <w:tc>
          <w:tcPr>
            <w:tcW w:type="dxa" w:w="2541"/>
            <w:tcMar>
              <w:top w:w="35" w:type="dxa"/>
              <w:start w:w="45" w:type="dxa"/>
              <w:bottom w:w="35" w:type="dxa"/>
              <w:end w:w="45" w:type="dxa"/>
            </w:tcMar>
          </w:tcPr>
          <w:p>
            <w:r>
              <w:rPr>
                <w:rFonts w:ascii="Aptos" w:hAnsi="Aptos" w:eastAsia="Aptos"/>
                <w:b w:val="0"/>
                <w:sz w:val="14"/>
              </w:rPr>
              <w:t>CLOSED — NOT CURRENT SCOPE</w:t>
            </w:r>
          </w:p>
        </w:tc>
        <w:tc>
          <w:tcPr>
            <w:tcW w:type="dxa" w:w="2541"/>
            <w:tcMar>
              <w:top w:w="35" w:type="dxa"/>
              <w:start w:w="45" w:type="dxa"/>
              <w:bottom w:w="35" w:type="dxa"/>
              <w:end w:w="45" w:type="dxa"/>
            </w:tcMar>
          </w:tcPr>
          <w:p>
            <w:r>
              <w:rPr>
                <w:rFonts w:ascii="Aptos" w:hAnsi="Aptos" w:eastAsia="Aptos"/>
                <w:b w:val="0"/>
                <w:sz w:val="14"/>
              </w:rPr>
              <w:t>Do not add spare-tire monitoring.</w:t>
            </w:r>
          </w:p>
        </w:tc>
      </w:tr>
      <w:tr>
        <w:tc>
          <w:tcPr>
            <w:tcW w:type="dxa" w:w="2541"/>
            <w:tcMar>
              <w:top w:w="35" w:type="dxa"/>
              <w:start w:w="45" w:type="dxa"/>
              <w:bottom w:w="35" w:type="dxa"/>
              <w:end w:w="45" w:type="dxa"/>
            </w:tcMar>
          </w:tcPr>
          <w:p>
            <w:r>
              <w:rPr>
                <w:rFonts w:ascii="Aptos" w:hAnsi="Aptos" w:eastAsia="Aptos"/>
                <w:b/>
                <w:sz w:val="14"/>
              </w:rPr>
              <w:t>PO-01</w:t>
            </w:r>
          </w:p>
        </w:tc>
        <w:tc>
          <w:tcPr>
            <w:tcW w:type="dxa" w:w="2541"/>
            <w:tcMar>
              <w:top w:w="35" w:type="dxa"/>
              <w:start w:w="45" w:type="dxa"/>
              <w:bottom w:w="35" w:type="dxa"/>
              <w:end w:w="45" w:type="dxa"/>
            </w:tcMar>
          </w:tcPr>
          <w:p>
            <w:r>
              <w:rPr>
                <w:rFonts w:ascii="Aptos" w:hAnsi="Aptos" w:eastAsia="Aptos"/>
                <w:b w:val="0"/>
                <w:sz w:val="14"/>
              </w:rPr>
              <w:t>3,10; OD-009</w:t>
            </w:r>
          </w:p>
        </w:tc>
        <w:tc>
          <w:tcPr>
            <w:tcW w:type="dxa" w:w="2541"/>
            <w:tcMar>
              <w:top w:w="35" w:type="dxa"/>
              <w:start w:w="45" w:type="dxa"/>
              <w:bottom w:w="35" w:type="dxa"/>
              <w:end w:w="45" w:type="dxa"/>
            </w:tcMar>
          </w:tcPr>
          <w:p>
            <w:r>
              <w:rPr>
                <w:rFonts w:ascii="Aptos" w:hAnsi="Aptos" w:eastAsia="Aptos"/>
                <w:b w:val="0"/>
                <w:sz w:val="14"/>
              </w:rPr>
              <w:t>APPROVED ARCHITECTURE / DETAIL OPEN</w:t>
            </w:r>
          </w:p>
        </w:tc>
        <w:tc>
          <w:tcPr>
            <w:tcW w:type="dxa" w:w="2541"/>
            <w:tcMar>
              <w:top w:w="35" w:type="dxa"/>
              <w:start w:w="45" w:type="dxa"/>
              <w:bottom w:w="35" w:type="dxa"/>
              <w:end w:w="45" w:type="dxa"/>
            </w:tcMar>
          </w:tcPr>
          <w:p>
            <w:r>
              <w:rPr>
                <w:rFonts w:ascii="Aptos" w:hAnsi="Aptos" w:eastAsia="Aptos"/>
                <w:b w:val="0"/>
                <w:sz w:val="14"/>
              </w:rPr>
              <w:t>Direct claim = verified account + VIN + claimable cloud state + local BLE factory-sensor presence proof; exact criterion remains OD-009.</w:t>
            </w:r>
          </w:p>
        </w:tc>
      </w:tr>
    </w:tbl>
    <w:p>
      <w:r>
        <w:br w:type="page"/>
      </w:r>
    </w:p>
    <w:p>
      <w:pPr>
        <w:pStyle w:val="Heading1"/>
        <w:keepNext/>
      </w:pPr>
      <w:r>
        <w:t>Appendix D — How Developers Should Use This Specification</w:t>
      </w:r>
    </w:p>
    <w:p>
      <w:pPr>
        <w:pStyle w:val="RequirementBullet"/>
      </w:pPr>
      <w:r>
        <w:t>• Treat this Specification v0.8 and companion Register v0.10 as the current controlled target behavior, effective August 12, 2026. Superseded Register v0.9 / Specification v0.7 and earlier controlled packages remain archive evidence and do not override the current baseline.</w:t>
      </w:r>
    </w:p>
    <w:p>
      <w:pPr>
        <w:pStyle w:val="RequirementBullet"/>
      </w:pPr>
      <w:r>
        <w:t>• Existing code, databases, firmware, prototypes, portal screens, developer notes and AI-generated suggestions are current-state evidence. If they conflict with a DEFINED requirement, raise a reconciliation conflict; do not silently change the requirement.</w:t>
      </w:r>
    </w:p>
    <w:p>
      <w:pPr>
        <w:pStyle w:val="RequirementBullet"/>
      </w:pPr>
      <w:r>
        <w:t>• Implement Product Mode explicitly. Do not infer Gateway vs Direct TPMS from which device most recently reported.</w:t>
      </w:r>
    </w:p>
    <w:p>
      <w:pPr>
        <w:pStyle w:val="RequirementBullet"/>
      </w:pPr>
      <w:r>
        <w:t>• Enforce capability applicability by Product Mode: Gateway App may present Gateway-provided TPMS, temperature/humidity and accelerometer information; Direct TPMS App is TPMS-only and must show unsupported environmental/motion capability as Not Available.</w:t>
      </w:r>
    </w:p>
    <w:p>
      <w:pPr>
        <w:pStyle w:val="RequirementBullet"/>
      </w:pPr>
      <w:r>
        <w:t>• Keep local safety evaluator authority singular per Product Mode: Gateway in Gateway Mode; phone/app in Direct TPMS. Cloud may detect communication absence but is not a competing sensor-threshold evaluator.</w:t>
      </w:r>
    </w:p>
    <w:p>
      <w:pPr>
        <w:pStyle w:val="RequirementBullet"/>
      </w:pPr>
      <w:r>
        <w:t>• Keep AlertEvent condition state separate from notification delivery, acknowledgement, snooze and all-clear state.</w:t>
      </w:r>
    </w:p>
    <w:p>
      <w:pPr>
        <w:pStyle w:val="RequirementBullet"/>
      </w:pPr>
      <w:r>
        <w:t>• Keep Stale, Offline and Not Available semantically distinct in data models and UI.</w:t>
      </w:r>
    </w:p>
    <w:p>
      <w:pPr>
        <w:pStyle w:val="RequirementBullet"/>
      </w:pPr>
      <w:r>
        <w:t>• Apply authorization at the backend/API with default-deny tenant and role/scope rules. UI hiding, white-label flavor or client-side filtering is not a security boundary.</w:t>
      </w:r>
    </w:p>
    <w:p>
      <w:pPr>
        <w:pStyle w:val="RequirementBullet"/>
      </w:pPr>
      <w:r>
        <w:t>• Preserve event time, receive time, last-valid data and idempotent replay behavior; delayed/invalid data must not silently replace newer valid state.</w:t>
      </w:r>
    </w:p>
    <w:p>
      <w:pPr>
        <w:pStyle w:val="RequirementBullet"/>
      </w:pPr>
      <w:r>
        <w:t>• Use server-authoritative Model configuration for product mode, TPMS thresholds and subscription definitions; preserve VIN-specific subscription snapshots/history.</w:t>
      </w:r>
    </w:p>
    <w:p>
      <w:pPr>
        <w:pStyle w:val="RequirementBullet"/>
      </w:pPr>
      <w:r>
        <w:t>• Keep all OD items visible in technical design/test traceability. Propose implementations for WIP items, but do not convert them into product requirements without controlled approval.</w:t>
      </w:r>
    </w:p>
    <w:p>
      <w:pPr>
        <w:pStyle w:val="RequirementBullet"/>
      </w:pPr>
      <w:r>
        <w:t>• Gateway firmware is the current OTA/rollback scope. Do not assume TPMS/CAN/peripheral firmware OTA requirements.</w:t>
      </w:r>
    </w:p>
    <w:p>
      <w:pPr>
        <w:pStyle w:val="RequirementBullet"/>
      </w:pPr>
      <w:r>
        <w:rPr>
          <w:rFonts w:ascii="Aptos" w:hAnsi="Aptos" w:eastAsia="Aptos"/>
          <w:b w:val="0"/>
        </w:rPr>
        <w:t>• Preserve superseded Register v0.6 and Specification v0.4 in the archive for legacy decision/change history. Use the Master Document Index to confirm the current baseline before implementation or requirements work.</w:t>
      </w:r>
    </w:p>
    <w:p>
      <w:pPr>
        <w:pStyle w:val="Heading2"/>
        <w:keepNext/>
      </w:pPr>
      <w:r>
        <w:rPr>
          <w:rFonts w:ascii="Aptos" w:hAnsi="Aptos" w:eastAsia="Aptos"/>
          <w:b w:val="0"/>
        </w:rPr>
        <w:t>Baseline Control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F5597"/>
          </w:tcPr>
          <w:p>
            <w:r>
              <w:rPr>
                <w:rFonts w:ascii="Aptos" w:hAnsi="Aptos" w:eastAsia="Aptos"/>
                <w:b/>
                <w:color w:val="FFFFFF"/>
                <w:sz w:val="16"/>
              </w:rPr>
              <w:t>Gate</w:t>
            </w:r>
          </w:p>
        </w:tc>
        <w:tc>
          <w:tcPr>
            <w:tcW w:type="dxa" w:w="3389"/>
            <w:shd w:fill="2F5597"/>
          </w:tcPr>
          <w:p>
            <w:r>
              <w:rPr>
                <w:rFonts w:ascii="Aptos" w:hAnsi="Aptos" w:eastAsia="Aptos"/>
                <w:b/>
                <w:color w:val="FFFFFF"/>
                <w:sz w:val="16"/>
              </w:rPr>
              <w:t>State</w:t>
            </w:r>
          </w:p>
        </w:tc>
        <w:tc>
          <w:tcPr>
            <w:tcW w:type="dxa" w:w="3389"/>
            <w:shd w:fill="2F5597"/>
          </w:tcPr>
          <w:p>
            <w:r>
              <w:rPr>
                <w:rFonts w:ascii="Aptos" w:hAnsi="Aptos" w:eastAsia="Aptos"/>
                <w:b/>
                <w:color w:val="FFFFFF"/>
                <w:sz w:val="16"/>
              </w:rPr>
              <w:t>Required Action</w:t>
            </w:r>
          </w:p>
        </w:tc>
      </w:tr>
      <w:tr>
        <w:tc>
          <w:tcPr>
            <w:tcW w:type="dxa" w:w="3389"/>
            <w:tcMar>
              <w:top w:w="70" w:type="dxa"/>
              <w:start w:w="80" w:type="dxa"/>
              <w:bottom w:w="70" w:type="dxa"/>
              <w:end w:w="80" w:type="dxa"/>
            </w:tcMar>
          </w:tcPr>
          <w:p>
            <w:r>
              <w:rPr>
                <w:rFonts w:ascii="Aptos" w:hAnsi="Aptos" w:eastAsia="Aptos"/>
                <w:b/>
                <w:sz w:val="16"/>
              </w:rPr>
              <w:t>Product Owner change decisions</w:t>
            </w:r>
          </w:p>
        </w:tc>
        <w:tc>
          <w:tcPr>
            <w:tcW w:type="dxa" w:w="3389"/>
            <w:tcMar>
              <w:top w:w="70" w:type="dxa"/>
              <w:start w:w="80" w:type="dxa"/>
              <w:bottom w:w="70" w:type="dxa"/>
              <w:end w:w="80" w:type="dxa"/>
            </w:tcMar>
            <w:shd w:fill="D9EAD3"/>
          </w:tcPr>
          <w:p>
            <w:r>
              <w:t>COMPLETE</w:t>
            </w:r>
          </w:p>
        </w:tc>
        <w:tc>
          <w:tcPr>
            <w:tcW w:type="dxa" w:w="3389"/>
            <w:tcMar>
              <w:top w:w="70" w:type="dxa"/>
              <w:start w:w="80" w:type="dxa"/>
              <w:bottom w:w="70" w:type="dxa"/>
              <w:end w:w="80" w:type="dxa"/>
            </w:tcMar>
          </w:tcPr>
          <w:p>
            <w:r>
              <w:t>D-104–D-121 incorporated; OD-009 exact Direct TPMS sensor-presence criterion remains intentionally open.</w:t>
            </w:r>
          </w:p>
        </w:tc>
      </w:tr>
      <w:tr>
        <w:tc>
          <w:tcPr>
            <w:tcW w:type="dxa" w:w="3389"/>
            <w:tcMar>
              <w:top w:w="70" w:type="dxa"/>
              <w:start w:w="80" w:type="dxa"/>
              <w:bottom w:w="70" w:type="dxa"/>
              <w:end w:w="80" w:type="dxa"/>
            </w:tcMar>
          </w:tcPr>
          <w:p>
            <w:r>
              <w:rPr>
                <w:rFonts w:ascii="Aptos" w:hAnsi="Aptos" w:eastAsia="Aptos"/>
                <w:b/>
                <w:sz w:val="16"/>
              </w:rPr>
              <w:t>72-Merge consolidation</w:t>
            </w:r>
          </w:p>
        </w:tc>
        <w:tc>
          <w:tcPr>
            <w:tcW w:type="dxa" w:w="3389"/>
            <w:tcMar>
              <w:top w:w="70" w:type="dxa"/>
              <w:start w:w="80" w:type="dxa"/>
              <w:bottom w:w="70" w:type="dxa"/>
              <w:end w:w="80" w:type="dxa"/>
            </w:tcMar>
            <w:shd w:fill="D9EAD3"/>
          </w:tcPr>
          <w:p>
            <w:r>
              <w:t>COMPLETE</w:t>
            </w:r>
          </w:p>
        </w:tc>
        <w:tc>
          <w:tcPr>
            <w:tcW w:type="dxa" w:w="3389"/>
            <w:tcMar>
              <w:top w:w="70" w:type="dxa"/>
              <w:start w:w="80" w:type="dxa"/>
              <w:bottom w:w="70" w:type="dxa"/>
              <w:end w:w="80" w:type="dxa"/>
            </w:tcMar>
          </w:tcPr>
          <w:p>
            <w:r>
              <w:t>All Merge IDs 1–72 are represented with normalized definition status/phase and consolidated current logic.</w:t>
            </w:r>
          </w:p>
        </w:tc>
      </w:tr>
      <w:tr>
        <w:tc>
          <w:tcPr>
            <w:tcW w:type="dxa" w:w="3389"/>
            <w:tcMar>
              <w:top w:w="70" w:type="dxa"/>
              <w:start w:w="80" w:type="dxa"/>
              <w:bottom w:w="70" w:type="dxa"/>
              <w:end w:w="80" w:type="dxa"/>
            </w:tcMar>
          </w:tcPr>
          <w:p>
            <w:r>
              <w:t>Legacy D/CHG audit continuity</w:t>
            </w:r>
          </w:p>
        </w:tc>
        <w:tc>
          <w:tcPr>
            <w:tcW w:type="dxa" w:w="3389"/>
            <w:tcMar>
              <w:top w:w="70" w:type="dxa"/>
              <w:start w:w="80" w:type="dxa"/>
              <w:bottom w:w="70" w:type="dxa"/>
              <w:end w:w="80" w:type="dxa"/>
            </w:tcMar>
            <w:shd w:fill="FFF2CC"/>
          </w:tcPr>
          <w:p>
            <w:r>
              <w:t>ACCEPTED / ARCHIVED</w:t>
            </w:r>
          </w:p>
        </w:tc>
        <w:tc>
          <w:tcPr>
            <w:tcW w:type="dxa" w:w="3389"/>
            <w:tcMar>
              <w:top w:w="70" w:type="dxa"/>
              <w:start w:w="80" w:type="dxa"/>
              <w:bottom w:w="70" w:type="dxa"/>
              <w:end w:w="80" w:type="dxa"/>
            </w:tcMar>
          </w:tcPr>
          <w:p>
            <w:r>
              <w:t>Product Owner accepted the consolidated baseline; D-001–D-103 and CHG-001–CHG-028 remain preserved in archived Register v0.6 for historical audit.</w:t>
            </w:r>
          </w:p>
        </w:tc>
      </w:tr>
      <w:tr>
        <w:tc>
          <w:tcPr>
            <w:tcW w:type="dxa" w:w="3389"/>
            <w:tcMar>
              <w:top w:w="70" w:type="dxa"/>
              <w:start w:w="80" w:type="dxa"/>
              <w:bottom w:w="70" w:type="dxa"/>
              <w:end w:w="80" w:type="dxa"/>
            </w:tcMar>
          </w:tcPr>
          <w:p>
            <w:r>
              <w:rPr>
                <w:rFonts w:ascii="Aptos" w:hAnsi="Aptos" w:eastAsia="Aptos"/>
                <w:b/>
                <w:sz w:val="16"/>
              </w:rPr>
              <w:t>Visual/document QA</w:t>
            </w:r>
          </w:p>
        </w:tc>
        <w:tc>
          <w:tcPr>
            <w:tcW w:type="dxa" w:w="3389"/>
            <w:tcMar>
              <w:top w:w="70" w:type="dxa"/>
              <w:start w:w="80" w:type="dxa"/>
              <w:bottom w:w="70" w:type="dxa"/>
              <w:end w:w="80" w:type="dxa"/>
            </w:tcMar>
            <w:shd w:fill="FFF2CC"/>
          </w:tcPr>
          <w:p>
            <w:r>
              <w:t>COMPLETE</w:t>
            </w:r>
          </w:p>
        </w:tc>
        <w:tc>
          <w:tcPr>
            <w:tcW w:type="dxa" w:w="3389"/>
            <w:tcMar>
              <w:top w:w="70" w:type="dxa"/>
              <w:start w:w="80" w:type="dxa"/>
              <w:bottom w:w="70" w:type="dxa"/>
              <w:end w:w="80" w:type="dxa"/>
            </w:tcMar>
          </w:tcPr>
          <w:p>
            <w:r>
              <w:t>Final v0.8 DOCX rendered and visually inspected after CHG-037 synchronization and version-reference QA.</w:t>
            </w:r>
          </w:p>
        </w:tc>
      </w:tr>
      <w:tr>
        <w:tc>
          <w:tcPr>
            <w:tcW w:type="dxa" w:w="3389"/>
            <w:tcMar>
              <w:top w:w="70" w:type="dxa"/>
              <w:start w:w="80" w:type="dxa"/>
              <w:bottom w:w="70" w:type="dxa"/>
              <w:end w:w="80" w:type="dxa"/>
            </w:tcMar>
          </w:tcPr>
          <w:p>
            <w:r>
              <w:rPr>
                <w:rFonts w:ascii="Aptos" w:hAnsi="Aptos" w:eastAsia="Aptos"/>
                <w:b/>
                <w:sz w:val="16"/>
              </w:rPr>
              <w:t>Formal baseline promotion</w:t>
            </w:r>
          </w:p>
        </w:tc>
        <w:tc>
          <w:tcPr>
            <w:tcW w:type="dxa" w:w="3389"/>
            <w:tcMar>
              <w:top w:w="70" w:type="dxa"/>
              <w:start w:w="80" w:type="dxa"/>
              <w:bottom w:w="70" w:type="dxa"/>
              <w:end w:w="80" w:type="dxa"/>
            </w:tcMar>
            <w:shd w:fill="FFF2CC"/>
          </w:tcPr>
          <w:p>
            <w:r>
              <w:t>COMPLETE</w:t>
            </w:r>
          </w:p>
        </w:tc>
        <w:tc>
          <w:tcPr>
            <w:tcW w:type="dxa" w:w="3389"/>
            <w:tcMar>
              <w:top w:w="70" w:type="dxa"/>
              <w:start w:w="80" w:type="dxa"/>
              <w:bottom w:w="70" w:type="dxa"/>
              <w:end w:w="80" w:type="dxa"/>
            </w:tcMar>
          </w:tcPr>
          <w:p>
            <w:r>
              <w:t>Register v0.10 + Specification v0.8 promoted to current controlled baseline; Master Document Index, reconciliation and materially affected implementation-planning documents are synchronized in the same release cycle.</w:t>
            </w:r>
          </w:p>
        </w:tc>
      </w:tr>
    </w:tbl>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67788"/>
        <w:sz w:val="16"/>
      </w:rPr>
      <w:t xml:space="preserve">CONTROLLED BASELINE — 2026-08-12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667788"/>
        <w:sz w:val="16"/>
      </w:rPr>
      <w:t>SmartSense | Critical Logic &amp; Process Specification | v0.8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rtSenseMeta">
    <w:name w:val="SmartSense Meta"/>
    <w:pPr>
      <w:spacing w:after="40"/>
    </w:pPr>
    <w:rPr>
      <w:rFonts w:ascii="Aptos" w:hAnsi="Aptos"/>
      <w:color w:val="505F6E"/>
      <w:sz w:val="17"/>
    </w:rPr>
  </w:style>
  <w:style w:type="paragraph" w:customStyle="1" w:styleId="RequirementBullet">
    <w:name w:val="Requirement Bullet"/>
    <w:pPr>
      <w:spacing w:after="50"/>
      <w:ind w:left="259" w:hanging="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SmartSense Critical Logic &amp; Process Specification v0.5</dc:title>
  <dc:subject>Controlled product behavior for SmartSense Merge IDs 1–72</dc:subject>
  <dc:creator>SmartSense Product Owner / OpenAI drafting support</dc:creator>
  <cp:keywords>SmartSense, Critical Logic, Product Requirements, Release Candidate, Merge IDs</cp:keywords>
  <dc:description>Product Owner approved controlled baseline effective 2026-08-11.</dc:description>
  <cp:lastModifiedBy/>
  <cp:revision>1</cp:revision>
  <dcterms:created xsi:type="dcterms:W3CDTF">2013-12-23T23:15:00Z</dcterms:created>
  <dcterms:modified xsi:type="dcterms:W3CDTF">2013-12-23T23:15:00Z</dcterms:modified>
  <cp:category/>
</cp:coreProperties>
</file>