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2F5597"/>
          <w:sz w:val="34"/>
        </w:rPr>
        <w:t>SMARTSENSE</w:t>
      </w:r>
    </w:p>
    <w:p>
      <w:pPr>
        <w:pStyle w:val="Title"/>
        <w:jc w:val="center"/>
      </w:pPr>
      <w:r>
        <w:t>Gateway / Direct App Capability and J3309 Applicability Addendum</w:t>
      </w:r>
    </w:p>
    <w:p>
      <w:pPr>
        <w:jc w:val="center"/>
      </w:pPr>
      <w:r>
        <w:t>D-121 / CHG-035 / CHG-037 Synchronization of Supporting Engineering Specifications and Release 1 J3309 Source Trace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Pr>
          <w:p>
            <w:r>
              <w:rPr>
                <w:rFonts w:ascii="Aptos" w:hAnsi="Aptos" w:eastAsia="Aptos"/>
                <w:b/>
                <w:color w:val="FFFFFF"/>
                <w:sz w:val="16"/>
              </w:rPr>
              <w:t>Field</w:t>
            </w:r>
          </w:p>
        </w:tc>
        <w:tc>
          <w:tcPr>
            <w:tcW w:type="dxa" w:w="5112"/>
            <w:shd w:fill="17324D"/>
          </w:tcPr>
          <w:p>
            <w:r>
              <w:rPr>
                <w:rFonts w:ascii="Aptos" w:hAnsi="Aptos" w:eastAsia="Aptos"/>
                <w:b/>
                <w:color w:val="FFFFFF"/>
                <w:sz w:val="16"/>
              </w:rPr>
              <w:t>Value</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Document ID</w:t>
            </w:r>
          </w:p>
        </w:tc>
        <w:tc>
          <w:tcPr>
            <w:tcW w:type="dxa" w:w="5112"/>
            <w:tcMar>
              <w:top w:w="45" w:type="dxa"/>
              <w:start w:w="45" w:type="dxa"/>
              <w:bottom w:w="45" w:type="dxa"/>
              <w:end w:w="45" w:type="dxa"/>
            </w:tcMar>
          </w:tcPr>
          <w:p>
            <w:pPr>
              <w:spacing w:after="0"/>
            </w:pPr>
            <w:r>
              <w:rPr>
                <w:rFonts w:ascii="Aptos" w:hAnsi="Aptos" w:eastAsia="Aptos"/>
                <w:b w:val="0"/>
                <w:sz w:val="15"/>
              </w:rPr>
              <w:t>SS-SAF-004</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Revision</w:t>
            </w:r>
          </w:p>
        </w:tc>
        <w:tc>
          <w:tcPr>
            <w:tcW w:type="dxa" w:w="5112"/>
            <w:tcMar>
              <w:top w:w="45" w:type="dxa"/>
              <w:start w:w="45" w:type="dxa"/>
              <w:bottom w:w="45" w:type="dxa"/>
              <w:end w:w="45" w:type="dxa"/>
            </w:tcMar>
          </w:tcPr>
          <w:p>
            <w:r>
              <w:t>v0.3</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Date</w:t>
            </w:r>
          </w:p>
        </w:tc>
        <w:tc>
          <w:tcPr>
            <w:tcW w:type="dxa" w:w="5112"/>
            <w:tcMar>
              <w:top w:w="45" w:type="dxa"/>
              <w:start w:w="45" w:type="dxa"/>
              <w:bottom w:w="45" w:type="dxa"/>
              <w:end w:w="45" w:type="dxa"/>
            </w:tcMar>
          </w:tcPr>
          <w:p>
            <w:r>
              <w:t>August 13, 2026</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Status</w:t>
            </w:r>
          </w:p>
        </w:tc>
        <w:tc>
          <w:tcPr>
            <w:tcW w:type="dxa" w:w="5112"/>
            <w:tcMar>
              <w:top w:w="45" w:type="dxa"/>
              <w:start w:w="45" w:type="dxa"/>
              <w:bottom w:w="45" w:type="dxa"/>
              <w:end w:w="45" w:type="dxa"/>
            </w:tcMar>
          </w:tcPr>
          <w:p>
            <w:pPr>
              <w:spacing w:after="0"/>
            </w:pPr>
            <w:r>
              <w:rPr>
                <w:rFonts w:ascii="Aptos" w:hAnsi="Aptos" w:eastAsia="Aptos"/>
                <w:b w:val="0"/>
                <w:sz w:val="15"/>
              </w:rPr>
              <w:t>ACTIVE SUPPORTING RECONCILIATION ADDENDUM — not independent product authority</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Controlled Authority</w:t>
            </w:r>
          </w:p>
        </w:tc>
        <w:tc>
          <w:tcPr>
            <w:tcW w:type="dxa" w:w="5112"/>
            <w:tcMar>
              <w:top w:w="45" w:type="dxa"/>
              <w:start w:w="45" w:type="dxa"/>
              <w:bottom w:w="45" w:type="dxa"/>
              <w:end w:w="45" w:type="dxa"/>
            </w:tcMar>
          </w:tcPr>
          <w:p>
            <w:r>
              <w:t>SmartSense Critical Logic Register v0.10 + Process Specification v0.8 — RELEASE 1 FROZEN BASELINE</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Decision Trace</w:t>
            </w:r>
          </w:p>
        </w:tc>
        <w:tc>
          <w:tcPr>
            <w:tcW w:type="dxa" w:w="5112"/>
            <w:tcMar>
              <w:top w:w="45" w:type="dxa"/>
              <w:start w:w="45" w:type="dxa"/>
              <w:bottom w:w="45" w:type="dxa"/>
              <w:end w:w="45" w:type="dxa"/>
            </w:tcMar>
          </w:tcPr>
          <w:p>
            <w:r>
              <w:t>D-121 / CHG-035 / CHG-037; Release 1 baseline freeze directive 2026-08-13</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Affected Supporting Specs</w:t>
            </w:r>
          </w:p>
        </w:tc>
        <w:tc>
          <w:tcPr>
            <w:tcW w:type="dxa" w:w="5112"/>
            <w:tcMar>
              <w:top w:w="45" w:type="dxa"/>
              <w:start w:w="45" w:type="dxa"/>
              <w:bottom w:w="45" w:type="dxa"/>
              <w:end w:w="45" w:type="dxa"/>
            </w:tcMar>
          </w:tcPr>
          <w:p>
            <w:pPr>
              <w:spacing w:after="0"/>
            </w:pPr>
            <w:r>
              <w:rPr>
                <w:rFonts w:ascii="Aptos" w:hAnsi="Aptos" w:eastAsia="Aptos"/>
                <w:b w:val="0"/>
                <w:sz w:val="15"/>
              </w:rPr>
              <w:t>TRD-SMS-2026-TPMS01 Rev D; TRD-SMS-2026-TPMS02 Rev D; TRD-SMS-2026-APP01 Rev A</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Purpose</w:t>
            </w:r>
          </w:p>
        </w:tc>
        <w:tc>
          <w:tcPr>
            <w:tcW w:type="dxa" w:w="5112"/>
            <w:tcMar>
              <w:top w:w="45" w:type="dxa"/>
              <w:start w:w="45" w:type="dxa"/>
              <w:bottom w:w="45" w:type="dxa"/>
              <w:end w:w="45" w:type="dxa"/>
            </w:tcMar>
          </w:tcPr>
          <w:p>
            <w:r>
              <w:t>Reconcile the three supporting TPMS/J3309 specifications to the frozen Product Mode architecture, Significant-G owner presentation and explicit Release 1 source-to-test traceability without creating independent product authority.</w:t>
            </w:r>
          </w:p>
        </w:tc>
      </w:tr>
    </w:tbl>
    <w:p>
      <w:pPr>
        <w:pStyle w:val="Heading1"/>
      </w:pPr>
      <w:r>
        <w:t>1. Controlling Clarification</w:t>
      </w:r>
    </w:p>
    <w:p>
      <w:r>
        <w:t>The following Product Owner-approved architecture is controlling wherever the affected supporting specifications are incomplete or use older SmartSense Pro wording:</w:t>
      </w:r>
    </w:p>
    <w:p>
      <w:pPr>
        <w:pStyle w:val="ListBullet"/>
        <w:spacing w:after="40"/>
      </w:pPr>
      <w:r>
        <w:t>SmartSense has two separate mobile applications/experiences by Product Mode: the Gateway App and the Direct TPMS App.</w:t>
      </w:r>
    </w:p>
    <w:p>
      <w:pPr>
        <w:pStyle w:val="ListBullet"/>
        <w:spacing w:after="40"/>
      </w:pPr>
      <w:r>
        <w:t>Gateway Mode uses the SmartSense Gateway. The Gateway remains the sole authoritative local TPMS threshold evaluator for Gateway Mode.</w:t>
      </w:r>
    </w:p>
    <w:p>
      <w:pPr>
        <w:pStyle w:val="ListBullet"/>
        <w:spacing w:after="40"/>
      </w:pPr>
      <w:r>
        <w:t>The Gateway App receives/presents applicable Gateway-provided TPMS information plus Gateway Mode temperature/humidity. For motion/accelerometer, the RV Owner experience presents only cloud-defined Significant G Events; raw/live X/Y/Z accelerometer data is not owner-facing.</w:t>
      </w:r>
    </w:p>
    <w:p>
      <w:pPr>
        <w:pStyle w:val="ListBullet"/>
        <w:spacing w:after="40"/>
      </w:pPr>
      <w:r>
        <w:t>Temperature/humidity and accelerometer are Gateway Mode-only capabilities. They are not Direct TPMS capabilities.</w:t>
      </w:r>
    </w:p>
    <w:p>
      <w:pPr>
        <w:pStyle w:val="ListBullet"/>
        <w:spacing w:after="40"/>
      </w:pPr>
      <w:r>
        <w:t>DIRECT_TPMS uses the separate Direct TPMS App, which communicates directly with the VIN's factory-registered TPMS sensor set and is the local TPMS evaluator for that Product Mode.</w:t>
      </w:r>
    </w:p>
    <w:p>
      <w:pPr>
        <w:pStyle w:val="ListBullet"/>
        <w:spacing w:after="40"/>
      </w:pPr>
      <w:r>
        <w:t>For DIRECT_TPMS, temperature/humidity and accelerometer are Not Available. Clients and health logic must not represent those capabilities as Stale, Offline or missing.</w:t>
      </w:r>
    </w:p>
    <w:p>
      <w:pPr>
        <w:pStyle w:val="ListBullet"/>
        <w:spacing w:after="40"/>
      </w:pPr>
      <w:r>
        <w:t>SAE J3309 requirements in the referenced supporting specifications govern the TPMS warning-system contribution. Gateway temperature/humidity and Significant G functionality does not automatically become J3309-required merely because the same Gateway App presents it. CHG-036 pairing responsiveness/Imperial presentation and CHG-037 Significant-G/multi-RV/owner-service decisions do not broaden J3309 applicability or invent new TPMS conformity claims.</w:t>
      </w:r>
      <w:r/>
    </w:p>
    <w:tbl>
      <w:tblPr>
        <w:tblStyle w:val="TableGrid"/>
        <w:tblW w:type="auto" w:w="0"/>
        <w:tblLook w:firstColumn="1" w:firstRow="1" w:lastColumn="0" w:lastRow="0" w:noHBand="0" w:noVBand="1" w:val="04A0"/>
      </w:tblPr>
      <w:tblGrid>
        <w:gridCol w:w="10224"/>
      </w:tblGrid>
      <w:tr>
        <w:trPr>
          <w:tblHeader w:val="true"/>
          <w:cantSplit/>
        </w:trPr>
        <w:tc>
          <w:tcPr>
            <w:tcW w:type="dxa" w:w="10224"/>
            <w:shd w:fill="2F855A"/>
          </w:tcPr>
          <w:p>
            <w:r>
              <w:t>PRECEDENCE</w:t>
              <w:br/>
              <w:t>Register v0.10 + Specification v0.8 are the frozen Release 1 product authority. This addendum and TPMS/J3309 Traceability Matrix v1.0 reconcile supporting specifications to that baseline. Supporting-source details may drive implementation/test evidence but may not silently create a third Product Mode, broaden DIRECT_TPMS, change the Gateway evaluator authority, expose raw owner accelerometer axes, or close an open/deferred item by assumption.</w:t>
            </w:r>
          </w:p>
        </w:tc>
      </w:tr>
      <w:tr>
        <w:trPr>
          <w:cantSplit/>
        </w:trPr>
        <w:tc>
          <w:tcPr>
            <w:tcW w:type="dxa" w:w="10224"/>
            <w:shd w:fill="EAF7EE"/>
          </w:tcPr>
          <w:p>
            <w:r>
              <w:rPr>
                <w:rFonts w:ascii="Aptos" w:hAnsi="Aptos" w:eastAsia="Aptos"/>
                <w:b w:val="0"/>
                <w:color w:val="111827"/>
                <w:sz w:val="17"/>
              </w:rPr>
              <w:t>Register v0.10 + Specification v0.8 are the frozen Release 1 product authority. This addendum reconciles supporting specifications to that baseline. It does not create a third Product Mode, broaden DIRECT_TPMS, expose raw owner accelerometer axes, or define new environmental/motion alert thresholds.</w:t>
            </w:r>
          </w:p>
        </w:tc>
      </w:tr>
    </w:tbl>
    <w:p>
      <w:pPr>
        <w:pStyle w:val="Heading1"/>
      </w:pPr>
      <w:r>
        <w:t>2. Effect on TRD-SMS-2026-TPMS01 Rev D</w:t>
      </w:r>
    </w:p>
    <w:p>
      <w:r>
        <w:t>The Real-Time TPMS Local Safety Alert and SAE J3309 HMI specification remains applicable to the Gateway-mode TPMS safety/HMI path. Its references to the SmartSense mobile application should be interpreted as the Gateway App for this specification.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Pr>
          <w:p>
            <w:r>
              <w:rPr>
                <w:rFonts w:ascii="Aptos" w:hAnsi="Aptos" w:eastAsia="Aptos"/>
                <w:b/>
                <w:color w:val="FFFFFF"/>
                <w:sz w:val="16"/>
              </w:rPr>
              <w:t>Rev D Topic</w:t>
            </w:r>
          </w:p>
        </w:tc>
        <w:tc>
          <w:tcPr>
            <w:tcW w:type="dxa" w:w="5112"/>
            <w:shd w:fill="17324D"/>
          </w:tcPr>
          <w:p>
            <w:r>
              <w:rPr>
                <w:rFonts w:ascii="Aptos" w:hAnsi="Aptos" w:eastAsia="Aptos"/>
                <w:b/>
                <w:color w:val="FFFFFF"/>
                <w:sz w:val="16"/>
              </w:rPr>
              <w:t>Reconciled Interpretation</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Designated HMI</w:t>
            </w:r>
          </w:p>
        </w:tc>
        <w:tc>
          <w:tcPr>
            <w:tcW w:type="dxa" w:w="5112"/>
            <w:tcMar>
              <w:top w:w="45" w:type="dxa"/>
              <w:start w:w="45" w:type="dxa"/>
              <w:bottom w:w="45" w:type="dxa"/>
              <w:end w:w="45" w:type="dxa"/>
            </w:tcMar>
          </w:tcPr>
          <w:p>
            <w:pPr>
              <w:spacing w:after="0"/>
            </w:pPr>
            <w:r>
              <w:rPr>
                <w:rFonts w:ascii="Aptos" w:hAnsi="Aptos" w:eastAsia="Aptos"/>
                <w:b w:val="0"/>
                <w:sz w:val="15"/>
              </w:rPr>
              <w:t>Gateway App for the Gateway-mode TPMS warning path.</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Gateway evaluator</w:t>
            </w:r>
          </w:p>
        </w:tc>
        <w:tc>
          <w:tcPr>
            <w:tcW w:type="dxa" w:w="5112"/>
            <w:tcMar>
              <w:top w:w="45" w:type="dxa"/>
              <w:start w:w="45" w:type="dxa"/>
              <w:bottom w:w="45" w:type="dxa"/>
              <w:end w:w="45" w:type="dxa"/>
            </w:tcMar>
          </w:tcPr>
          <w:p>
            <w:pPr>
              <w:spacing w:after="0"/>
            </w:pPr>
            <w:r>
              <w:rPr>
                <w:rFonts w:ascii="Aptos" w:hAnsi="Aptos" w:eastAsia="Aptos"/>
                <w:b w:val="0"/>
                <w:sz w:val="15"/>
              </w:rPr>
              <w:t>Unchanged: Gateway is the sole authoritative local TPMS evaluator in Gateway Mode.</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Routine BLE data</w:t>
            </w:r>
          </w:p>
        </w:tc>
        <w:tc>
          <w:tcPr>
            <w:tcW w:type="dxa" w:w="5112"/>
            <w:tcMar>
              <w:top w:w="45" w:type="dxa"/>
              <w:start w:w="45" w:type="dxa"/>
              <w:bottom w:w="45" w:type="dxa"/>
              <w:end w:w="45" w:type="dxa"/>
            </w:tcMar>
          </w:tcPr>
          <w:p>
            <w:pPr>
              <w:spacing w:after="0"/>
            </w:pPr>
            <w:r>
              <w:rPr>
                <w:rFonts w:ascii="Aptos" w:hAnsi="Aptos" w:eastAsia="Aptos"/>
                <w:b w:val="0"/>
                <w:sz w:val="15"/>
              </w:rPr>
              <w:t>May include applicable Gateway telemetry beyond TPMS, including temperature/humidity and accelerometer. TPMS safety-event requirements remain separate and event-driven.</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Environmental/motion display</w:t>
            </w:r>
          </w:p>
        </w:tc>
        <w:tc>
          <w:tcPr>
            <w:tcW w:type="dxa" w:w="5112"/>
            <w:tcMar>
              <w:top w:w="45" w:type="dxa"/>
              <w:start w:w="45" w:type="dxa"/>
              <w:bottom w:w="45" w:type="dxa"/>
              <w:end w:w="45" w:type="dxa"/>
            </w:tcMar>
          </w:tcPr>
          <w:p>
            <w:r>
              <w:t>Gateway App may display applicable Gateway temperature/humidity information. RV Owner motion presentation is limited to cloud-defined Significant G Events; raw/live X/Y/Z accelerometer data is not owner-facing. These capabilities do not alter the J3309 TPMS alert timing requirement.</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Cloud notification recipients</w:t>
            </w:r>
          </w:p>
        </w:tc>
        <w:tc>
          <w:tcPr>
            <w:tcW w:type="dxa" w:w="5112"/>
            <w:tcMar>
              <w:top w:w="45" w:type="dxa"/>
              <w:start w:w="45" w:type="dxa"/>
              <w:bottom w:w="45" w:type="dxa"/>
              <w:end w:w="45" w:type="dxa"/>
            </w:tcMar>
          </w:tcPr>
          <w:p>
            <w:pPr>
              <w:spacing w:after="0"/>
            </w:pPr>
            <w:r>
              <w:rPr>
                <w:rFonts w:ascii="Aptos" w:hAnsi="Aptos" w:eastAsia="Aptos"/>
                <w:b w:val="0"/>
                <w:sz w:val="15"/>
              </w:rPr>
              <w:t>Any older wording that implies automatic OEM/dealer/service mobile-alert receipt is superseded by the current controlled notification-recipient architecture.</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Direct TPMS</w:t>
            </w:r>
          </w:p>
        </w:tc>
        <w:tc>
          <w:tcPr>
            <w:tcW w:type="dxa" w:w="5112"/>
            <w:tcMar>
              <w:top w:w="45" w:type="dxa"/>
              <w:start w:w="45" w:type="dxa"/>
              <w:bottom w:w="45" w:type="dxa"/>
              <w:end w:w="45" w:type="dxa"/>
            </w:tcMar>
          </w:tcPr>
          <w:p>
            <w:pPr>
              <w:spacing w:after="0"/>
            </w:pPr>
            <w:r>
              <w:rPr>
                <w:rFonts w:ascii="Aptos" w:hAnsi="Aptos" w:eastAsia="Aptos"/>
                <w:b w:val="0"/>
                <w:sz w:val="15"/>
              </w:rPr>
              <w:t>Outside this Rev D Gateway-mode specification. DIRECT_TPMS is governed by the current controlled Product Mode logic and future Direct TPMS-specific mobile specification.</w:t>
            </w:r>
          </w:p>
        </w:tc>
      </w:tr>
    </w:tbl>
    <w:p>
      <w:pPr>
        <w:pStyle w:val="Heading1"/>
      </w:pPr>
      <w:r>
        <w:t>3. Effect on TRD-SMS-2026-TPMS02 Rev D</w:t>
      </w:r>
    </w:p>
    <w:p>
      <w:r>
        <w:t>The TPMS Sensor specification remains a TPMS sensor/component specification. D-121 does not turn the TPMS sensor into an environmental or accelerometer sensor and does not change the sensor qualification claims.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Pr>
          <w:p>
            <w:r>
              <w:rPr>
                <w:rFonts w:ascii="Aptos" w:hAnsi="Aptos" w:eastAsia="Aptos"/>
                <w:b/>
                <w:color w:val="FFFFFF"/>
                <w:sz w:val="16"/>
              </w:rPr>
              <w:t>Rev D Topic</w:t>
            </w:r>
          </w:p>
        </w:tc>
        <w:tc>
          <w:tcPr>
            <w:tcW w:type="dxa" w:w="5112"/>
            <w:shd w:fill="17324D"/>
          </w:tcPr>
          <w:p>
            <w:r>
              <w:rPr>
                <w:rFonts w:ascii="Aptos" w:hAnsi="Aptos" w:eastAsia="Aptos"/>
                <w:b/>
                <w:color w:val="FFFFFF"/>
                <w:sz w:val="16"/>
              </w:rPr>
              <w:t>Reconciled Interpretation</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Receiver path</w:t>
            </w:r>
          </w:p>
        </w:tc>
        <w:tc>
          <w:tcPr>
            <w:tcW w:type="dxa" w:w="5112"/>
            <w:tcMar>
              <w:top w:w="45" w:type="dxa"/>
              <w:start w:w="45" w:type="dxa"/>
              <w:bottom w:w="45" w:type="dxa"/>
              <w:end w:w="45" w:type="dxa"/>
            </w:tcMar>
          </w:tcPr>
          <w:p>
            <w:pPr>
              <w:spacing w:after="0"/>
            </w:pPr>
            <w:r>
              <w:rPr>
                <w:rFonts w:ascii="Aptos" w:hAnsi="Aptos" w:eastAsia="Aptos"/>
                <w:b w:val="0"/>
                <w:sz w:val="15"/>
              </w:rPr>
              <w:t>The wheel TPMS sensor communicates to the applicable local receiver by Product Mode: Gateway in GATEWAY; Direct TPMS App/phone in DIRECT_TPMS.</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Vehicle association</w:t>
            </w:r>
          </w:p>
        </w:tc>
        <w:tc>
          <w:tcPr>
            <w:tcW w:type="dxa" w:w="5112"/>
            <w:tcMar>
              <w:top w:w="45" w:type="dxa"/>
              <w:start w:w="45" w:type="dxa"/>
              <w:bottom w:w="45" w:type="dxa"/>
              <w:end w:w="45" w:type="dxa"/>
            </w:tcMar>
          </w:tcPr>
          <w:p>
            <w:pPr>
              <w:spacing w:after="0"/>
            </w:pPr>
            <w:r>
              <w:rPr>
                <w:rFonts w:ascii="Aptos" w:hAnsi="Aptos" w:eastAsia="Aptos"/>
                <w:b w:val="0"/>
                <w:sz w:val="15"/>
              </w:rPr>
              <w:t>Sensor identity/tire-position association remains VIN/Model controlled. The association terminates at the Gateway or Direct TPMS App according to Product Mode.</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J3309 system path</w:t>
            </w:r>
          </w:p>
        </w:tc>
        <w:tc>
          <w:tcPr>
            <w:tcW w:type="dxa" w:w="5112"/>
            <w:tcMar>
              <w:top w:w="45" w:type="dxa"/>
              <w:start w:w="45" w:type="dxa"/>
              <w:bottom w:w="45" w:type="dxa"/>
              <w:end w:w="45" w:type="dxa"/>
            </w:tcMar>
          </w:tcPr>
          <w:p>
            <w:pPr>
              <w:spacing w:after="0"/>
            </w:pPr>
            <w:r>
              <w:rPr>
                <w:rFonts w:ascii="Aptos" w:hAnsi="Aptos" w:eastAsia="Aptos"/>
                <w:b w:val="0"/>
                <w:sz w:val="15"/>
              </w:rPr>
              <w:t>For Gateway Mode, the complete warning path remains sensor → Gateway evaluator → Gateway App HMI. For Direct TPMS, the phone/app becomes the local receiver/evaluator and requires separate system-level validation.</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Temperature wording</w:t>
            </w:r>
          </w:p>
        </w:tc>
        <w:tc>
          <w:tcPr>
            <w:tcW w:type="dxa" w:w="5112"/>
            <w:tcMar>
              <w:top w:w="45" w:type="dxa"/>
              <w:start w:w="45" w:type="dxa"/>
              <w:bottom w:w="45" w:type="dxa"/>
              <w:end w:w="45" w:type="dxa"/>
            </w:tcMar>
          </w:tcPr>
          <w:p>
            <w:pPr>
              <w:spacing w:after="0"/>
            </w:pPr>
            <w:r>
              <w:rPr>
                <w:rFonts w:ascii="Aptos" w:hAnsi="Aptos" w:eastAsia="Aptos"/>
                <w:b w:val="0"/>
                <w:sz w:val="15"/>
              </w:rPr>
              <w:t>Tire temperature reported by the TPMS sensor is distinct from the Gateway Mode environmental temperature/humidity sensor capability.</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Environmental/motion sensors</w:t>
            </w:r>
          </w:p>
        </w:tc>
        <w:tc>
          <w:tcPr>
            <w:tcW w:type="dxa" w:w="5112"/>
            <w:tcMar>
              <w:top w:w="45" w:type="dxa"/>
              <w:start w:w="45" w:type="dxa"/>
              <w:bottom w:w="45" w:type="dxa"/>
              <w:end w:w="45" w:type="dxa"/>
            </w:tcMar>
          </w:tcPr>
          <w:p>
            <w:pPr>
              <w:spacing w:after="0"/>
            </w:pPr>
            <w:r>
              <w:rPr>
                <w:rFonts w:ascii="Aptos" w:hAnsi="Aptos" w:eastAsia="Aptos"/>
                <w:b w:val="0"/>
                <w:sz w:val="15"/>
              </w:rPr>
              <w:t>Outside the scope of the TPMS wheel-sensor hardware specification. Separate Gateway environmental/motion hardware/firmware evidence is required where applicable.</w:t>
            </w:r>
          </w:p>
        </w:tc>
      </w:tr>
    </w:tbl>
    <w:p>
      <w:pPr>
        <w:pStyle w:val="Heading1"/>
      </w:pPr>
      <w:r>
        <w:t>4. Effect on TRD-SMS-2026-APP01 Rev A</w:t>
      </w:r>
    </w:p>
    <w:p>
      <w:r>
        <w:t>Rev A is a Gateway App / Gateway-mode HMI specification. Its statement that SmartSense Pro always includes a Gateway is no longer a platform-wide statement; it applies only within the Gateway-mode scope of that document.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Pr>
          <w:p>
            <w:r>
              <w:rPr>
                <w:rFonts w:ascii="Aptos" w:hAnsi="Aptos" w:eastAsia="Aptos"/>
                <w:b/>
                <w:color w:val="FFFFFF"/>
                <w:sz w:val="16"/>
              </w:rPr>
              <w:t>Rev A Topic</w:t>
            </w:r>
          </w:p>
        </w:tc>
        <w:tc>
          <w:tcPr>
            <w:tcW w:type="dxa" w:w="5112"/>
            <w:shd w:fill="17324D"/>
          </w:tcPr>
          <w:p>
            <w:r>
              <w:rPr>
                <w:rFonts w:ascii="Aptos" w:hAnsi="Aptos" w:eastAsia="Aptos"/>
                <w:b/>
                <w:color w:val="FFFFFF"/>
                <w:sz w:val="16"/>
              </w:rPr>
              <w:t>Reconciled Interpretation</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Product / app identity</w:t>
            </w:r>
          </w:p>
        </w:tc>
        <w:tc>
          <w:tcPr>
            <w:tcW w:type="dxa" w:w="5112"/>
            <w:tcMar>
              <w:top w:w="45" w:type="dxa"/>
              <w:start w:w="45" w:type="dxa"/>
              <w:bottom w:w="45" w:type="dxa"/>
              <w:end w:w="45" w:type="dxa"/>
            </w:tcMar>
          </w:tcPr>
          <w:p>
            <w:pPr>
              <w:spacing w:after="0"/>
            </w:pPr>
            <w:r>
              <w:rPr>
                <w:rFonts w:ascii="Aptos" w:hAnsi="Aptos" w:eastAsia="Aptos"/>
                <w:b w:val="0"/>
                <w:sz w:val="15"/>
              </w:rPr>
              <w:t>Treat Rev A as the Gateway App HMI specification, not a combined specification for both SmartSense mobile applications.</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Gateway requirement</w:t>
            </w:r>
          </w:p>
        </w:tc>
        <w:tc>
          <w:tcPr>
            <w:tcW w:type="dxa" w:w="5112"/>
            <w:tcMar>
              <w:top w:w="45" w:type="dxa"/>
              <w:start w:w="45" w:type="dxa"/>
              <w:bottom w:w="45" w:type="dxa"/>
              <w:end w:w="45" w:type="dxa"/>
            </w:tcMar>
          </w:tcPr>
          <w:p>
            <w:pPr>
              <w:spacing w:after="0"/>
            </w:pPr>
            <w:r>
              <w:rPr>
                <w:rFonts w:ascii="Aptos" w:hAnsi="Aptos" w:eastAsia="Aptos"/>
                <w:b w:val="0"/>
                <w:sz w:val="15"/>
              </w:rPr>
              <w:t>Required for the Gateway App / GATEWAY Product Mode only. DIRECT_TPMS has no Gateway.</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Gateway App information</w:t>
            </w:r>
          </w:p>
        </w:tc>
        <w:tc>
          <w:tcPr>
            <w:tcW w:type="dxa" w:w="5112"/>
            <w:tcMar>
              <w:top w:w="45" w:type="dxa"/>
              <w:start w:w="45" w:type="dxa"/>
              <w:bottom w:w="45" w:type="dxa"/>
              <w:end w:w="45" w:type="dxa"/>
            </w:tcMar>
          </w:tcPr>
          <w:p>
            <w:r>
              <w:t>In addition to the TPMS/J3309 HMI content defined by Rev A, the Gateway App may display applicable Gateway temperature/humidity information and cloud-defined Significant G Events. Raw/live owner accelerometer axes are not part of the owner HMI.</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TPMS evaluator</w:t>
            </w:r>
          </w:p>
        </w:tc>
        <w:tc>
          <w:tcPr>
            <w:tcW w:type="dxa" w:w="5112"/>
            <w:tcMar>
              <w:top w:w="45" w:type="dxa"/>
              <w:start w:w="45" w:type="dxa"/>
              <w:bottom w:w="45" w:type="dxa"/>
              <w:end w:w="45" w:type="dxa"/>
            </w:tcMar>
          </w:tcPr>
          <w:p>
            <w:r>
              <w:t>Unchanged for Gateway Mode: Gateway evaluates TPMS thresholds; Gateway App presents Gateway-generated TPMS state/events and does not become a second evaluator. Any optional mobile threshold cross-check from Rev A is diagnostic only and cannot create/override/clear the canonical Gateway AlertEvent.</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Direct TPMS App</w:t>
            </w:r>
          </w:p>
        </w:tc>
        <w:tc>
          <w:tcPr>
            <w:tcW w:type="dxa" w:w="5112"/>
            <w:tcMar>
              <w:top w:w="45" w:type="dxa"/>
              <w:start w:w="45" w:type="dxa"/>
              <w:bottom w:w="45" w:type="dxa"/>
              <w:end w:w="45" w:type="dxa"/>
            </w:tcMar>
          </w:tcPr>
          <w:p>
            <w:pPr>
              <w:spacing w:after="0"/>
            </w:pPr>
            <w:r>
              <w:rPr>
                <w:rFonts w:ascii="Aptos" w:hAnsi="Aptos" w:eastAsia="Aptos"/>
                <w:b w:val="0"/>
                <w:sz w:val="15"/>
              </w:rPr>
              <w:t>Separate application/experience. Directly receives the VIN's TPMS sensors and performs local TPMS evaluation. Does not support temperature/humidity or accelerometer.</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Monitoring state</w:t>
            </w:r>
          </w:p>
        </w:tc>
        <w:tc>
          <w:tcPr>
            <w:tcW w:type="dxa" w:w="5112"/>
            <w:tcMar>
              <w:top w:w="45" w:type="dxa"/>
              <w:start w:w="45" w:type="dxa"/>
              <w:bottom w:w="45" w:type="dxa"/>
              <w:end w:w="45" w:type="dxa"/>
            </w:tcMar>
          </w:tcPr>
          <w:p>
            <w:pPr>
              <w:spacing w:after="0"/>
            </w:pPr>
            <w:r>
              <w:rPr>
                <w:rFonts w:ascii="Aptos" w:hAnsi="Aptos" w:eastAsia="Aptos"/>
                <w:b w:val="0"/>
                <w:sz w:val="15"/>
              </w:rPr>
              <w:t>Gateway App monitoring state remains tied to the Gateway TPMS HMI path. Direct TPMS monitoring-state rules are governed separately by controlled M10/M72 behavior.</w:t>
            </w:r>
          </w:p>
        </w:tc>
      </w:tr>
      <w:tr>
        <w:trPr>
          <w:cantSplit/>
        </w:trPr>
        <w:tc>
          <w:tcPr>
            <w:tcW w:type="dxa" w:w="5112"/>
            <w:tcMar>
              <w:top w:w="45" w:type="dxa"/>
              <w:start w:w="45" w:type="dxa"/>
              <w:bottom w:w="45" w:type="dxa"/>
              <w:end w:w="45" w:type="dxa"/>
            </w:tcMar>
            <w:shd w:fill="E8F0FA"/>
          </w:tcPr>
          <w:p>
            <w:pPr>
              <w:spacing w:after="0"/>
            </w:pPr>
            <w:r>
              <w:rPr>
                <w:rFonts w:ascii="Aptos" w:hAnsi="Aptos" w:eastAsia="Aptos"/>
                <w:b/>
                <w:sz w:val="15"/>
              </w:rPr>
              <w:t>J3309 scope</w:t>
            </w:r>
          </w:p>
        </w:tc>
        <w:tc>
          <w:tcPr>
            <w:tcW w:type="dxa" w:w="5112"/>
            <w:tcMar>
              <w:top w:w="45" w:type="dxa"/>
              <w:start w:w="45" w:type="dxa"/>
              <w:bottom w:w="45" w:type="dxa"/>
              <w:end w:w="45" w:type="dxa"/>
            </w:tcMar>
          </w:tcPr>
          <w:p>
            <w:pPr>
              <w:spacing w:after="0"/>
            </w:pPr>
            <w:r>
              <w:rPr>
                <w:rFonts w:ascii="Aptos" w:hAnsi="Aptos" w:eastAsia="Aptos"/>
                <w:b w:val="0"/>
                <w:sz w:val="15"/>
              </w:rPr>
              <w:t>Rev A J3309 traceability is Gateway-App HMI focused. Environmental/motion display is additional Gateway functionality and should not be claimed as J3309-required unless a requirement explicitly applies.</w:t>
            </w:r>
          </w:p>
        </w:tc>
      </w:tr>
    </w:tbl>
    <w:p>
      <w:pPr>
        <w:pStyle w:val="Heading1"/>
      </w:pPr>
      <w:r>
        <w:t>5. Cross-System Data and Alert Applicability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17324D"/>
          </w:tcPr>
          <w:p>
            <w:r>
              <w:rPr>
                <w:rFonts w:ascii="Aptos" w:hAnsi="Aptos" w:eastAsia="Aptos"/>
                <w:b/>
                <w:color w:val="FFFFFF"/>
                <w:sz w:val="16"/>
              </w:rPr>
              <w:t>Capability</w:t>
            </w:r>
          </w:p>
        </w:tc>
        <w:tc>
          <w:tcPr>
            <w:tcW w:type="dxa" w:w="2556"/>
            <w:shd w:fill="17324D"/>
          </w:tcPr>
          <w:p>
            <w:r>
              <w:rPr>
                <w:rFonts w:ascii="Aptos" w:hAnsi="Aptos" w:eastAsia="Aptos"/>
                <w:b/>
                <w:color w:val="FFFFFF"/>
                <w:sz w:val="16"/>
              </w:rPr>
              <w:t>GATEWAY</w:t>
            </w:r>
          </w:p>
        </w:tc>
        <w:tc>
          <w:tcPr>
            <w:tcW w:type="dxa" w:w="2556"/>
            <w:shd w:fill="17324D"/>
          </w:tcPr>
          <w:p>
            <w:r>
              <w:rPr>
                <w:rFonts w:ascii="Aptos" w:hAnsi="Aptos" w:eastAsia="Aptos"/>
                <w:b/>
                <w:color w:val="FFFFFF"/>
                <w:sz w:val="16"/>
              </w:rPr>
              <w:t>DIRECT_TPMS</w:t>
            </w:r>
          </w:p>
        </w:tc>
        <w:tc>
          <w:tcPr>
            <w:tcW w:type="dxa" w:w="2556"/>
            <w:shd w:fill="17324D"/>
          </w:tcPr>
          <w:p>
            <w:r>
              <w:rPr>
                <w:rFonts w:ascii="Aptos" w:hAnsi="Aptos" w:eastAsia="Aptos"/>
                <w:b/>
                <w:color w:val="FFFFFF"/>
                <w:sz w:val="16"/>
              </w:rPr>
              <w:t>Required Client / Cloud Treatment</w:t>
            </w:r>
          </w:p>
        </w:tc>
      </w:tr>
      <w:tr>
        <w:trPr>
          <w:cantSplit/>
        </w:trPr>
        <w:tc>
          <w:tcPr>
            <w:tcW w:type="dxa" w:w="2556"/>
            <w:tcMar>
              <w:top w:w="45" w:type="dxa"/>
              <w:start w:w="45" w:type="dxa"/>
              <w:bottom w:w="45" w:type="dxa"/>
              <w:end w:w="45" w:type="dxa"/>
            </w:tcMar>
            <w:shd w:fill="E8F0FA"/>
          </w:tcPr>
          <w:p>
            <w:pPr>
              <w:spacing w:after="0"/>
            </w:pPr>
            <w:r>
              <w:rPr>
                <w:rFonts w:ascii="Aptos" w:hAnsi="Aptos" w:eastAsia="Aptos"/>
                <w:b/>
                <w:sz w:val="15"/>
              </w:rPr>
              <w:t>TPMS pressure / tire temperature</w:t>
            </w:r>
          </w:p>
        </w:tc>
        <w:tc>
          <w:tcPr>
            <w:tcW w:type="dxa" w:w="2556"/>
            <w:tcMar>
              <w:top w:w="45" w:type="dxa"/>
              <w:start w:w="45" w:type="dxa"/>
              <w:bottom w:w="45" w:type="dxa"/>
              <w:end w:w="45" w:type="dxa"/>
            </w:tcMar>
          </w:tcPr>
          <w:p>
            <w:pPr>
              <w:spacing w:after="0"/>
            </w:pPr>
            <w:r>
              <w:rPr>
                <w:rFonts w:ascii="Aptos" w:hAnsi="Aptos" w:eastAsia="Aptos"/>
                <w:b w:val="0"/>
                <w:sz w:val="15"/>
              </w:rPr>
              <w:t>Applicable</w:t>
            </w:r>
          </w:p>
        </w:tc>
        <w:tc>
          <w:tcPr>
            <w:tcW w:type="dxa" w:w="2556"/>
            <w:tcMar>
              <w:top w:w="45" w:type="dxa"/>
              <w:start w:w="45" w:type="dxa"/>
              <w:bottom w:w="45" w:type="dxa"/>
              <w:end w:w="45" w:type="dxa"/>
            </w:tcMar>
          </w:tcPr>
          <w:p>
            <w:pPr>
              <w:spacing w:after="0"/>
            </w:pPr>
            <w:r>
              <w:rPr>
                <w:rFonts w:ascii="Aptos" w:hAnsi="Aptos" w:eastAsia="Aptos"/>
                <w:b w:val="0"/>
                <w:sz w:val="15"/>
              </w:rPr>
              <w:t>Applicable</w:t>
            </w:r>
          </w:p>
        </w:tc>
        <w:tc>
          <w:tcPr>
            <w:tcW w:type="dxa" w:w="2556"/>
            <w:tcMar>
              <w:top w:w="45" w:type="dxa"/>
              <w:start w:w="45" w:type="dxa"/>
              <w:bottom w:w="45" w:type="dxa"/>
              <w:end w:w="45" w:type="dxa"/>
            </w:tcMar>
          </w:tcPr>
          <w:p>
            <w:pPr>
              <w:spacing w:after="0"/>
            </w:pPr>
            <w:r>
              <w:rPr>
                <w:rFonts w:ascii="Aptos" w:hAnsi="Aptos" w:eastAsia="Aptos"/>
                <w:b w:val="0"/>
                <w:sz w:val="15"/>
              </w:rPr>
              <w:t>Use Product Mode-specific local evaluator; canonical VIN history shared.</w:t>
            </w:r>
          </w:p>
        </w:tc>
      </w:tr>
      <w:tr>
        <w:trPr>
          <w:cantSplit/>
        </w:trPr>
        <w:tc>
          <w:tcPr>
            <w:tcW w:type="dxa" w:w="2556"/>
            <w:tcMar>
              <w:top w:w="45" w:type="dxa"/>
              <w:start w:w="45" w:type="dxa"/>
              <w:bottom w:w="45" w:type="dxa"/>
              <w:end w:w="45" w:type="dxa"/>
            </w:tcMar>
            <w:shd w:fill="E8F0FA"/>
          </w:tcPr>
          <w:p>
            <w:pPr>
              <w:spacing w:after="0"/>
            </w:pPr>
            <w:r>
              <w:rPr>
                <w:rFonts w:ascii="Aptos" w:hAnsi="Aptos" w:eastAsia="Aptos"/>
                <w:b/>
                <w:sz w:val="15"/>
              </w:rPr>
              <w:t>Temperature / humidity sensor</w:t>
            </w:r>
          </w:p>
        </w:tc>
        <w:tc>
          <w:tcPr>
            <w:tcW w:type="dxa" w:w="2556"/>
            <w:tcMar>
              <w:top w:w="45" w:type="dxa"/>
              <w:start w:w="45" w:type="dxa"/>
              <w:bottom w:w="45" w:type="dxa"/>
              <w:end w:w="45" w:type="dxa"/>
            </w:tcMar>
          </w:tcPr>
          <w:p>
            <w:pPr>
              <w:spacing w:after="0"/>
            </w:pPr>
            <w:r>
              <w:rPr>
                <w:rFonts w:ascii="Aptos" w:hAnsi="Aptos" w:eastAsia="Aptos"/>
                <w:b w:val="0"/>
                <w:sz w:val="15"/>
              </w:rPr>
              <w:t>Applicable when configured</w:t>
            </w:r>
          </w:p>
        </w:tc>
        <w:tc>
          <w:tcPr>
            <w:tcW w:type="dxa" w:w="2556"/>
            <w:tcMar>
              <w:top w:w="45" w:type="dxa"/>
              <w:start w:w="45" w:type="dxa"/>
              <w:bottom w:w="45" w:type="dxa"/>
              <w:end w:w="45" w:type="dxa"/>
            </w:tcMar>
          </w:tcPr>
          <w:p>
            <w:pPr>
              <w:spacing w:after="0"/>
            </w:pPr>
            <w:r>
              <w:rPr>
                <w:rFonts w:ascii="Aptos" w:hAnsi="Aptos" w:eastAsia="Aptos"/>
                <w:b w:val="0"/>
                <w:sz w:val="15"/>
              </w:rPr>
              <w:t>Not Available</w:t>
            </w:r>
          </w:p>
        </w:tc>
        <w:tc>
          <w:tcPr>
            <w:tcW w:type="dxa" w:w="2556"/>
            <w:tcMar>
              <w:top w:w="45" w:type="dxa"/>
              <w:start w:w="45" w:type="dxa"/>
              <w:bottom w:w="45" w:type="dxa"/>
              <w:end w:w="45" w:type="dxa"/>
            </w:tcMar>
          </w:tcPr>
          <w:p>
            <w:pPr>
              <w:spacing w:after="0"/>
            </w:pPr>
            <w:r>
              <w:rPr>
                <w:rFonts w:ascii="Aptos" w:hAnsi="Aptos" w:eastAsia="Aptos"/>
                <w:b w:val="0"/>
                <w:sz w:val="15"/>
              </w:rPr>
              <w:t>Gateway → Gateway App/cloud/portal. Do not expose as stale/offline in Direct.</w:t>
            </w:r>
          </w:p>
        </w:tc>
      </w:tr>
      <w:tr>
        <w:trPr>
          <w:cantSplit/>
        </w:trPr>
        <w:tc>
          <w:tcPr>
            <w:tcW w:type="dxa" w:w="2556"/>
            <w:tcMar>
              <w:top w:w="45" w:type="dxa"/>
              <w:start w:w="45" w:type="dxa"/>
              <w:bottom w:w="45" w:type="dxa"/>
              <w:end w:w="45" w:type="dxa"/>
            </w:tcMar>
            <w:shd w:fill="E8F0FA"/>
          </w:tcPr>
          <w:p>
            <w:pPr>
              <w:spacing w:after="0"/>
            </w:pPr>
            <w:r>
              <w:rPr>
                <w:rFonts w:ascii="Aptos" w:hAnsi="Aptos" w:eastAsia="Aptos"/>
                <w:b/>
                <w:sz w:val="15"/>
              </w:rPr>
              <w:t>Accelerometer / motion</w:t>
            </w:r>
          </w:p>
        </w:tc>
        <w:tc>
          <w:tcPr>
            <w:tcW w:type="dxa" w:w="2556"/>
            <w:tcMar>
              <w:top w:w="45" w:type="dxa"/>
              <w:start w:w="45" w:type="dxa"/>
              <w:bottom w:w="45" w:type="dxa"/>
              <w:end w:w="45" w:type="dxa"/>
            </w:tcMar>
          </w:tcPr>
          <w:p>
            <w:pPr>
              <w:spacing w:after="0"/>
            </w:pPr>
            <w:r>
              <w:rPr>
                <w:rFonts w:ascii="Aptos" w:hAnsi="Aptos" w:eastAsia="Aptos"/>
                <w:b w:val="0"/>
                <w:sz w:val="15"/>
              </w:rPr>
              <w:t>Applicable when configured</w:t>
            </w:r>
          </w:p>
        </w:tc>
        <w:tc>
          <w:tcPr>
            <w:tcW w:type="dxa" w:w="2556"/>
            <w:tcMar>
              <w:top w:w="45" w:type="dxa"/>
              <w:start w:w="45" w:type="dxa"/>
              <w:bottom w:w="45" w:type="dxa"/>
              <w:end w:w="45" w:type="dxa"/>
            </w:tcMar>
          </w:tcPr>
          <w:p>
            <w:pPr>
              <w:spacing w:after="0"/>
            </w:pPr>
            <w:r>
              <w:rPr>
                <w:rFonts w:ascii="Aptos" w:hAnsi="Aptos" w:eastAsia="Aptos"/>
                <w:b w:val="0"/>
                <w:sz w:val="15"/>
              </w:rPr>
              <w:t>Not Available</w:t>
            </w:r>
          </w:p>
        </w:tc>
        <w:tc>
          <w:tcPr>
            <w:tcW w:type="dxa" w:w="2556"/>
            <w:tcMar>
              <w:top w:w="45" w:type="dxa"/>
              <w:start w:w="45" w:type="dxa"/>
              <w:bottom w:w="45" w:type="dxa"/>
              <w:end w:w="45" w:type="dxa"/>
            </w:tcMar>
          </w:tcPr>
          <w:p>
            <w:pPr>
              <w:spacing w:after="0"/>
            </w:pPr>
            <w:r>
              <w:rPr>
                <w:rFonts w:ascii="Aptos" w:hAnsi="Aptos" w:eastAsia="Aptos"/>
                <w:b w:val="0"/>
                <w:sz w:val="15"/>
              </w:rPr>
              <w:t>Gateway → Gateway App/cloud/portal. Do not expose as stale/offline in Direct.</w:t>
            </w:r>
          </w:p>
        </w:tc>
      </w:tr>
      <w:tr>
        <w:trPr>
          <w:cantSplit/>
        </w:trPr>
        <w:tc>
          <w:tcPr>
            <w:tcW w:type="dxa" w:w="2556"/>
            <w:tcMar>
              <w:top w:w="45" w:type="dxa"/>
              <w:start w:w="45" w:type="dxa"/>
              <w:bottom w:w="45" w:type="dxa"/>
              <w:end w:w="45" w:type="dxa"/>
            </w:tcMar>
            <w:shd w:fill="E8F0FA"/>
          </w:tcPr>
          <w:p>
            <w:pPr>
              <w:spacing w:after="0"/>
            </w:pPr>
            <w:r>
              <w:rPr>
                <w:rFonts w:ascii="Aptos" w:hAnsi="Aptos" w:eastAsia="Aptos"/>
                <w:b/>
                <w:sz w:val="15"/>
              </w:rPr>
              <w:t>GPS / vehicle location</w:t>
            </w:r>
          </w:p>
        </w:tc>
        <w:tc>
          <w:tcPr>
            <w:tcW w:type="dxa" w:w="2556"/>
            <w:tcMar>
              <w:top w:w="45" w:type="dxa"/>
              <w:start w:w="45" w:type="dxa"/>
              <w:bottom w:w="45" w:type="dxa"/>
              <w:end w:w="45" w:type="dxa"/>
            </w:tcMar>
          </w:tcPr>
          <w:p>
            <w:pPr>
              <w:spacing w:after="0"/>
            </w:pPr>
            <w:r>
              <w:rPr>
                <w:rFonts w:ascii="Aptos" w:hAnsi="Aptos" w:eastAsia="Aptos"/>
                <w:b w:val="0"/>
                <w:sz w:val="15"/>
              </w:rPr>
              <w:t>Applicable</w:t>
            </w:r>
          </w:p>
        </w:tc>
        <w:tc>
          <w:tcPr>
            <w:tcW w:type="dxa" w:w="2556"/>
            <w:tcMar>
              <w:top w:w="45" w:type="dxa"/>
              <w:start w:w="45" w:type="dxa"/>
              <w:bottom w:w="45" w:type="dxa"/>
              <w:end w:w="45" w:type="dxa"/>
            </w:tcMar>
          </w:tcPr>
          <w:p>
            <w:pPr>
              <w:spacing w:after="0"/>
            </w:pPr>
            <w:r>
              <w:rPr>
                <w:rFonts w:ascii="Aptos" w:hAnsi="Aptos" w:eastAsia="Aptos"/>
                <w:b w:val="0"/>
                <w:sz w:val="15"/>
              </w:rPr>
              <w:t>Not Available</w:t>
            </w:r>
          </w:p>
        </w:tc>
        <w:tc>
          <w:tcPr>
            <w:tcW w:type="dxa" w:w="2556"/>
            <w:tcMar>
              <w:top w:w="45" w:type="dxa"/>
              <w:start w:w="45" w:type="dxa"/>
              <w:bottom w:w="45" w:type="dxa"/>
              <w:end w:w="45" w:type="dxa"/>
            </w:tcMar>
          </w:tcPr>
          <w:p>
            <w:pPr>
              <w:spacing w:after="0"/>
            </w:pPr>
            <w:r>
              <w:rPr>
                <w:rFonts w:ascii="Aptos" w:hAnsi="Aptos" w:eastAsia="Aptos"/>
                <w:b w:val="0"/>
                <w:sz w:val="15"/>
              </w:rPr>
              <w:t>Gateway GPS is authoritative; phone GPS is not substituted.</w:t>
            </w:r>
          </w:p>
        </w:tc>
      </w:tr>
      <w:tr>
        <w:trPr>
          <w:cantSplit/>
        </w:trPr>
        <w:tc>
          <w:tcPr>
            <w:tcW w:type="dxa" w:w="2556"/>
            <w:tcMar>
              <w:top w:w="45" w:type="dxa"/>
              <w:start w:w="45" w:type="dxa"/>
              <w:bottom w:w="45" w:type="dxa"/>
              <w:end w:w="45" w:type="dxa"/>
            </w:tcMar>
            <w:shd w:fill="E8F0FA"/>
          </w:tcPr>
          <w:p>
            <w:pPr>
              <w:spacing w:after="0"/>
            </w:pPr>
            <w:r>
              <w:rPr>
                <w:rFonts w:ascii="Aptos" w:hAnsi="Aptos" w:eastAsia="Aptos"/>
                <w:b/>
                <w:sz w:val="15"/>
              </w:rPr>
              <w:t>Mileage</w:t>
            </w:r>
          </w:p>
        </w:tc>
        <w:tc>
          <w:tcPr>
            <w:tcW w:type="dxa" w:w="2556"/>
            <w:tcMar>
              <w:top w:w="45" w:type="dxa"/>
              <w:start w:w="45" w:type="dxa"/>
              <w:bottom w:w="45" w:type="dxa"/>
              <w:end w:w="45" w:type="dxa"/>
            </w:tcMar>
          </w:tcPr>
          <w:p>
            <w:pPr>
              <w:spacing w:after="0"/>
            </w:pPr>
            <w:r>
              <w:rPr>
                <w:rFonts w:ascii="Aptos" w:hAnsi="Aptos" w:eastAsia="Aptos"/>
                <w:b w:val="0"/>
                <w:sz w:val="15"/>
              </w:rPr>
              <w:t>Applicable</w:t>
            </w:r>
          </w:p>
        </w:tc>
        <w:tc>
          <w:tcPr>
            <w:tcW w:type="dxa" w:w="2556"/>
            <w:tcMar>
              <w:top w:w="45" w:type="dxa"/>
              <w:start w:w="45" w:type="dxa"/>
              <w:bottom w:w="45" w:type="dxa"/>
              <w:end w:w="45" w:type="dxa"/>
            </w:tcMar>
          </w:tcPr>
          <w:p>
            <w:pPr>
              <w:spacing w:after="0"/>
            </w:pPr>
            <w:r>
              <w:rPr>
                <w:rFonts w:ascii="Aptos" w:hAnsi="Aptos" w:eastAsia="Aptos"/>
                <w:b w:val="0"/>
                <w:sz w:val="15"/>
              </w:rPr>
              <w:t>Not Available</w:t>
            </w:r>
          </w:p>
        </w:tc>
        <w:tc>
          <w:tcPr>
            <w:tcW w:type="dxa" w:w="2556"/>
            <w:tcMar>
              <w:top w:w="45" w:type="dxa"/>
              <w:start w:w="45" w:type="dxa"/>
              <w:bottom w:w="45" w:type="dxa"/>
              <w:end w:w="45" w:type="dxa"/>
            </w:tcMar>
          </w:tcPr>
          <w:p>
            <w:pPr>
              <w:spacing w:after="0"/>
            </w:pPr>
            <w:r>
              <w:rPr>
                <w:rFonts w:ascii="Aptos" w:hAnsi="Aptos" w:eastAsia="Aptos"/>
                <w:b w:val="0"/>
                <w:sz w:val="15"/>
              </w:rPr>
              <w:t>Gateway-derived authoritative mileage source in current architecture.</w:t>
            </w:r>
          </w:p>
        </w:tc>
      </w:tr>
      <w:tr>
        <w:trPr>
          <w:cantSplit/>
        </w:trPr>
        <w:tc>
          <w:tcPr>
            <w:tcW w:type="dxa" w:w="2556"/>
            <w:tcMar>
              <w:top w:w="45" w:type="dxa"/>
              <w:start w:w="45" w:type="dxa"/>
              <w:bottom w:w="45" w:type="dxa"/>
              <w:end w:w="45" w:type="dxa"/>
            </w:tcMar>
            <w:shd w:fill="E8F0FA"/>
          </w:tcPr>
          <w:p>
            <w:pPr>
              <w:spacing w:after="0"/>
            </w:pPr>
            <w:r>
              <w:rPr>
                <w:rFonts w:ascii="Aptos" w:hAnsi="Aptos" w:eastAsia="Aptos"/>
                <w:b/>
                <w:sz w:val="15"/>
              </w:rPr>
              <w:t>Geofence</w:t>
            </w:r>
          </w:p>
        </w:tc>
        <w:tc>
          <w:tcPr>
            <w:tcW w:type="dxa" w:w="2556"/>
            <w:tcMar>
              <w:top w:w="45" w:type="dxa"/>
              <w:start w:w="45" w:type="dxa"/>
              <w:bottom w:w="45" w:type="dxa"/>
              <w:end w:w="45" w:type="dxa"/>
            </w:tcMar>
          </w:tcPr>
          <w:p>
            <w:pPr>
              <w:spacing w:after="0"/>
            </w:pPr>
            <w:r>
              <w:rPr>
                <w:rFonts w:ascii="Aptos" w:hAnsi="Aptos" w:eastAsia="Aptos"/>
                <w:b w:val="0"/>
                <w:sz w:val="15"/>
              </w:rPr>
              <w:t>Applicable for location-capable VINs</w:t>
            </w:r>
          </w:p>
        </w:tc>
        <w:tc>
          <w:tcPr>
            <w:tcW w:type="dxa" w:w="2556"/>
            <w:tcMar>
              <w:top w:w="45" w:type="dxa"/>
              <w:start w:w="45" w:type="dxa"/>
              <w:bottom w:w="45" w:type="dxa"/>
              <w:end w:w="45" w:type="dxa"/>
            </w:tcMar>
          </w:tcPr>
          <w:p>
            <w:pPr>
              <w:spacing w:after="0"/>
            </w:pPr>
            <w:r>
              <w:rPr>
                <w:rFonts w:ascii="Aptos" w:hAnsi="Aptos" w:eastAsia="Aptos"/>
                <w:b w:val="0"/>
                <w:sz w:val="15"/>
              </w:rPr>
              <w:t>Not Available</w:t>
            </w:r>
          </w:p>
        </w:tc>
        <w:tc>
          <w:tcPr>
            <w:tcW w:type="dxa" w:w="2556"/>
            <w:tcMar>
              <w:top w:w="45" w:type="dxa"/>
              <w:start w:w="45" w:type="dxa"/>
              <w:bottom w:w="45" w:type="dxa"/>
              <w:end w:w="45" w:type="dxa"/>
            </w:tcMar>
          </w:tcPr>
          <w:p>
            <w:pPr>
              <w:spacing w:after="0"/>
            </w:pPr>
            <w:r>
              <w:rPr>
                <w:rFonts w:ascii="Aptos" w:hAnsi="Aptos" w:eastAsia="Aptos"/>
                <w:b w:val="0"/>
                <w:sz w:val="15"/>
              </w:rPr>
              <w:t>Server-defined; uses valid Gateway location.</w:t>
            </w:r>
          </w:p>
        </w:tc>
      </w:tr>
      <w:tr>
        <w:trPr>
          <w:cantSplit/>
        </w:trPr>
        <w:tc>
          <w:tcPr>
            <w:tcW w:type="dxa" w:w="2556"/>
            <w:tcMar>
              <w:top w:w="45" w:type="dxa"/>
              <w:start w:w="45" w:type="dxa"/>
              <w:bottom w:w="45" w:type="dxa"/>
              <w:end w:w="45" w:type="dxa"/>
            </w:tcMar>
            <w:shd w:fill="E8F0FA"/>
          </w:tcPr>
          <w:p>
            <w:pPr>
              <w:spacing w:after="0"/>
            </w:pPr>
            <w:r>
              <w:rPr>
                <w:rFonts w:ascii="Aptos" w:hAnsi="Aptos" w:eastAsia="Aptos"/>
                <w:b/>
                <w:sz w:val="15"/>
              </w:rPr>
              <w:t>Gateway firmware OTA / rollback</w:t>
            </w:r>
          </w:p>
        </w:tc>
        <w:tc>
          <w:tcPr>
            <w:tcW w:type="dxa" w:w="2556"/>
            <w:tcMar>
              <w:top w:w="45" w:type="dxa"/>
              <w:start w:w="45" w:type="dxa"/>
              <w:bottom w:w="45" w:type="dxa"/>
              <w:end w:w="45" w:type="dxa"/>
            </w:tcMar>
          </w:tcPr>
          <w:p>
            <w:pPr>
              <w:spacing w:after="0"/>
            </w:pPr>
            <w:r>
              <w:rPr>
                <w:rFonts w:ascii="Aptos" w:hAnsi="Aptos" w:eastAsia="Aptos"/>
                <w:b w:val="0"/>
                <w:sz w:val="15"/>
              </w:rPr>
              <w:t>Applicable</w:t>
            </w:r>
          </w:p>
        </w:tc>
        <w:tc>
          <w:tcPr>
            <w:tcW w:type="dxa" w:w="2556"/>
            <w:tcMar>
              <w:top w:w="45" w:type="dxa"/>
              <w:start w:w="45" w:type="dxa"/>
              <w:bottom w:w="45" w:type="dxa"/>
              <w:end w:w="45" w:type="dxa"/>
            </w:tcMar>
          </w:tcPr>
          <w:p>
            <w:pPr>
              <w:spacing w:after="0"/>
            </w:pPr>
            <w:r>
              <w:rPr>
                <w:rFonts w:ascii="Aptos" w:hAnsi="Aptos" w:eastAsia="Aptos"/>
                <w:b w:val="0"/>
                <w:sz w:val="15"/>
              </w:rPr>
              <w:t>Not Applicable</w:t>
            </w:r>
          </w:p>
        </w:tc>
        <w:tc>
          <w:tcPr>
            <w:tcW w:type="dxa" w:w="2556"/>
            <w:tcMar>
              <w:top w:w="45" w:type="dxa"/>
              <w:start w:w="45" w:type="dxa"/>
              <w:bottom w:w="45" w:type="dxa"/>
              <w:end w:w="45" w:type="dxa"/>
            </w:tcMar>
          </w:tcPr>
          <w:p>
            <w:pPr>
              <w:spacing w:after="0"/>
            </w:pPr>
            <w:r>
              <w:rPr>
                <w:rFonts w:ascii="Aptos" w:hAnsi="Aptos" w:eastAsia="Aptos"/>
                <w:b w:val="0"/>
                <w:sz w:val="15"/>
              </w:rPr>
              <w:t>Gateway-only current OTA scope.</w:t>
            </w:r>
          </w:p>
        </w:tc>
      </w:tr>
    </w:tbl>
    <w:p>
      <w:pPr>
        <w:pStyle w:val="Heading2"/>
      </w:pPr>
      <w:r>
        <w:t>5.1 Retained Gateway-Mode TPMS/J3309 Release 1 Requirements</w:t>
      </w:r>
    </w:p>
    <w:p>
      <w:pPr>
        <w:pStyle w:val="ListBullet"/>
      </w:pPr>
      <w:r>
        <w:t>• TPMS01 Rev D and APP01 Rev A remain the supporting Gateway-mode HMI requirements. The Gateway App must use event-driven Gateway BLE safety notifications/indications; local TPMS warnings cannot depend on cloud/push/routine telemetry redraw.</w:t>
      </w:r>
    </w:p>
    <w:p>
      <w:pPr>
        <w:pStyle w:val="ListBullet"/>
      </w:pPr>
      <w:r>
        <w:t>• Supporting connected-path targets retained for Release 1 evidence: Gateway event detection→BLE safety-event transmission ≤250 ms; app BLE receipt→complete warning presentation ≤250 ms; total Gateway event detection→phone presentation ≤500 ms. Full physical sensor→HMI latency is measured separately.</w:t>
      </w:r>
    </w:p>
    <w:p>
      <w:pPr>
        <w:pStyle w:val="ListBullet"/>
      </w:pPr>
      <w:r>
        <w:t>• Confirmed Gateway BLE loss produces a local persistent/non-dismissible visual connection-loss warning within one second. Monitoring Not Active, Connecting, Monitoring Active, Connection Lost, Reconnecting, Cloud Offline and Configuration Invalid remain distinct HMI states.</w:t>
      </w:r>
    </w:p>
    <w:p>
      <w:pPr>
        <w:pStyle w:val="ListBullet"/>
      </w:pPr>
      <w:r>
        <w:t>• The Gateway HMI/data path supports at least 12 installed trailer tires where required by the released configuration, and a single sensor failure must not disable unrelated tire positions.</w:t>
      </w:r>
    </w:p>
    <w:p>
      <w:pPr>
        <w:pStyle w:val="ListBullet"/>
      </w:pPr>
      <w:r>
        <w:t>• Tire position/current pressure/status must be graphically clear with adequate day/night visibility. Applicable local warning presentation includes visual, audible and vibration behavior; acknowledgement/audio silencing never clears the underlying Gateway condition.</w:t>
      </w:r>
    </w:p>
    <w:p>
      <w:pPr>
        <w:pStyle w:val="ListBullet"/>
      </w:pPr>
      <w:r>
        <w:t>• Required malfunction handling, including the supporting no-later-than-20-minute requirement, is validated with the licensed SAE procedure and the released SmartSense malfunction logic.</w:t>
      </w:r>
    </w:p>
    <w:p>
      <w:pPr>
        <w:pStyle w:val="ListBullet"/>
      </w:pPr>
      <w:r>
        <w:t>• Active SSP/configuration/profile version, data age, event identity/order/integrity, units/scaling/rounding and stale/malformed/duplicate/out-of-order handling must be objectively tested.</w:t>
      </w:r>
    </w:p>
    <w:p>
      <w:pPr>
        <w:pStyle w:val="ListBullet"/>
      </w:pPr>
      <w:r>
        <w:t>• End-to-end pressure/temperature accuracy is a complete-chain test from calibrated reference through sensor encoding, receiver evaluation and Gateway App display; component-only accuracy evidence is insufficient.</w:t>
      </w:r>
    </w:p>
    <w:p>
      <w:pPr>
        <w:pStyle w:val="ListBullet"/>
      </w:pPr>
      <w:r>
        <w:t>• Owner/OEM instructions and a complete production-intent installed-system evidence package are Release 1 deliverables before any J3309 conformity claim.</w:t>
      </w:r>
    </w:p>
    <w:p>
      <w:pPr>
        <w:pStyle w:val="ListBullet"/>
      </w:pPr>
      <w:r>
        <w:t>• These source requirements are tracked in SmartSense_TPMS_J3309_Release_1_Traceability_Matrix_v1.0.xlsx. Evidence closure does not amend the frozen Register v0.10 / Spec v0.8 baseline.</w:t>
      </w:r>
    </w:p>
    <w:p>
      <w:pPr>
        <w:pStyle w:val="Heading1"/>
      </w:pPr>
      <w:r>
        <w:t>6. Verification Requirements Created by D-121</w:t>
      </w:r>
    </w:p>
    <w:p>
      <w:pPr>
        <w:pStyle w:val="ListBullet"/>
        <w:spacing w:after="40"/>
      </w:pPr>
      <w:r>
        <w:t>Gateway end-to-end test: Gateway obtains applicable temperature/humidity data, cloud stores canonical typed values, Gateway App presents them, and portal/current-state APIs preserve timestamps/validity/freshness.</w:t>
      </w:r>
    </w:p>
    <w:p>
      <w:pPr>
        <w:pStyle w:val="ListBullet"/>
        <w:spacing w:after="40"/>
      </w:pPr>
      <w:r>
        <w:t>Gateway end-to-end test: Gateway obtains applicable accelerometer/motion data, cloud stores canonical typed values, Gateway App presents them, and any configured rules use Gateway-only applicability.</w:t>
      </w:r>
    </w:p>
    <w:p>
      <w:pPr>
        <w:pStyle w:val="ListBullet"/>
        <w:spacing w:after="40"/>
      </w:pPr>
      <w:r>
        <w:t>Direct negative test: Direct TPMS App exposes no temperature/humidity or accelerometer widgets, BLE services, rule choices or health penalties through shared code/flavor paths.</w:t>
      </w:r>
    </w:p>
    <w:p>
      <w:pPr>
        <w:pStyle w:val="ListBullet"/>
        <w:spacing w:after="40"/>
      </w:pPr>
      <w:r>
        <w:t>API negative test: DIRECT_TPMS VIN capability metadata resolves environmental/motion as Not Available rather than Stale/Offline.</w:t>
      </w:r>
    </w:p>
    <w:p>
      <w:pPr>
        <w:pStyle w:val="ListBullet"/>
        <w:spacing w:after="40"/>
      </w:pPr>
      <w:r>
        <w:t>Health test: DIRECT_TPMS cannot become degraded solely because Gateway-only environmental/motion data is absent.</w:t>
      </w:r>
    </w:p>
    <w:p>
      <w:pPr>
        <w:pStyle w:val="ListBullet"/>
        <w:spacing w:after="40"/>
      </w:pPr>
      <w:r>
        <w:t>Rule/config test: Gateway-only environmental/motion alert rules cannot be assigned/evaluated for DIRECT_TPMS VINs.</w:t>
      </w:r>
    </w:p>
    <w:p>
      <w:pPr>
        <w:pStyle w:val="ListBullet"/>
        <w:spacing w:after="40"/>
      </w:pPr>
      <w:r>
        <w:t>J3309 regression: existing Gateway TPMS alert latency, connection-loss, persistence, tire-position and complete warning-chain tests continue unaffected by environmental/motion UI additions.</w:t>
      </w:r>
    </w:p>
    <w:p>
      <w:pPr>
        <w:pStyle w:val="ListBullet"/>
      </w:pPr>
      <w:r>
        <w:t>• TPMS/J3309 source trace test: execute every applicable Gateway-mode gate in Traceability Matrix v1.0, including timing, HMI states, 12-tire capacity, single-sensor failure, data integrity, configuration/profile, end-to-end accuracy, day/night HMI, owner instructions and complete-system evidence.</w:t>
      </w:r>
    </w:p>
    <w:p>
      <w:pPr>
        <w:pStyle w:val="ListBullet"/>
      </w:pPr>
      <w:r>
        <w:t>• Sensor qualification trace: TPMS02 Rev D environmental/mechanical/pressure/RF/battery/production-control requirements remain assigned to Sensor Supplier/Laboratory/QA and must be linked to the released sensor revision before final conformity/claim approval.</w:t>
      </w:r>
    </w:p>
    <w:p>
      <w:pPr>
        <w:pStyle w:val="ListBullet"/>
      </w:pPr>
      <w:r>
        <w:t>• Direct TPMS scope test: do not reuse Gateway-specific 1-second or ≤500 ms HMI criteria for Direct TPMS without separate Product/Compliance applicability analysis and physical-device validation.</w:t>
      </w:r>
    </w:p>
    <w:p>
      <w:pPr>
        <w:pStyle w:val="Heading1"/>
      </w:pPr>
      <w:r>
        <w:t>7. Open / Deferred Boundaries</w:t>
      </w:r>
    </w:p>
    <w:p>
      <w:pPr>
        <w:pStyle w:val="ListBullet"/>
        <w:spacing w:after="40"/>
      </w:pPr>
      <w:r>
        <w:t>This addendum does not define the exact Gateway temperature/humidity sensor hardware interface, acquisition cadence, calibration, environmental accuracy or production alert thresholds.</w:t>
      </w:r>
    </w:p>
    <w:p>
      <w:pPr>
        <w:pStyle w:val="ListBullet"/>
        <w:spacing w:after="40"/>
      </w:pPr>
      <w:r>
        <w:t>This addendum does not define final accelerometer sampling, high-G thresholds, filtering, axis conventions or event classification.</w:t>
      </w:r>
    </w:p>
    <w:p>
      <w:pPr>
        <w:pStyle w:val="ListBullet"/>
        <w:spacing w:after="40"/>
      </w:pPr>
      <w:r>
        <w:t>Gateway firmware source remains required evidence for complete device-side reconciliation of acquisition/reporting and alert mechanics.</w:t>
      </w:r>
    </w:p>
    <w:p>
      <w:pPr>
        <w:pStyle w:val="ListBullet"/>
        <w:spacing w:after="40"/>
      </w:pPr>
      <w:r>
        <w:t>Direct TPMS sensor-presence claim criterion remains OD-009 and is not changed by D-121.</w:t>
      </w:r>
    </w:p>
    <w:p>
      <w:pPr>
        <w:pStyle w:val="ListBullet"/>
        <w:spacing w:after="40"/>
      </w:pPr>
      <w:r>
        <w:t>Exact severity taxonomy and other open AlertEvent/notification details remain governed by their existing OD items.</w:t>
      </w:r>
    </w:p>
    <w:p>
      <w:pPr>
        <w:pStyle w:val="Heading1"/>
      </w:pPr>
      <w:r>
        <w:t>8. Document-Control Action</w:t>
      </w:r>
    </w:p>
    <w:p>
      <w:r>
        <w:t>Until the native supporting specifications are revised and reissued, use this addendum v0.3 together with TPMS01 Rev D, TPMS02 Rev D, APP01 Rev A and TPMS/J3309 Release 1 Traceability Matrix v1.0. The Master Document Index shall identify the three source specifications as supporting documents, this addendum as the current Product Mode reconciliation, and the trace matrix as the Release 1 source-to-test working artifact. Native future revisions may absorb these reconciliations, but the frozen Register v0.10 / Spec v0.8 baseline remains controlling unless explicitly reopened by the Product Owner.</w:t>
      </w:r>
    </w:p>
    <w:sectPr w:rsidR="00FC693F" w:rsidRPr="0006063C" w:rsidSect="00034616">
      <w:headerReference w:type="default" r:id="rId9"/>
      <w:footerReference w:type="default" r:id="rId10"/>
      <w:headerReference w:type="first" r:id="rId11"/>
      <w:footerReference w:type="firs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4748B"/>
        <w:sz w:val="16"/>
      </w:rPr>
      <w:t xml:space="preserve">SUPPORTING RECONCILIATION ADDENDUM — controlled baseline governs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color w:val="64748B"/>
        <w:sz w:val="16"/>
      </w:rPr>
      <w:t>SmartSense | D-121 Capability / J3309 Applicability Addendum | v0.3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SmartSense Gateway / Direct App Capability and J3309 Applicability Addendum v0.2</dc:title>
  <dc:subject>D-121 / CHG-035 reconciliation of Gateway App, Direct TPMS App, environmental/motion capability and supporting J3309 specifications</dc:subject>
  <dc:creator>SmartSense Product + Compliance + Engineering</dc:creator>
  <cp:keywords/>
  <dc:description>Synchronized to Register v0.9 + Specification v0.7; CHG-036 does not broaden J3309 scope.</dc:description>
  <cp:lastModifiedBy/>
  <cp:revision>1</cp:revision>
  <dcterms:created xsi:type="dcterms:W3CDTF">2013-12-23T23:15:00Z</dcterms:created>
  <dcterms:modified xsi:type="dcterms:W3CDTF">2013-12-23T23:15:00Z</dcterms:modified>
  <cp:category/>
  <cp:version>v0.2</cp:version>
</cp:coreProperties>
</file>