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999999"/>
          <w:sz w:val="30"/>
          <w:szCs w:val="30"/>
          <w:rtl w:val="0"/>
        </w:rPr>
        <w:t xml:space="preserve">In this project, we focused on enhancing the speaker's voice and message by translating spoken words into dynamic motion graphics. Each visual element was carefully crafted to align with the tone, emotion, and intent of the speaker, transforming audio into a compelling visual narrative. The result is an engaging audiovisual experience where motion graphics amplify the speaker's expression and make the content more immersive and impactful.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