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29.png" ContentType="image/png"/>
  <Override PartName="/word/media/rId31.png" ContentType="image/png"/>
  <Override PartName="/word/media/rId28.png" ContentType="image/png"/>
  <Override PartName="/word/media/rId30.png" ContentType="image/png"/>
  <Override PartName="/word/media/rId39.png" ContentType="image/png"/>
  <Override PartName="/word/media/rId40.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b9f7de3aee241d6c80973cd566e886fa241f7e5"/>
      <w:r>
        <w:t xml:space="preserve">UAV Fire Detection: Null-Baseline Auditing, the Location of Failure in the Decision Rule, and a Deep Edge Replacement</w:t>
      </w:r>
      <w:bookmarkEnd w:id="20"/>
    </w:p>
    <w:p>
      <w:pPr>
        <w:pStyle w:val="FirstParagraph"/>
      </w:pPr>
      <w:r>
        <w:t xml:space="preserve">Alaeddin Gazi Toprak</w:t>
      </w:r>
      <w:r>
        <w:rPr>
          <w:vertAlign w:val="superscript"/>
        </w:rPr>
        <w:t xml:space="preserve">1</w:t>
      </w:r>
      <w:r>
        <w:t xml:space="preserve"> </w:t>
      </w:r>
      <w:r>
        <w:t xml:space="preserve">and Alireza Souri</w:t>
      </w:r>
      <w:r>
        <w:rPr>
          <w:vertAlign w:val="superscript"/>
        </w:rPr>
        <w:t xml:space="preserve">1,*</w:t>
      </w:r>
    </w:p>
    <w:p>
      <w:pPr>
        <w:pStyle w:val="BodyText"/>
      </w:pPr>
      <w:r>
        <w:rPr>
          <w:vertAlign w:val="superscript"/>
        </w:rPr>
        <w:t xml:space="preserve">1</w:t>
      </w:r>
      <w:r>
        <w:t xml:space="preserve"> </w:t>
      </w:r>
      <w:r>
        <w:t xml:space="preserve">Department of Computer Engineering, Faculty of Engineering, Haliç University, 5. Levent Mahallesi, 15 Temmuz Şehitler Caddesi No. 14/12, 34060 Eyüpsultan, Istanbul, Türkiye</w:t>
      </w:r>
    </w:p>
    <w:p>
      <w:pPr>
        <w:pStyle w:val="BodyText"/>
      </w:pPr>
      <w:r>
        <w:t xml:space="preserve">Alaeddin Gazi Toprak: ORCID 0009-0005-0822-5700, Email: 24451505003@ogr.halic.edu.tr; Alireza Souri: ORCID 0000-0001-8314-9051</w:t>
      </w:r>
    </w:p>
    <w:p>
      <w:pPr>
        <w:pStyle w:val="BodyText"/>
      </w:pPr>
      <w:r>
        <w:t xml:space="preserve">*Corresponding Author: Alireza Souri. Email: alirezasouri@halic.edu.tr</w:t>
      </w:r>
    </w:p>
    <w:p>
      <w:pPr>
        <w:pStyle w:val="BodyText"/>
      </w:pPr>
      <w:r>
        <w:t xml:space="preserve">This paper reports one component of the first author’s master’s thesis,</w:t>
      </w:r>
      <w:r>
        <w:t xml:space="preserve"> </w:t>
      </w:r>
      <w:r>
        <w:rPr>
          <w:i/>
        </w:rPr>
        <w:t xml:space="preserve">IoV-Supported Drone Real-Time Fire Detection</w:t>
      </w:r>
      <w:r>
        <w:t xml:space="preserve">, Department of Computer Engineering, Haliç University. It is confined to the onboard detection node; the communication layer is not addressed here.</w:t>
      </w:r>
    </w:p>
    <w:p>
      <w:pPr>
        <w:pStyle w:val="BodyText"/>
      </w:pPr>
      <w:r>
        <w:t xml:space="preserve">ABSTRACT:</w:t>
      </w:r>
      <w:r>
        <w:t xml:space="preserve"> </w:t>
      </w:r>
      <w:r>
        <w:t xml:space="preserve">Deep convolutional detectors can exceed the energy budget of lightweight unmanned aerial vehicles, motivating hand-set color rules that run on a central processing unit. This paper tests that justification. A fully specified detector intersecting hue-saturation-value, red-green-blue and luma-chroma spaces reaches, on the test split of a public wildfire dataset, a 52.65% F1-score against the 55.89% of a constant fire predictor and 43.41% accuracy against the 61.22% of a constant no-fire predictor. A saturation sweep moves recall by 32.70 points while precision stays within 2.25 points of the class prior, and the best threshold over the pipeline's own box count is the degenerate one, whereas a model fitted on a 512-bin color histogram of the same images reaches 82.28% F1 and 85.28% with texture and vertical-band histograms added; the cheaper of the two learned models timed against it costs 1.35 times the hand-set pipeline while scoring 77.33% against its 49.14%. The pipeline therefore destroys information its inputs contain, and neither its thresholds nor the compute budget explains this. A resolution control removes 84.19% of spurious detections by bringing the images to a common size, at which the absolute area threshold and the fixed kernels act at a consistent scale. The detector itself is then replaced: a retrained MobileNetV3-Small reaches an average 93.83% true positive rate at a 0.32% false positive rate across five seeds on the 194 clips of an independent 483-clip real aerial corpus that contributed no training gradient. The released weights reach 92.65% on those clips, against 100.00% on the clips they were fitted on and 97.06% when the clip-level partition is ignored; that 4.41-point gap underscores the importance of proper dataset partitioning. Two further controls on the released weights bound the figure: every negative comes from only one of the two source corpora, and holding the source constant lowers the recall to 85.29%, while partitioning at the source event rather than the clip lowers it by about one point. The replacement clears null baselines the hand-set rule does not, and the curve implied by its alarm rule reaches an area of 0.995 on the held-out cohort. The five-seed figures and the curve were obtained under OpenCV 5.0.0, which changes two of the 483 released verdicts in the detector's favor; the released-weight figures are those of the less favorable OpenCV 4.13.0 build.</w:t>
      </w:r>
    </w:p>
    <w:p>
      <w:pPr>
        <w:pStyle w:val="BodyText"/>
      </w:pPr>
      <w:r>
        <w:t xml:space="preserve">KEYWORDS:</w:t>
      </w:r>
      <w:r>
        <w:t xml:space="preserve"> </w:t>
      </w:r>
      <w:r>
        <w:t xml:space="preserve">Edge computing; hand-crafted features; learned baseline; multi-color-space fusion; null baseline; reproducibility; unmanned aerial vehicles; wildfire detection</w:t>
      </w:r>
    </w:p>
    <w:p>
      <w:pPr>
        <w:pStyle w:val="Heading2"/>
      </w:pPr>
      <w:bookmarkStart w:id="21" w:name="introduction"/>
      <w:r>
        <w:t xml:space="preserve">1 Introduction</w:t>
      </w:r>
      <w:bookmarkEnd w:id="21"/>
    </w:p>
    <w:p>
      <w:pPr>
        <w:pStyle w:val="FirstParagraph"/>
      </w:pPr>
      <w:r>
        <w:t xml:space="preserve">Wildfire management requires incipient-stage intervention to prevent extensive ecological and economic degradation [1–3]. Conventional early warning mechanisms, including satellite-based synthetic aperture radar and static observation towers, frequently miss the critical initial intervention window because of orbital revisit delays and geographical obstructions [4]. Unmanned aerial vehicles (UAVs) address these physical limitations through low-altitude deployment and flexible revisit scheduling [5,6], supported by systematic coverage path planning over the area at risk [7]. However, relying on continuous teleoperation, that is, streaming raw high-resolution video payloads to ground control stations, exposes disaster response networks to bandwidth bottlenecks, high cognitive load for human operators, and total system failure during signal loss.</w:t>
      </w:r>
    </w:p>
    <w:p>
      <w:pPr>
        <w:pStyle w:val="BodyText"/>
      </w:pPr>
      <w:r>
        <w:t xml:space="preserve">To mitigate transmission dependency, surveillance systems must execute visual inference locally through edge computing [8]. This introduces a hardware-dependent algorithmic constraint: deep convolutional neural networks (CNNs) can provide high mean average precision (mAP), but their cost depends on model design, input resolution, accelerator availability and the target platform. Deploying comparatively heavy models on tactical or lightweight UAVs can accelerate battery drain, induce thermal throttling, and reduce flight endurance [9]. Basic color thresholding avoids some of these costs, but can yield a false-positive rate too high for autonomous operation by classifying stationary red vehicles, autumnal foliage, or solar reflections as active fires.</w:t>
      </w:r>
    </w:p>
    <w:p>
      <w:pPr>
        <w:pStyle w:val="BodyText"/>
      </w:pPr>
      <w:r>
        <w:t xml:space="preserve">The aerial node envisaged here does not operate alone. UAV-assisted Internet of Vehicles (IoV) architectures place the aircraft in a vehicular network alongside ground units and response vehicles; the design space for that integration has been surveyed by Hemmati et al. [27] and the connectivity substrate on which it depends by Souri et al. [28]. Such an architecture rests on a prerequisite that is seldom audited on its own: the verdict the aerial node transmits must be worth transmitting. A link that carries an alarm produced by a rule a constant predictor would beat is propagating noise, and the quality of that verdict is fixed before the link is reached. This paper therefore audits the node and not the network. The communication substrate, its latency budget and its failure modes lie outside its scope and no claim is made about them anywhere below; what is established is whether the detector that would sit behind such a link earns its place there.</w:t>
      </w:r>
    </w:p>
    <w:p>
      <w:pPr>
        <w:pStyle w:val="BodyText"/>
      </w:pPr>
      <w:r>
        <w:t xml:space="preserve">This paper implements the strongest CPU-only heuristic detector the authors could construct within these constraints, and then subjects it to an adversarial evaluation whose purpose is to establish what it achieves, where it fails, why it fails, whether the stated motivation for building it that way holds, and what should replace the part that does not work. The contributions are therefore diagnostic rather than performative, and the last of them is constructive:</w:t>
      </w:r>
    </w:p>
    <w:p>
      <w:pPr>
        <w:pStyle w:val="Compact"/>
        <w:numPr>
          <w:ilvl w:val="0"/>
          <w:numId w:val="1001"/>
        </w:numPr>
      </w:pPr>
      <w:r>
        <w:t xml:space="preserve">A fully specified, GPU-independent detector that intersects the hue-saturation-value (HSV), red-green-blue (RGB), and luma-chroma (YCbCr) color spaces and adds a temporal flickering layer which rewards kinetic volatility and penalizes stationary color-matched clusters. Every threshold, morphological kernel, and scoring constant is reported in Section 3, so that the configuration evaluated here is reproducible and can be reused as a reference implementation.</w:t>
      </w:r>
    </w:p>
    <w:p>
      <w:pPr>
        <w:pStyle w:val="Compact"/>
        <w:numPr>
          <w:ilvl w:val="0"/>
          <w:numId w:val="1001"/>
        </w:numPr>
      </w:pPr>
      <w:r>
        <w:t xml:space="preserve">A null-baseline comparison, which we did not find reported in the color-heuristic fire detection studies surveyed in Section 2. On the image dataset used here the detector is beaten on F1 by a constant fire predictor and on accuracy by a constant no-fire predictor, across all seven color-space ablations and all nine threshold settings. Work in this family should report the comparison as a matter of course, because on an imbalanced split an operating point a constant rule would beat is easy to publish.</w:t>
      </w:r>
    </w:p>
    <w:p>
      <w:pPr>
        <w:pStyle w:val="Compact"/>
        <w:numPr>
          <w:ilvl w:val="0"/>
          <w:numId w:val="1001"/>
        </w:numPr>
      </w:pPr>
      <w:r>
        <w:t xml:space="preserve">A resolution control establishing that fixed pixel-scale parameters, among them an absolute area threshold, applied to a dataset whose image sizes span three orders of magnitude account for 84.19% of the spurious detections, and that removing this defect still leaves the detector below its null baseline. We note the defect because it is a plausible and unexamined source of optimistic results wherever a fixed area threshold meets a heterogeneous image set.</w:t>
      </w:r>
    </w:p>
    <w:p>
      <w:pPr>
        <w:pStyle w:val="Compact"/>
        <w:numPr>
          <w:ilvl w:val="0"/>
          <w:numId w:val="1001"/>
        </w:numPr>
      </w:pPr>
      <w:r>
        <w:t xml:space="preserve">A localization of the failure, in two steps. First, the rule cannot be repaired within its own family: a saturation sweep moves recall by 32.70 percentage points while precision stays within 2.25 percentage points of the class prior, and the best threshold over the pipeline's own box count, chosen with the test labels in hand, is the degenerate one that calls every image positive. Second, the images are not the problem: a model fitted on a 512-bin color histogram of the same images raises the F1-score from 49.14% to 82.28%. That histogram is not the rule's feature set, as Section 4.4 sets out, so the fair statement is that these images carry extractable class information and this pipeline destroys it, rather than that the rule was handed exactly the same evidence and mishandled it.</w:t>
      </w:r>
    </w:p>
    <w:p>
      <w:pPr>
        <w:pStyle w:val="Compact"/>
        <w:numPr>
          <w:ilvl w:val="0"/>
          <w:numId w:val="1001"/>
        </w:numPr>
      </w:pPr>
      <w:r>
        <w:t xml:space="preserve">A refutation of the compute argument that motivates this class of detector. A logistic regression occupying 3.7 kB reaches an F1-score of 77.33% at 1.35 times the per-frame cost of the hand-set pipeline when the two are timed together on one machine, showing the learned alternative is comparable in cost. What the airborne compute budget excludes is a deep convolutional detector, not learning as such. A cascade that keeps the hand-set stage as a region proposer improves it but inherits its recall ceiling, which locates the next bottleneck precisely.</w:t>
      </w:r>
    </w:p>
    <w:p>
      <w:pPr>
        <w:pStyle w:val="Compact"/>
        <w:numPr>
          <w:ilvl w:val="0"/>
          <w:numId w:val="1001"/>
        </w:numPr>
      </w:pPr>
      <w:r>
        <w:t xml:space="preserve">An engineering observation that survives the analysis, reported with its own reproducibility caveat: the detector costs under ten milliseconds per 640 × 480 frame on a mobile-class CPU with no accelerator, though repeated benchmarking shows this figure to be strongly host-dependent.</w:t>
      </w:r>
    </w:p>
    <w:p>
      <w:pPr>
        <w:pStyle w:val="Compact"/>
        <w:numPr>
          <w:ilvl w:val="0"/>
          <w:numId w:val="1001"/>
        </w:numPr>
      </w:pPr>
      <w:r>
        <w:t xml:space="preserve">A constructive replacement of the detector itself, reported under the same evidential standard applied to everything above and on real footage. A retrained MobileNetV3-Small evaluated on a 483-clip aerial corpus partitioned at the clip level yields an average 93.83% true positive rate at a 0.32% false positive rate on the 194 clips that contributed no training gradient across five seeds; the released weights reach 92.65% on those clips, a perfect 100.00% on the clips they were fitted on, and 97.06% when the partition is ignored. Frame-sampled video benchmarks make that contamination easy to commit; we document it here to establish clear baseline standards.</w:t>
      </w:r>
    </w:p>
    <w:p>
      <w:pPr>
        <w:pStyle w:val="FirstParagraph"/>
      </w:pPr>
      <w:r>
        <w:t xml:space="preserve">The remainder of this paper is organized as follows. Section 2 reviews related literature in computer vision and edge computing. Section 3 details the mathematical formulation of the multi-color-space architecture. Section 4 presents the image-level, ablation and latency results, and closes in Section 4.5 with the deep edge replacement. Section 5 states what the study does and does not establish, and what a defensible successor architecture would require.</w:t>
      </w:r>
    </w:p>
    <w:p>
      <w:pPr>
        <w:pStyle w:val="Heading2"/>
      </w:pPr>
      <w:bookmarkStart w:id="22" w:name="related-work"/>
      <w:r>
        <w:t xml:space="preserve">2 Related Work</w:t>
      </w:r>
      <w:bookmarkEnd w:id="22"/>
    </w:p>
    <w:p>
      <w:pPr>
        <w:pStyle w:val="FirstParagraph"/>
      </w:pPr>
      <w:r>
        <w:t xml:space="preserve">The adaptation of computer vision for autonomous fire detection is characterized by a methodological evolution from static pixel dominance to deep spatiotemporal pattern recognition. Early research relied primarily on the RGB color space, postulating that flame cores exhibit markedly higher red-channel intensities than the green and blue channels, and deriving explicit inter-channel ordering rules on that basis [10]. However, the susceptibility of the RGB model to environmental illumination and shading prompted a transition toward the HSV color space, which isolates chromaticity (hue) from brightness (value). Subsequent advances demonstrated that the YCbCr model, and specifically the separation of luma (Y) from red chroma (Cr), provides effective filtering of high-lumen artifacts in central fire zones and yields a generic color model that transfers across illumination conditions [11]. Color-space design for fire segmentation remains an active problem rather than a settled one: Giwa and Benkrid [12] recently optimized an RGB-to-flame color-space transform by hybrid metaheuristic search and reported a 20% mean F1-score improvement over conventional color models, which is direct evidence that the standard spaces used in this paper are a weak substrate for the task.</w:t>
      </w:r>
    </w:p>
    <w:p>
      <w:pPr>
        <w:pStyle w:val="BodyText"/>
      </w:pPr>
      <w:r>
        <w:t xml:space="preserve">To address the inherent limitation of purely color-based static heuristics, namely the misclassification of stationary inorganic objects, spatiotemporal methods were introduced to quantify the physical oscillation of flames, employing frame differencing and flame-contour dynamics to isolate irregular kinetic behavior [13].</w:t>
      </w:r>
    </w:p>
    <w:p>
      <w:pPr>
        <w:pStyle w:val="BodyText"/>
      </w:pPr>
      <w:r>
        <w:t xml:space="preserve">In recent years, deep learning paradigms [14] and advanced classical models [15] have largely overshadowed basic heuristic approaches. CNNs have achieved high mAP metrics [16–18] by extracting complex contextual and textural features from large datasets. However, this accuracy is inherently coupled with computational cost: deploying multi-gigaFLOP architectures on lightweight UAVs induces thermal throttling and limits operational flight times [8,9]. Alternatively, classical image processing [19], color-based heuristic models [10,11,13], and optical remote sensing techniques [4] provide baseline computational efficiency. Foundational fusion methodologies [20] and bounding-box regression techniques such as intersection-over-union (IoU) variants [21] have been used to optimize such systems for real-time deployment.</w:t>
      </w:r>
    </w:p>
    <w:p>
      <w:pPr>
        <w:pStyle w:val="BodyText"/>
      </w:pPr>
      <w:r>
        <w:t xml:space="preserve">Work published since 2022 has concentrated almost entirely on making deep detectors small enough to fly. Bouguettaya et al. [22] survey early wildfire detection from UAVs using deep-learning computer vision. Luan et al. [23] enhance YOLOX for small-object wildfire detection in UAV imagery through a multi-level feature extraction structure and attention in the neck. Lu et al. [24] propose FCMI-YOLO for edge devices, combining a lightweight backbone module, cross-scale feature fusion and mixed local channel attention, and report a 40% parameter reduction relative to YOLOv5s. Mamadmurodov et al. [25] pair an EfficientNetV2 backbone with channel attention for early forest fire detection. Closest in spirit to the deployment question raised here, Titu et al. [26] distil YOLOv8 and run it on a single-board computer carried by a quadrotor, reporting operation at approximately 8 frames per second in live flight.</w:t>
      </w:r>
    </w:p>
    <w:p>
      <w:pPr>
        <w:pStyle w:val="BodyText"/>
      </w:pPr>
      <w:r>
        <w:t xml:space="preserve">Two properties of this recent literature motivate the evaluation design adopted in Section 4. First, each of these systems is benchmarked against other deep detectors; none of them reports a comparison against a color-threshold pipeline, and none reports a constant-predictor baseline on its own class distribution. How much a modern learned detector actually gains over the heuristics it replaced is therefore not answered by this literature. The present paper approaches the question from the opposite direction, first by quantifying how little the heuristic branch achieves against explicit null baselines, and then by fitting a deliberately minimal learned model on the same features, so that any gap is attributable to the decision rule rather than to the feature set or the compute budget. Second, the class balance of the evaluation sets is rarely stated, which is precisely the condition under which a constant predictor becomes competitive, as Section 4.1 demonstrates.</w:t>
      </w:r>
    </w:p>
    <w:p>
      <w:pPr>
        <w:pStyle w:val="BodyText"/>
      </w:pPr>
      <w:r>
        <w:t xml:space="preserve">On the communication side, the integration of UAVs into vehicular networks has been surveyed systematically by Hemmati et al. [27], who map the UAV-assisted Internet of Vehicles design space, and the connectivity and V2X substrate on which such a system depends has been reviewed by Souri et al. [28]. At the deployment layer, Ebrahimishadman and Souri [29] run an edge-optimized YOLOv8 detector together with an optical-character-recognition stage on a Raspberry Pi under ONNX Runtime, without an accelerator, reporting an end-to-end latency of about 1.7 s per image for that task. That result bears directly on the argument of this paper from the opposite direction: a learned detector does run on CPU-only edge hardware, so the question is not whether learning is affordable there but what latency the application can tolerate.</w:t>
      </w:r>
    </w:p>
    <w:p>
      <w:pPr>
        <w:pStyle w:val="BodyText"/>
      </w:pPr>
      <w:r>
        <w:t xml:space="preserve">The fundamental departure of the proposed architecture from contemporary deep learning methodologies lies in bypassing the hardware cost barrier for edge computing. Rather than relying on the GPU acceleration assumed by the CNN detectors of [16–18], this research executes a simultaneous logical intersection of the RGB, HSV, and YCbCr color spaces, augmented by a kinetic flickering layer that applies an explicit penalty to temporally static clusters. The intended effect of that penalty is to reduce stationary detections while retaining the lightweight processing footprint required for continuous UAV deployment. Section 4.5 replaces the whole detector rather than isolating the effect of this penalty on video, and Section 4.1 shows that the chromatic stage alone carries a false-positive rate above 80% on still images; we therefore present the formulation as a hypothesis that the evaluation tests rather than as an established improvement.</w:t>
      </w:r>
    </w:p>
    <w:p>
      <w:pPr>
        <w:pStyle w:val="Heading2"/>
      </w:pPr>
      <w:bookmarkStart w:id="23" w:name="methodology"/>
      <w:r>
        <w:t xml:space="preserve">3 Methodology</w:t>
      </w:r>
      <w:bookmarkEnd w:id="23"/>
    </w:p>
    <w:p>
      <w:pPr>
        <w:pStyle w:val="FirstParagraph"/>
      </w:pPr>
      <w:r>
        <w:t xml:space="preserve">The surveillance architecture is constructed using a decoupled, modular design that implements a singleton pattern for configuration access, ensuring strict isolation between the computational inference engine and the heads-up display (HUD) rendering loop. The released implementation comprises those two components and no other; in particular it contains no transmission or telemetry component, consistent with the scope stated in Section 1. All parameter values reported in this section are the literal values used in the released implementation. The per-frame pipeline of Sections 3.1 to 3.3 is summarized as Algorithm 1. The reader should note which stages each experiment exercises, because the stages are not all tested equally. Sections 4.1 to 4.3 and the threshold sweep of Section 4.4 use only the color-space stage of Section 3.1, with flickering disabled because their inputs are independent still images. Section 4.3 adds the absolute area criterion of Eq. (2), which is the subject of that control. The learned baselines of Section 4.4 replace the decision rule entirely and use no stage of Section 3 except, in the cascade variant, the proposals of Sections 3.1 to 3.3. No reported experiment exercises the temporal stage of Section 3.2 or the suppression and merge stages of Section 3.3 on a decision: every image-level result is measured on independent still images, where the temporal stage is disabled by construction, and Section 4.5 replaces the hand-set pipeline rather than running it on video. Those three stages are therefore specified here and released, but the paper reports no measurement that depends on them.</w:t>
      </w:r>
    </w:p>
    <w:p>
      <w:pPr>
        <w:pStyle w:val="Heading3"/>
      </w:pPr>
      <w:bookmarkStart w:id="24" w:name="multi-color-space-pixel-intersection"/>
      <w:r>
        <w:t xml:space="preserve">3.1 Multi-Color-Space Pixel Intersection</w:t>
      </w:r>
      <w:bookmarkEnd w:id="24"/>
    </w:p>
    <w:p>
      <w:pPr>
        <w:pStyle w:val="FirstParagraph"/>
      </w:pPr>
      <w:r>
        <w:t xml:space="preserve">The initial detection phase filters optical radiation across three parallel domains, evaluated on the same 8 bit per channel input frame:</w:t>
      </w:r>
    </w:p>
    <w:p>
      <w:pPr>
        <w:pStyle w:val="Compact"/>
        <w:numPr>
          <w:ilvl w:val="0"/>
          <w:numId w:val="1002"/>
        </w:numPr>
      </w:pPr>
      <w:r>
        <w:rPr>
          <w:i/>
        </w:rPr>
        <w:t xml:space="preserve">HSV phase.</w:t>
      </w:r>
      <w:r>
        <w:t xml:space="preserve"> </w:t>
      </w:r>
      <w:r>
        <w:t xml:space="preserve">Pixels are stratified into three hue bands representing the flame core (H ∈ [0, 15], S ≥ 60), peripheral halos (H ∈ [15, 35], S ≥ 80), and red-edge reactions (H ∈ [160, 180], S ≥ 60). The three band masks are combined with a bitwise OR. To eliminate ego-motion false positives caused by sunlit terrain, a common value floor of V ≥ 210 is enforced in all three bands.</w:t>
      </w:r>
    </w:p>
    <w:p>
      <w:pPr>
        <w:pStyle w:val="Compact"/>
        <w:numPr>
          <w:ilvl w:val="0"/>
          <w:numId w:val="1002"/>
        </w:numPr>
      </w:pPr>
      <w:r>
        <w:rPr>
          <w:i/>
        </w:rPr>
        <w:t xml:space="preserve">RGB cross-validation.</w:t>
      </w:r>
      <w:r>
        <w:t xml:space="preserve"> </w:t>
      </w:r>
      <w:r>
        <w:t xml:space="preserve">Following the inter-channel ordering rule of [10], inorganic red objects such as vehicles are suppressed by requiring both a strict channel ordering, R &gt; G &gt; B, and two absolute thresholds, R &gt; 210 and G &gt; 130. The joint condition necessitates the presence of intense yellow or orange radiation alongside red dominance, rather than red dominance alone.</w:t>
      </w:r>
    </w:p>
    <w:p>
      <w:pPr>
        <w:pStyle w:val="Compact"/>
        <w:numPr>
          <w:ilvl w:val="0"/>
          <w:numId w:val="1002"/>
        </w:numPr>
      </w:pPr>
      <w:r>
        <w:rPr>
          <w:i/>
        </w:rPr>
        <w:t xml:space="preserve">YCbCr chrominance.</w:t>
      </w:r>
      <w:r>
        <w:t xml:space="preserve"> </w:t>
      </w:r>
      <w:r>
        <w:t xml:space="preserve">Adapting the generic chrominance model of [11], the algorithm evaluates chromatic deviation, requiring a dominant red chroma, Cr &gt; 150, that exceeds the blue chroma intensity, Cr &gt; Cb, together with luma dominance, Y &gt; Cb.</w:t>
      </w:r>
    </w:p>
    <w:p>
      <w:pPr>
        <w:pStyle w:val="FirstParagraph"/>
      </w:pPr>
      <w:r>
        <w:t xml:space="preserve">Candidate pixels surviving all three filters are combined by a bitwise AND intersection. To prevent central flame cores from being discarded because of camera overexposure, a "white-hot" bypass mask defined by R &gt; 240, G &gt; 230, and B &gt; 200 is computed separately, eroded with a 15 × 15 elliptical structuring element [30] to eliminate micro-specular highlights from reflective surfaces, and then merged into the intersection mask with a bitwise OR. Only white-hot regions large enough to survive that erosion, such as fully overexposed flame cores, are reinstated. The combined mask is then closed with the same 15 × 15 element, opened with a 5 × 5 element to remove residual noise, and dilated twice with the 15 × 15 element to consolidate adjacent flame blobs before contour extraction.</w:t>
      </w:r>
    </w:p>
    <w:p>
      <w:pPr>
        <w:pStyle w:val="BodyText"/>
      </w:pPr>
      <w:r>
        <w:t xml:space="preserve">Three conventions govern how the literal values above are to be read, and none of them can be inferred from the numerals alone. First, the hue bounds are expressed in the 0 to 179 integer range that the imaging library's color conversion emits rather than in degrees, so the flame-core band covers 0° to 30° of hue, the halo band 30° to 70°, and the red-edge band 320° to 360°; a reader who transfers the numerals unchanged to a library with a 0 to 359 convention obtains bands half as wide as the ones evaluated here. Second, the saturation floors are applied within each band while the common value floor is applied to their union, which is arithmetically identical to applying it three times and is how the released code is written. Third, every structuring element named in this paper is elliptical rather than rectangular, so the 15 × 15 element is the disc inscribed in a 15 × 15 square and covers 169 of its 225 pixels, the 7 × 7 element 33 of 49 and the 5 × 5 element 17 of 25; substituting rectangular elements enlarges the closing and both dilations and is not a cosmetic change. One ordering detail carries the same weight: the white-hot union is formed before the morphological chain rather than after it, so an overexposed flame core is closed, opened and dilated on the same footing as a chromatically detected one instead of bypassing those stages.</w:t>
      </w:r>
    </w:p>
    <w:p>
      <w:pPr>
        <w:pStyle w:val="Heading3"/>
      </w:pPr>
      <w:bookmarkStart w:id="25" w:name="temporal-flickering-analysis"/>
      <w:r>
        <w:t xml:space="preserve">3.2 Temporal Flickering Analysis</w:t>
      </w:r>
      <w:bookmarkEnd w:id="25"/>
    </w:p>
    <w:p>
      <w:pPr>
        <w:pStyle w:val="FirstParagraph"/>
      </w:pPr>
      <w:r>
        <w:t xml:space="preserve">To differentiate dynamic flames from static color-matched anomalies, a temporal layer computes the absolute difference between frame</w:t>
      </w:r>
      <w:r>
        <w:t xml:space="preserve"> </w:t>
      </w:r>
      <w:r>
        <w:rPr>
          <w:i/>
        </w:rPr>
        <w:t xml:space="preserve">t</w:t>
      </w:r>
      <w:r>
        <w:t xml:space="preserve"> </w:t>
      </w:r>
      <w:r>
        <w:t xml:space="preserve">and frame</w:t>
      </w:r>
      <w:r>
        <w:t xml:space="preserve"> </w:t>
      </w:r>
      <w:r>
        <w:rPr>
          <w:i/>
        </w:rPr>
        <w:t xml:space="preserve">t</w:t>
      </w:r>
      <w:r>
        <w:t xml:space="preserve"> </w:t>
      </w:r>
      <w:r>
        <w:t xml:space="preserve">− 1, adapting principles of temporospatial feature extraction [31]. The difference image is converted to grayscale and binarized with a motion threshold of τ</w:t>
      </w:r>
      <w:r>
        <w:rPr>
          <w:vertAlign w:val="subscript"/>
        </w:rPr>
        <w:t xml:space="preserve">motion</w:t>
      </w:r>
      <w:r>
        <w:t xml:space="preserve"> </w:t>
      </w:r>
      <w:r>
        <w:t xml:space="preserve">= 30, then morphologically closed with a 7 × 7 elliptical element to yield the flicker mask.</w:t>
      </w:r>
    </w:p>
    <w:p>
      <w:pPr>
        <w:pStyle w:val="BodyText"/>
      </w:pPr>
      <w:r>
        <w:t xml:space="preserve">Each candidate cluster receives a base heuristic score of 0.60 + 0.10</w:t>
      </w:r>
      <w:r>
        <w:rPr>
          <w:i/>
        </w:rPr>
        <w:t xml:space="preserve">s</w:t>
      </w:r>
      <w:r>
        <w:t xml:space="preserve">, where</w:t>
      </w:r>
      <w:r>
        <w:t xml:space="preserve"> </w:t>
      </w:r>
      <w:r>
        <w:rPr>
          <w:i/>
        </w:rPr>
        <w:t xml:space="preserve">s</w:t>
      </w:r>
      <w:r>
        <w:t xml:space="preserve"> </w:t>
      </w:r>
      <w:r>
        <w:t xml:space="preserve">denotes the contour solidity, that is, the ratio of contour area to convex hull area. The base score therefore lies in [0.60, 0.70]. The temporal layer then modifies this score using the flicker ratio ρ, defined as the mean normalized intensity of the flicker mask inside the cluster bounding box:</w:t>
      </w:r>
    </w:p>
    <w:p>
      <w:pPr>
        <w:pStyle w:val="BodyText"/>
      </w:pPr>
      <m:oMath>
        <m:sSub>
          <m:e>
            <m:r>
              <m:t>C</m:t>
            </m:r>
          </m:e>
          <m:sub>
            <m:r>
              <m:t>a</m:t>
            </m:r>
            <m:r>
              <m:t>l</m:t>
            </m:r>
            <m:r>
              <m:t>g</m:t>
            </m:r>
          </m:sub>
        </m:sSub>
        <m:r>
          <m:t>=</m:t>
        </m:r>
        <m:r>
          <m:rPr>
            <m:nor/>
          </m:rPr>
          <m:t>min</m:t>
        </m:r>
        <m:r>
          <m:t>​</m:t>
        </m:r>
        <m:r>
          <m:t>(</m:t>
        </m:r>
        <m:r>
          <m:t>1.0</m:t>
        </m:r>
        <m:r>
          <m:t>,</m:t>
        </m:r>
        <m:r>
          <m:t> </m:t>
        </m:r>
        <m:r>
          <m:t>0.60</m:t>
        </m:r>
        <m:r>
          <m:t>+</m:t>
        </m:r>
        <m:r>
          <m:t>0.10</m:t>
        </m:r>
        <m:r>
          <m:t> </m:t>
        </m:r>
        <m:r>
          <m:t>s</m:t>
        </m:r>
        <m:r>
          <m:t>+</m:t>
        </m:r>
        <m:r>
          <m:t>Δ</m:t>
        </m:r>
        <m:r>
          <m:t>(</m:t>
        </m:r>
        <m:r>
          <m:t>ρ</m:t>
        </m:r>
        <m:r>
          <m:t>)</m:t>
        </m:r>
        <m:r>
          <m:t>)</m:t>
        </m:r>
        <m:r>
          <m:t>,</m:t>
        </m:r>
        <m:r>
          <m:t>  </m:t>
        </m:r>
        <m:r>
          <m:t>Δ</m:t>
        </m:r>
        <m:r>
          <m:t>(</m:t>
        </m:r>
        <m:r>
          <m:t>ρ</m:t>
        </m:r>
        <m:r>
          <m:t>)</m:t>
        </m:r>
        <m:r>
          <m:t>=</m:t>
        </m:r>
        <m:d>
          <m:dPr>
            <m:begChr m:val="{"/>
            <m:endChr m:val=""/>
            <m:grow/>
          </m:dPr>
          <m:e>
            <m:m>
              <m:mPr>
                <m:baseJc m:val="center"/>
                <m:plcHide m:val="1"/>
                <m:mcs>
                  <m:mc>
                    <m:mcPr>
                      <m:count m:val="1"/>
                      <m:mcJc m:val="left"/>
                    </m:mcPr>
                  </m:mc>
                  <m:mc>
                    <m:mcPr>
                      <m:count m:val="1"/>
                      <m:mcJc m:val="left"/>
                    </m:mcPr>
                  </m:mc>
                </m:mcs>
              </m:mPr>
              <m:mr>
                <m:e>
                  <m:r>
                    <m:t>−</m:t>
                  </m:r>
                  <m:r>
                    <m:t>0.30</m:t>
                  </m:r>
                  <m:r>
                    <m:t>,</m:t>
                  </m:r>
                </m:e>
                <m:e>
                  <m:r>
                    <m:t>ρ</m:t>
                  </m:r>
                  <m:r>
                    <m:t>&lt;</m:t>
                  </m:r>
                  <m:r>
                    <m:t>0.01</m:t>
                  </m:r>
                </m:e>
              </m:mr>
              <m:mr>
                <m:e>
                  <m:r>
                    <m:t>+</m:t>
                  </m:r>
                  <m:r>
                    <m:t>0.30</m:t>
                  </m:r>
                  <m:r>
                    <m:t> </m:t>
                  </m:r>
                  <m:r>
                    <m:t>ρ</m:t>
                  </m:r>
                  <m:r>
                    <m:t>,</m:t>
                  </m:r>
                </m:e>
                <m:e>
                  <m:r>
                    <m:t>ρ</m:t>
                  </m:r>
                  <m:r>
                    <m:t>≥</m:t>
                  </m:r>
                  <m:r>
                    <m:t>0.01</m:t>
                  </m:r>
                </m:e>
              </m:mr>
            </m:m>
          </m:e>
        </m:d>
      </m:oMath>
    </w:p>
    <w:p>
      <w:pPr>
        <w:pStyle w:val="BodyText"/>
      </w:pPr>
      <w:r>
        <w:t xml:space="preserve">(1)</w:t>
      </w:r>
    </w:p>
    <w:p>
      <w:pPr>
        <w:pStyle w:val="BodyText"/>
      </w:pPr>
      <w:r>
        <w:t xml:space="preserve">Clusters must satisfy</w:t>
      </w:r>
      <w:r>
        <w:t xml:space="preserve"> </w:t>
      </w:r>
      <m:oMath>
        <m:sSub>
          <m:e>
            <m:r>
              <m:t>C</m:t>
            </m:r>
          </m:e>
          <m:sub>
            <m:r>
              <m:t>a</m:t>
            </m:r>
            <m:r>
              <m:t>l</m:t>
            </m:r>
            <m:r>
              <m:t>g</m:t>
            </m:r>
          </m:sub>
        </m:sSub>
        <m:r>
          <m:t>≥</m:t>
        </m:r>
        <m:r>
          <m:t>0.50</m:t>
        </m:r>
      </m:oMath>
      <w:r>
        <w:t xml:space="preserve"> </w:t>
      </w:r>
      <w:r>
        <w:t xml:space="preserve">to be emitted. Two properties of Eq. (1) govern the behavior reported in Section 4. First, the reward branch is proportional to ρ and therefore contributes at most +0.30, not a fixed bonus. Second, and more consequentially, the penalty branch subtracts 0.30 from a base score whose maximum is 0.70, which drives any temporally static cluster below the 0.50 acceptance threshold and removes it entirely. The suppression of color-matched stationary objects is thus produced by the penalty branch rather than by the reward branch. When no preceding frame exists, the flicker mask is undefined, Δ(ρ) is not applied, and the detector degenerates to the purely chromatic behavior of Section 3.1.</w:t>
      </w:r>
    </w:p>
    <w:p>
      <w:pPr>
        <w:pStyle w:val="BodyText"/>
      </w:pPr>
      <w:r>
        <w:t xml:space="preserve">The minimum cluster area is scaled with the reported flight altitude</w:t>
      </w:r>
      <w:r>
        <w:t xml:space="preserve"> </w:t>
      </w:r>
      <w:r>
        <w:rPr>
          <w:i/>
        </w:rPr>
        <w:t xml:space="preserve">h</w:t>
      </w:r>
      <w:r>
        <w:t xml:space="preserve">, in meters, so that distant small fires remain detectable, using a base area of 600 px at the reference altitude of 50 m:</w:t>
      </w:r>
    </w:p>
    <w:p>
      <w:pPr>
        <w:pStyle w:val="BodyText"/>
      </w:pPr>
      <m:oMath>
        <m:sSub>
          <m:e>
            <m:r>
              <m:t>A</m:t>
            </m:r>
          </m:e>
          <m:sub>
            <m:r>
              <m:t>m</m:t>
            </m:r>
            <m:r>
              <m:t>i</m:t>
            </m:r>
            <m:r>
              <m:t>n</m:t>
            </m:r>
          </m:sub>
        </m:sSub>
        <m:r>
          <m:t>(</m:t>
        </m:r>
        <m:r>
          <m:t>h</m:t>
        </m:r>
        <m:r>
          <m:t>)</m:t>
        </m:r>
        <m:r>
          <m:t>=</m:t>
        </m:r>
        <m:r>
          <m:t>600</m:t>
        </m:r>
        <m:r>
          <m:t> </m:t>
        </m:r>
        <m:r>
          <m:rPr>
            <m:sty m:val="p"/>
          </m:rPr>
          <m:t>p</m:t>
        </m:r>
        <m:r>
          <m:rPr>
            <m:sty m:val="p"/>
          </m:rPr>
          <m:t>x</m:t>
        </m:r>
        <m:r>
          <m:t>⋅</m:t>
        </m:r>
        <m:sSup>
          <m:e>
            <m:d>
              <m:dPr>
                <m:begChr m:val="("/>
                <m:endChr m:val=")"/>
                <m:grow/>
              </m:dPr>
              <m:e>
                <m:f>
                  <m:fPr>
                    <m:type m:val="bar"/>
                  </m:fPr>
                  <m:num>
                    <m:r>
                      <m:t>50</m:t>
                    </m:r>
                    <m:r>
                      <m:t> </m:t>
                    </m:r>
                    <m:r>
                      <m:rPr>
                        <m:sty m:val="p"/>
                      </m:rPr>
                      <m:t>m</m:t>
                    </m:r>
                  </m:num>
                  <m:den>
                    <m:r>
                      <m:rPr>
                        <m:nor/>
                      </m:rPr>
                      <m:t>max</m:t>
                    </m:r>
                    <m:r>
                      <m:t>(</m:t>
                    </m:r>
                    <m:r>
                      <m:t>1</m:t>
                    </m:r>
                    <m:r>
                      <m:t> </m:t>
                    </m:r>
                    <m:r>
                      <m:rPr>
                        <m:sty m:val="p"/>
                      </m:rPr>
                      <m:t>m</m:t>
                    </m:r>
                    <m:r>
                      <m:t>,</m:t>
                    </m:r>
                    <m:r>
                      <m:t> </m:t>
                    </m:r>
                    <m:r>
                      <m:t>h</m:t>
                    </m:r>
                    <m:r>
                      <m:t>)</m:t>
                    </m:r>
                  </m:den>
                </m:f>
              </m:e>
            </m:d>
          </m:e>
          <m:sup>
            <m:r>
              <m:t>2</m:t>
            </m:r>
          </m:sup>
        </m:sSup>
      </m:oMath>
    </w:p>
    <w:p>
      <w:pPr>
        <w:pStyle w:val="BodyText"/>
      </w:pPr>
      <w:r>
        <w:t xml:space="preserve">(2)</w:t>
      </w:r>
    </w:p>
    <w:p>
      <w:pPr>
        <w:pStyle w:val="BodyText"/>
      </w:pPr>
      <w:r>
        <w:t xml:space="preserve">The flicker ratio floor is set to the permissive value of 0.01 rather than a stricter value, so that a momentary occlusion of the flame by smoke does not immediately delete an established bounding box.</w:t>
      </w:r>
    </w:p>
    <w:p>
      <w:pPr>
        <w:pStyle w:val="BodyText"/>
      </w:pPr>
      <w:r>
        <w:t xml:space="preserve">Four properties of Eqs. (1) and (2) belong to the implementation rather than to the equations. Three of them can change a reported count; the first cannot, for the reason given with it, and is recorded only so that a reimplementation does not treat the guard as load-bearing. The solidity</w:t>
      </w:r>
      <w:r>
        <w:t xml:space="preserve"> </w:t>
      </w:r>
      <w:r>
        <w:rPr>
          <w:i/>
        </w:rPr>
        <w:t xml:space="preserve">s</w:t>
      </w:r>
      <w:r>
        <w:t xml:space="preserve"> </w:t>
      </w:r>
      <w:r>
        <w:t xml:space="preserve">is the ratio of the contour area to the area of its convex hull, both computed by the polygon area rule; the released code guards the division by defining</w:t>
      </w:r>
      <w:r>
        <w:t xml:space="preserve"> </w:t>
      </w:r>
      <w:r>
        <w:rPr>
          <w:i/>
        </w:rPr>
        <w:t xml:space="preserve">s</w:t>
      </w:r>
      <w:r>
        <w:t xml:space="preserve"> </w:t>
      </w:r>
      <w:r>
        <w:t xml:space="preserve">= 0 when the hull area vanishes, although that branch is in fact unreachable, since the guard sits inside the area test and a hull is never smaller than the contour it encloses. The flicker ratio ρ is the mean of the binarized flicker mask over the axis-aligned bounding box of the cluster, divided by 255 so that it lies in [0, 1], and it is taken over the box rather than over the contour interior, so a thin or branched flame front is charged for the motionless background its box encloses. The area comparison of Eq. (2) is strict, area &gt;</w:t>
      </w:r>
      <w:r>
        <w:t xml:space="preserve"> </w:t>
      </w:r>
      <w:r>
        <w:rPr>
          <w:i/>
        </w:rPr>
        <w:t xml:space="preserve">A</w:t>
      </w:r>
      <w:r>
        <w:rPr>
          <w:vertAlign w:val="subscript"/>
          <w:i/>
        </w:rPr>
        <w:t xml:space="preserve">min</w:t>
      </w:r>
      <w:r>
        <w:t xml:space="preserve">(</w:t>
      </w:r>
      <w:r>
        <w:rPr>
          <w:i/>
        </w:rPr>
        <w:t xml:space="preserve">h</w:t>
      </w:r>
      <w:r>
        <w:t xml:space="preserve">), and contours are retrieved in external mode only, so an annular flame front enclosing a dark burnt interior is scored as a single cluster rather than as a ring and a hole. Finally, the still-image cohorts carry no altitude metadata, so every image-level experiment in this paper passes the reference altitude</w:t>
      </w:r>
      <w:r>
        <w:t xml:space="preserve"> </w:t>
      </w:r>
      <w:r>
        <w:rPr>
          <w:i/>
        </w:rPr>
        <w:t xml:space="preserve">h</w:t>
      </w:r>
      <w:r>
        <w:t xml:space="preserve"> </w:t>
      </w:r>
      <w:r>
        <w:t xml:space="preserve">= 50 m, which fixes</w:t>
      </w:r>
      <w:r>
        <w:t xml:space="preserve"> </w:t>
      </w:r>
      <w:r>
        <w:rPr>
          <w:i/>
        </w:rPr>
        <w:t xml:space="preserve">A</w:t>
      </w:r>
      <w:r>
        <w:rPr>
          <w:vertAlign w:val="subscript"/>
          <w:i/>
        </w:rPr>
        <w:t xml:space="preserve">min</w:t>
      </w:r>
      <w:r>
        <w:t xml:space="preserve"> </w:t>
      </w:r>
      <w:r>
        <w:t xml:space="preserve">at 600 px and, through Eq. (3),</w:t>
      </w:r>
      <w:r>
        <w:t xml:space="preserve"> </w:t>
      </w:r>
      <w:r>
        <w:rPr>
          <w:i/>
        </w:rPr>
        <w:t xml:space="preserve">d</w:t>
      </w:r>
      <w:r>
        <w:rPr>
          <w:vertAlign w:val="subscript"/>
          <w:i/>
        </w:rPr>
        <w:t xml:space="preserve">merge</w:t>
      </w:r>
      <w:r>
        <w:t xml:space="preserve"> </w:t>
      </w:r>
      <w:r>
        <w:t xml:space="preserve">at 75 px throughout Sections 4.1 to 4.5. The altitude scaling of Eq. (2) is therefore reported because it is in the released code and not because any experiment here exercises it; the resolution control of Section 4.3 tests the pixel-area assumption behind it, but no measurement in this paper varies</w:t>
      </w:r>
      <w:r>
        <w:t xml:space="preserve"> </w:t>
      </w:r>
      <w:r>
        <w:rPr>
          <w:i/>
        </w:rPr>
        <w:t xml:space="preserve">h</w:t>
      </w:r>
      <w:r>
        <w:t xml:space="preserve">.</w:t>
      </w:r>
    </w:p>
    <w:p>
      <w:pPr>
        <w:pStyle w:val="Heading3"/>
      </w:pPr>
      <w:bookmarkStart w:id="26" w:name="X855a3725e77937a4d0365fa19495f61d7c53a65"/>
      <w:r>
        <w:t xml:space="preserve">3.3 Object Localization, Non-Maximum Suppression, and Proximity Merge</w:t>
      </w:r>
      <w:bookmarkEnd w:id="26"/>
    </w:p>
    <w:p>
      <w:pPr>
        <w:pStyle w:val="FirstParagraph"/>
      </w:pPr>
      <w:r>
        <w:t xml:space="preserve">Intersecting flame clusters generate bounding boxes that are subsequently refined by non-maximum suppression (NMS). The suppression criterion is an asymmetric overlap ratio, computed as the intersection area divided by the area of the</w:t>
      </w:r>
      <w:r>
        <w:t xml:space="preserve"> </w:t>
      </w:r>
      <w:r>
        <w:rPr>
          <w:i/>
        </w:rPr>
        <w:t xml:space="preserve">smaller</w:t>
      </w:r>
      <w:r>
        <w:t xml:space="preserve"> </w:t>
      </w:r>
      <w:r>
        <w:t xml:space="preserve">box; any minor box whose area is more than 30% contained within a larger box is erased. This quantity is a run-time filtering mechanic related to the principles of bounding-box regression [21]; it is not the symmetric IoU, and it is not used anywhere as an evaluation metric, because the datasets employed in this study carry no bounding-box ground truth.</w:t>
      </w:r>
    </w:p>
    <w:p>
      <w:pPr>
        <w:pStyle w:val="BodyText"/>
      </w:pPr>
      <w:r>
        <w:t xml:space="preserve">Concurrently, a greedy proximity merge consolidates adjacent sub-clusters into unified detection zones, preventing artificial inflation of the threat count. Two boxes are merged when their edge-to-edge separation does not exceed an altitude-dependent distance</w:t>
      </w:r>
    </w:p>
    <w:p>
      <w:pPr>
        <w:pStyle w:val="BodyText"/>
      </w:pPr>
      <m:oMath>
        <m:sSub>
          <m:e>
            <m:r>
              <m:t>d</m:t>
            </m:r>
          </m:e>
          <m:sub>
            <m:r>
              <m:t>m</m:t>
            </m:r>
            <m:r>
              <m:t>e</m:t>
            </m:r>
            <m:r>
              <m:t>r</m:t>
            </m:r>
            <m:r>
              <m:t>g</m:t>
            </m:r>
            <m:r>
              <m:t>e</m:t>
            </m:r>
          </m:sub>
        </m:sSub>
        <m:r>
          <m:t>(</m:t>
        </m:r>
        <m:r>
          <m:t>h</m:t>
        </m:r>
        <m:r>
          <m:t>)</m:t>
        </m:r>
        <m:r>
          <m:t>=</m:t>
        </m:r>
        <m:r>
          <m:rPr>
            <m:nor/>
          </m:rPr>
          <m:t>max</m:t>
        </m:r>
        <m:r>
          <m:t>(</m:t>
        </m:r>
        <m:r>
          <m:t>20</m:t>
        </m:r>
        <m:r>
          <m:t> </m:t>
        </m:r>
        <m:r>
          <m:rPr>
            <m:sty m:val="p"/>
          </m:rPr>
          <m:t>p</m:t>
        </m:r>
        <m:r>
          <m:rPr>
            <m:sty m:val="p"/>
          </m:rPr>
          <m:t>x</m:t>
        </m:r>
        <m:r>
          <m:t>,</m:t>
        </m:r>
        <m:r>
          <m:t> </m:t>
        </m:r>
        <m:r>
          <m:t>100</m:t>
        </m:r>
        <m:r>
          <m:t> </m:t>
        </m:r>
        <m:r>
          <m:rPr>
            <m:sty m:val="p"/>
          </m:rPr>
          <m:t>p</m:t>
        </m:r>
        <m:r>
          <m:rPr>
            <m:sty m:val="p"/>
          </m:rPr>
          <m:t>x</m:t>
        </m:r>
        <m:r>
          <m:t>−</m:t>
        </m:r>
        <m:r>
          <m:t>κ</m:t>
        </m:r>
        <m:r>
          <m:t> </m:t>
        </m:r>
        <m:r>
          <m:t>h</m:t>
        </m:r>
        <m:r>
          <m:t>)</m:t>
        </m:r>
        <m:r>
          <m:t>,</m:t>
        </m:r>
        <m:r>
          <m:t>  </m:t>
        </m:r>
        <m:r>
          <m:t>κ</m:t>
        </m:r>
        <m:r>
          <m:t>=</m:t>
        </m:r>
        <m:r>
          <m:t>0.5</m:t>
        </m:r>
        <m:r>
          <m:t> </m:t>
        </m:r>
        <m:r>
          <m:rPr>
            <m:sty m:val="p"/>
          </m:rPr>
          <m:t>p</m:t>
        </m:r>
        <m:r>
          <m:rPr>
            <m:sty m:val="p"/>
          </m:rPr>
          <m:t>x</m:t>
        </m:r>
        <m:r>
          <m:t> </m:t>
        </m:r>
        <m:sSup>
          <m:e>
            <m:r>
              <m:rPr>
                <m:sty m:val="p"/>
              </m:rPr>
              <m:t>m</m:t>
            </m:r>
          </m:e>
          <m:sup>
            <m:r>
              <m:t>−</m:t>
            </m:r>
            <m:r>
              <m:t>1</m:t>
            </m:r>
          </m:sup>
        </m:sSup>
      </m:oMath>
    </w:p>
    <w:p>
      <w:pPr>
        <w:pStyle w:val="BodyText"/>
      </w:pPr>
      <w:r>
        <w:t xml:space="preserve">(3)</w:t>
      </w:r>
    </w:p>
    <w:p>
      <w:pPr>
        <w:pStyle w:val="BodyText"/>
      </w:pPr>
      <w:r>
        <w:t xml:space="preserve">where the coefficient</w:t>
      </w:r>
      <w:r>
        <w:t xml:space="preserve"> </w:t>
      </w:r>
      <m:oMath>
        <m:r>
          <m:t>κ</m:t>
        </m:r>
      </m:oMath>
      <w:r>
        <w:t xml:space="preserve"> </w:t>
      </w:r>
      <w:r>
        <w:t xml:space="preserve">converts altitude to a pixel budget and so reflects the increase in ground sample distance with altitude. The merge is iterated to a fixed point, and the merged cluster inherits the maximum heuristic score and the summed area of its constituents. No experiment in this paper isolates the contribution of the suppression and merge stages: they alter the geometry and the count of the emitted boxes but not, on the datasets used here, the image-level or frame-level decisions that Section 4 measures. Their effect on the box count is reported as a released diagnostic rather than as a result:</w:t>
      </w:r>
      <w:r>
        <w:t xml:space="preserve"> </w:t>
      </w:r>
      <w:r>
        <w:rPr>
          <w:rStyle w:val="VerbatimChar"/>
        </w:rPr>
        <w:t xml:space="preserve">tools/box_count_stages.py</w:t>
      </w:r>
      <w:r>
        <w:t xml:space="preserve"> </w:t>
      </w:r>
      <w:r>
        <w:t xml:space="preserve">gives the spurious-box total before suppression, before the merge and after it, and Section 4.3 draws on those stage totals. Their effect on a reported decision is nil on these datasets, and no experiment here isolates it.</w:t>
      </w:r>
    </w:p>
    <w:p>
      <w:pPr>
        <w:pStyle w:val="BodyText"/>
      </w:pPr>
      <w:r>
        <w:t xml:space="preserve">Both stages are specified more tightly below than the description above requires, because a reimplementation would otherwise be free to choose details that change the emitted geometry. Suppression is a single non-iterative pass: each box is compared once against every other, and it is erased only by a box of strictly greater area, so neither member of an equal-area pair suppresses the other and the outcome does not depend on the order in which the contours were returned. The overlap fraction is formed from bounding-box areas rather than from contour areas, and the 30% comparison is strict, so an overlap of exactly 30% survives. The separation used by the merge is the Euclidean norm of the two axis-aligned edge gaps, each clamped at zero, which is zero whenever two boxes already overlap in both axes; the merge therefore always consolidates an overlapping pair that survived suppression, and both</w:t>
      </w:r>
      <w:r>
        <w:t xml:space="preserve"> </w:t>
      </w:r>
      <w:r>
        <w:rPr>
          <w:i/>
        </w:rPr>
        <w:t xml:space="preserve">d</w:t>
      </w:r>
      <w:r>
        <w:rPr>
          <w:vertAlign w:val="subscript"/>
          <w:i/>
        </w:rPr>
        <w:t xml:space="preserve">merge</w:t>
      </w:r>
      <w:r>
        <w:t xml:space="preserve"> </w:t>
      </w:r>
      <w:r>
        <w:t xml:space="preserve">and the separation are evaluated in floating point, with no rounding to whole pixels.</w:t>
      </w:r>
    </w:p>
    <w:p>
      <w:pPr>
        <w:pStyle w:val="BodyText"/>
      </w:pPr>
      <w:r>
        <w:t xml:space="preserve">Algorithm 1: Per-frame detection pipeline. The stages correspond one to one with Sections 3.1 to 3.3.</w:t>
      </w:r>
    </w:p>
    <w:tbl>
      <w:tblPr>
        <w:tblStyle w:val="Table"/>
        <w:tblW w:w="9638" w:type="dxa"/>
        <w:tblBorders>
          <w:top w:val="single" w:sz="12" w:space="0" w:color="000000"/>
          <w:bottom w:val="single" w:sz="12" w:space="0" w:color="000000"/>
          <w:insideH w:val="none" w:sz="0" w:space="0" w:color="auto"/>
        </w:tblBorders>
        <w:tblLayout w:type="fixed"/>
        <w:tblLook w:firstRow="0"/>
      </w:tblPr>
      <w:tblGrid>
        <w:gridCol w:w="1250"/>
        <w:gridCol w:w="8388"/>
      </w:tblGrid>
      <w:tr>
        <w:tc>
          <w:tcPr>
            <w:tcW w:w="1250" w:type="dxa"/>
          </w:tcPr>
          <w:p>
            <w:pPr>
              <w:pStyle w:val="Compact"/>
              <w:jc w:val="left"/>
            </w:pPr>
            <w:r>
              <w:rPr>
                <w:b/>
              </w:rPr>
              <w:t xml:space="preserve">Input</w:t>
            </w:r>
          </w:p>
        </w:tc>
        <w:tc>
          <w:tcPr>
            <w:tcW w:w="8388" w:type="dxa"/>
          </w:tcPr>
          <w:p>
            <w:pPr>
              <w:pStyle w:val="Compact"/>
              <w:jc w:val="left"/>
            </w:pPr>
            <w:r>
              <w:t xml:space="preserve">frame</w:t>
            </w:r>
            <w:r>
              <w:t xml:space="preserve"> </w:t>
            </w:r>
            <w:r>
              <w:rPr>
                <w:i/>
              </w:rPr>
              <w:t xml:space="preserve">F</w:t>
            </w:r>
            <w:r>
              <w:t xml:space="preserve"> </w:t>
            </w:r>
            <w:r>
              <w:t xml:space="preserve">(8 bit per channel), reported altitude</w:t>
            </w:r>
            <w:r>
              <w:t xml:space="preserve"> </w:t>
            </w:r>
            <w:r>
              <w:rPr>
                <w:i/>
              </w:rPr>
              <w:t xml:space="preserve">h</w:t>
            </w:r>
            <w:r>
              <w:t xml:space="preserve"> </w:t>
            </w:r>
            <w:r>
              <w:t xml:space="preserve">in meters, previous frame</w:t>
            </w:r>
            <w:r>
              <w:t xml:space="preserve"> </w:t>
            </w:r>
            <w:r>
              <w:rPr>
                <w:i/>
              </w:rPr>
              <w:t xml:space="preserve">F</w:t>
            </w:r>
            <w:r>
              <w:rPr>
                <w:vertAlign w:val="subscript"/>
              </w:rPr>
              <w:t xml:space="preserve">prev</w:t>
            </w:r>
            <w:r>
              <w:t xml:space="preserve"> </w:t>
            </w:r>
            <w:r>
              <w:t xml:space="preserve">or ∅</w:t>
            </w:r>
          </w:p>
        </w:tc>
      </w:tr>
      <w:tr>
        <w:tc>
          <w:tcPr>
            <w:tcW w:w="1250" w:type="dxa"/>
          </w:tcPr>
          <w:p>
            <w:pPr>
              <w:pStyle w:val="Compact"/>
              <w:jc w:val="left"/>
            </w:pPr>
            <w:r>
              <w:rPr>
                <w:b/>
              </w:rPr>
              <w:t xml:space="preserve">Output</w:t>
            </w:r>
          </w:p>
        </w:tc>
        <w:tc>
          <w:tcPr>
            <w:tcW w:w="8388" w:type="dxa"/>
          </w:tcPr>
          <w:p>
            <w:pPr>
              <w:pStyle w:val="Compact"/>
              <w:jc w:val="left"/>
            </w:pPr>
            <w:r>
              <w:t xml:space="preserve">set of merged bounding boxes with heuristic scores</w:t>
            </w:r>
            <w:r>
              <w:t xml:space="preserve"> </w:t>
            </w:r>
            <m:oMath>
              <m:sSub>
                <m:e>
                  <m:r>
                    <m:t>C</m:t>
                  </m:r>
                </m:e>
                <m:sub>
                  <m:r>
                    <m:t>a</m:t>
                  </m:r>
                  <m:r>
                    <m:t>l</m:t>
                  </m:r>
                  <m:r>
                    <m:t>g</m:t>
                  </m:r>
                </m:sub>
              </m:sSub>
            </m:oMath>
          </w:p>
        </w:tc>
      </w:tr>
      <w:tr>
        <w:tc>
          <w:tcPr>
            <w:tcW w:w="1250" w:type="dxa"/>
          </w:tcPr>
          <w:p>
            <w:pPr>
              <w:pStyle w:val="Compact"/>
              <w:jc w:val="left"/>
            </w:pPr>
            <w:r>
              <w:t xml:space="preserve">1</w:t>
            </w:r>
          </w:p>
        </w:tc>
        <w:tc>
          <w:tcPr>
            <w:tcW w:w="8388" w:type="dxa"/>
          </w:tcPr>
          <w:p>
            <w:pPr>
              <w:pStyle w:val="Compact"/>
              <w:jc w:val="left"/>
            </w:pPr>
            <m:oMath>
              <m:sSub>
                <m:e>
                  <m:r>
                    <m:t>M</m:t>
                  </m:r>
                </m:e>
                <m:sub>
                  <m:r>
                    <m:t>h</m:t>
                  </m:r>
                  <m:r>
                    <m:t>s</m:t>
                  </m:r>
                  <m:r>
                    <m:t>v</m:t>
                  </m:r>
                </m:sub>
              </m:sSub>
              <m:r>
                <m:t>←</m:t>
              </m:r>
            </m:oMath>
            <w:r>
              <w:t xml:space="preserve"> </w:t>
            </w:r>
            <w:r>
              <w:t xml:space="preserve">OR of the three hue-band masks of Section 3.1, each with</w:t>
            </w:r>
            <w:r>
              <w:t xml:space="preserve"> </w:t>
            </w:r>
            <m:oMath>
              <m:r>
                <m:t>V</m:t>
              </m:r>
              <m:r>
                <m:t>≥</m:t>
              </m:r>
              <m:r>
                <m:t>210</m:t>
              </m:r>
            </m:oMath>
          </w:p>
        </w:tc>
      </w:tr>
      <w:tr>
        <w:tc>
          <w:tcPr>
            <w:tcW w:w="1250" w:type="dxa"/>
          </w:tcPr>
          <w:p>
            <w:pPr>
              <w:pStyle w:val="Compact"/>
              <w:jc w:val="left"/>
            </w:pPr>
            <w:r>
              <w:t xml:space="preserve">2</w:t>
            </w:r>
          </w:p>
        </w:tc>
        <w:tc>
          <w:tcPr>
            <w:tcW w:w="8388" w:type="dxa"/>
          </w:tcPr>
          <w:p>
            <w:pPr>
              <w:pStyle w:val="Compact"/>
              <w:jc w:val="left"/>
            </w:pPr>
            <m:oMath>
              <m:sSub>
                <m:e>
                  <m:r>
                    <m:t>M</m:t>
                  </m:r>
                </m:e>
                <m:sub>
                  <m:r>
                    <m:t>r</m:t>
                  </m:r>
                  <m:r>
                    <m:t>g</m:t>
                  </m:r>
                  <m:r>
                    <m:t>b</m:t>
                  </m:r>
                </m:sub>
              </m:sSub>
              <m:r>
                <m:t>←</m:t>
              </m:r>
              <m:r>
                <m:t>(</m:t>
              </m:r>
              <m:r>
                <m:t>R</m:t>
              </m:r>
              <m:r>
                <m:t>&gt;</m:t>
              </m:r>
              <m:r>
                <m:t>G</m:t>
              </m:r>
              <m:r>
                <m:t>&gt;</m:t>
              </m:r>
              <m:r>
                <m:t>B</m:t>
              </m:r>
              <m:r>
                <m:t>)</m:t>
              </m:r>
              <m:r>
                <m:t>∧</m:t>
              </m:r>
              <m:r>
                <m:t>(</m:t>
              </m:r>
              <m:r>
                <m:t>R</m:t>
              </m:r>
              <m:r>
                <m:t>&gt;</m:t>
              </m:r>
              <m:r>
                <m:t>210</m:t>
              </m:r>
              <m:r>
                <m:t>)</m:t>
              </m:r>
              <m:r>
                <m:t>∧</m:t>
              </m:r>
              <m:r>
                <m:t>(</m:t>
              </m:r>
              <m:r>
                <m:t>G</m:t>
              </m:r>
              <m:r>
                <m:t>&gt;</m:t>
              </m:r>
              <m:r>
                <m:t>130</m:t>
              </m:r>
              <m:r>
                <m:t>)</m:t>
              </m:r>
            </m:oMath>
          </w:p>
        </w:tc>
      </w:tr>
      <w:tr>
        <w:tc>
          <w:tcPr>
            <w:tcW w:w="1250" w:type="dxa"/>
          </w:tcPr>
          <w:p>
            <w:pPr>
              <w:pStyle w:val="Compact"/>
              <w:jc w:val="left"/>
            </w:pPr>
            <w:r>
              <w:t xml:space="preserve">3</w:t>
            </w:r>
          </w:p>
        </w:tc>
        <w:tc>
          <w:tcPr>
            <w:tcW w:w="8388" w:type="dxa"/>
          </w:tcPr>
          <w:p>
            <w:pPr>
              <w:pStyle w:val="Compact"/>
              <w:jc w:val="left"/>
            </w:pPr>
            <m:oMath>
              <m:sSub>
                <m:e>
                  <m:r>
                    <m:t>M</m:t>
                  </m:r>
                </m:e>
                <m:sub>
                  <m:r>
                    <m:t>y</m:t>
                  </m:r>
                  <m:r>
                    <m:t>c</m:t>
                  </m:r>
                  <m:r>
                    <m:t>c</m:t>
                  </m:r>
                </m:sub>
              </m:sSub>
              <m:r>
                <m:t>←</m:t>
              </m:r>
              <m:r>
                <m:t>(</m:t>
              </m:r>
              <m:r>
                <m:t>C</m:t>
              </m:r>
              <m:r>
                <m:t>r</m:t>
              </m:r>
              <m:r>
                <m:t>&gt;</m:t>
              </m:r>
              <m:r>
                <m:t>150</m:t>
              </m:r>
              <m:r>
                <m:t>)</m:t>
              </m:r>
              <m:r>
                <m:t>∧</m:t>
              </m:r>
              <m:r>
                <m:t>(</m:t>
              </m:r>
              <m:r>
                <m:t>C</m:t>
              </m:r>
              <m:r>
                <m:t>r</m:t>
              </m:r>
              <m:r>
                <m:t>&gt;</m:t>
              </m:r>
              <m:r>
                <m:t>C</m:t>
              </m:r>
              <m:r>
                <m:t>b</m:t>
              </m:r>
              <m:r>
                <m:t>)</m:t>
              </m:r>
              <m:r>
                <m:t>∧</m:t>
              </m:r>
              <m:r>
                <m:t>(</m:t>
              </m:r>
              <m:r>
                <m:t>Y</m:t>
              </m:r>
              <m:r>
                <m:t>&gt;</m:t>
              </m:r>
              <m:r>
                <m:t>C</m:t>
              </m:r>
              <m:r>
                <m:t>b</m:t>
              </m:r>
              <m:r>
                <m:t>)</m:t>
              </m:r>
            </m:oMath>
          </w:p>
        </w:tc>
      </w:tr>
      <w:tr>
        <w:tc>
          <w:tcPr>
            <w:tcW w:w="1250" w:type="dxa"/>
          </w:tcPr>
          <w:p>
            <w:pPr>
              <w:pStyle w:val="Compact"/>
              <w:jc w:val="left"/>
            </w:pPr>
            <w:r>
              <w:t xml:space="preserve">4</w:t>
            </w:r>
          </w:p>
        </w:tc>
        <w:tc>
          <w:tcPr>
            <w:tcW w:w="8388" w:type="dxa"/>
          </w:tcPr>
          <w:p>
            <w:pPr>
              <w:pStyle w:val="Compact"/>
              <w:jc w:val="left"/>
            </w:pPr>
            <m:oMath>
              <m:r>
                <m:t>M</m:t>
              </m:r>
              <m:r>
                <m:t>←</m:t>
              </m:r>
              <m:sSub>
                <m:e>
                  <m:r>
                    <m:t>M</m:t>
                  </m:r>
                </m:e>
                <m:sub>
                  <m:r>
                    <m:t>h</m:t>
                  </m:r>
                  <m:r>
                    <m:t>s</m:t>
                  </m:r>
                  <m:r>
                    <m:t>v</m:t>
                  </m:r>
                </m:sub>
              </m:sSub>
              <m:r>
                <m:t>∧</m:t>
              </m:r>
              <m:sSub>
                <m:e>
                  <m:r>
                    <m:t>M</m:t>
                  </m:r>
                </m:e>
                <m:sub>
                  <m:r>
                    <m:t>r</m:t>
                  </m:r>
                  <m:r>
                    <m:t>g</m:t>
                  </m:r>
                  <m:r>
                    <m:t>b</m:t>
                  </m:r>
                </m:sub>
              </m:sSub>
              <m:r>
                <m:t>∧</m:t>
              </m:r>
              <m:sSub>
                <m:e>
                  <m:r>
                    <m:t>M</m:t>
                  </m:r>
                </m:e>
                <m:sub>
                  <m:r>
                    <m:t>y</m:t>
                  </m:r>
                  <m:r>
                    <m:t>c</m:t>
                  </m:r>
                  <m:r>
                    <m:t>c</m:t>
                  </m:r>
                </m:sub>
              </m:sSub>
            </m:oMath>
          </w:p>
        </w:tc>
      </w:tr>
      <w:tr>
        <w:tc>
          <w:tcPr>
            <w:tcW w:w="1250" w:type="dxa"/>
          </w:tcPr>
          <w:p>
            <w:pPr>
              <w:pStyle w:val="Compact"/>
              <w:jc w:val="left"/>
            </w:pPr>
            <w:r>
              <w:t xml:space="preserve">5</w:t>
            </w:r>
          </w:p>
        </w:tc>
        <w:tc>
          <w:tcPr>
            <w:tcW w:w="8388" w:type="dxa"/>
          </w:tcPr>
          <w:p>
            <w:pPr>
              <w:pStyle w:val="Compact"/>
              <w:jc w:val="left"/>
            </w:pPr>
            <m:oMath>
              <m:sSub>
                <m:e>
                  <m:r>
                    <m:t>M</m:t>
                  </m:r>
                </m:e>
                <m:sub>
                  <m:r>
                    <m:t>w</m:t>
                  </m:r>
                  <m:r>
                    <m:t>h</m:t>
                  </m:r>
                </m:sub>
              </m:sSub>
              <m:r>
                <m:t>←</m:t>
              </m:r>
              <m:r>
                <m:rPr>
                  <m:sty m:val="p"/>
                </m:rPr>
                <m:t>e</m:t>
              </m:r>
              <m:r>
                <m:rPr>
                  <m:sty m:val="p"/>
                </m:rPr>
                <m:t>r</m:t>
              </m:r>
              <m:r>
                <m:rPr>
                  <m:sty m:val="p"/>
                </m:rPr>
                <m:t>o</m:t>
              </m:r>
              <m:r>
                <m:rPr>
                  <m:sty m:val="p"/>
                </m:rPr>
                <m:t>d</m:t>
              </m:r>
              <m:r>
                <m:rPr>
                  <m:sty m:val="p"/>
                </m:rPr>
                <m:t>e</m:t>
              </m:r>
              <m:r>
                <m:t>(</m:t>
              </m:r>
              <m:r>
                <m:t>(</m:t>
              </m:r>
              <m:r>
                <m:t>R</m:t>
              </m:r>
              <m:r>
                <m:t>&gt;</m:t>
              </m:r>
              <m:r>
                <m:t>240</m:t>
              </m:r>
              <m:r>
                <m:t>)</m:t>
              </m:r>
              <m:r>
                <m:t>∧</m:t>
              </m:r>
              <m:r>
                <m:t>(</m:t>
              </m:r>
              <m:r>
                <m:t>G</m:t>
              </m:r>
              <m:r>
                <m:t>&gt;</m:t>
              </m:r>
              <m:r>
                <m:t>230</m:t>
              </m:r>
              <m:r>
                <m:t>)</m:t>
              </m:r>
              <m:r>
                <m:t>∧</m:t>
              </m:r>
              <m:r>
                <m:t>(</m:t>
              </m:r>
              <m:r>
                <m:t>B</m:t>
              </m:r>
              <m:r>
                <m:t>&gt;</m:t>
              </m:r>
              <m:r>
                <m:t>200</m:t>
              </m:r>
              <m:r>
                <m:t>)</m:t>
              </m:r>
              <m:r>
                <m:t>,</m:t>
              </m:r>
              <m:r>
                <m:t> </m:t>
              </m:r>
              <m:r>
                <m:t>15</m:t>
              </m:r>
              <m:r>
                <m:t>×</m:t>
              </m:r>
              <m:r>
                <m:t>15</m:t>
              </m:r>
              <m:r>
                <m:t>)</m:t>
              </m:r>
            </m:oMath>
            <w:r>
              <w:t xml:space="preserve">;  </w:t>
            </w:r>
            <w:r>
              <w:t xml:space="preserve"> </w:t>
            </w:r>
            <m:oMath>
              <m:r>
                <m:t>M</m:t>
              </m:r>
              <m:r>
                <m:t>←</m:t>
              </m:r>
              <m:r>
                <m:t>M</m:t>
              </m:r>
              <m:r>
                <m:t>∨</m:t>
              </m:r>
              <m:sSub>
                <m:e>
                  <m:r>
                    <m:t>M</m:t>
                  </m:r>
                </m:e>
                <m:sub>
                  <m:r>
                    <m:t>w</m:t>
                  </m:r>
                  <m:r>
                    <m:t>h</m:t>
                  </m:r>
                </m:sub>
              </m:sSub>
            </m:oMath>
          </w:p>
        </w:tc>
      </w:tr>
      <w:tr>
        <w:tc>
          <w:tcPr>
            <w:tcW w:w="1250" w:type="dxa"/>
          </w:tcPr>
          <w:p>
            <w:pPr>
              <w:pStyle w:val="Compact"/>
              <w:jc w:val="left"/>
            </w:pPr>
            <w:r>
              <w:t xml:space="preserve">6</w:t>
            </w:r>
          </w:p>
        </w:tc>
        <w:tc>
          <w:tcPr>
            <w:tcW w:w="8388" w:type="dxa"/>
          </w:tcPr>
          <w:p>
            <w:pPr>
              <w:pStyle w:val="Compact"/>
              <w:jc w:val="left"/>
            </w:pPr>
            <m:oMath>
              <m:r>
                <m:t>M</m:t>
              </m:r>
              <m:r>
                <m:t>←</m:t>
              </m:r>
              <m:sSubSup>
                <m:e>
                  <m:r>
                    <m:rPr>
                      <m:sty m:val="p"/>
                    </m:rPr>
                    <m:t>d</m:t>
                  </m:r>
                  <m:r>
                    <m:rPr>
                      <m:sty m:val="p"/>
                    </m:rPr>
                    <m:t>i</m:t>
                  </m:r>
                  <m:r>
                    <m:rPr>
                      <m:sty m:val="p"/>
                    </m:rPr>
                    <m:t>l</m:t>
                  </m:r>
                  <m:r>
                    <m:rPr>
                      <m:sty m:val="p"/>
                    </m:rPr>
                    <m:t>a</m:t>
                  </m:r>
                  <m:r>
                    <m:rPr>
                      <m:sty m:val="p"/>
                    </m:rPr>
                    <m:t>t</m:t>
                  </m:r>
                  <m:r>
                    <m:rPr>
                      <m:sty m:val="p"/>
                    </m:rPr>
                    <m:t>e</m:t>
                  </m:r>
                </m:e>
                <m:sub>
                  <m:r>
                    <m:t>15</m:t>
                  </m:r>
                  <m:r>
                    <m:t>×</m:t>
                  </m:r>
                  <m:r>
                    <m:t>15</m:t>
                  </m:r>
                </m:sub>
                <m:sup>
                  <m:r>
                    <m:t>×</m:t>
                  </m:r>
                  <m:r>
                    <m:t>2</m:t>
                  </m:r>
                </m:sup>
              </m:sSubSup>
              <m:r>
                <m:t>(</m:t>
              </m:r>
              <m:sSub>
                <m:e>
                  <m:r>
                    <m:rPr>
                      <m:sty m:val="p"/>
                    </m:rPr>
                    <m:t>o</m:t>
                  </m:r>
                  <m:r>
                    <m:rPr>
                      <m:sty m:val="p"/>
                    </m:rPr>
                    <m:t>p</m:t>
                  </m:r>
                  <m:r>
                    <m:rPr>
                      <m:sty m:val="p"/>
                    </m:rPr>
                    <m:t>e</m:t>
                  </m:r>
                  <m:r>
                    <m:rPr>
                      <m:sty m:val="p"/>
                    </m:rPr>
                    <m:t>n</m:t>
                  </m:r>
                </m:e>
                <m:sub>
                  <m:r>
                    <m:t>5</m:t>
                  </m:r>
                  <m:r>
                    <m:t>×</m:t>
                  </m:r>
                  <m:r>
                    <m:t>5</m:t>
                  </m:r>
                </m:sub>
              </m:sSub>
              <m:r>
                <m:t>(</m:t>
              </m:r>
              <m:sSub>
                <m:e>
                  <m:r>
                    <m:rPr>
                      <m:sty m:val="p"/>
                    </m:rPr>
                    <m:t>c</m:t>
                  </m:r>
                  <m:r>
                    <m:rPr>
                      <m:sty m:val="p"/>
                    </m:rPr>
                    <m:t>l</m:t>
                  </m:r>
                  <m:r>
                    <m:rPr>
                      <m:sty m:val="p"/>
                    </m:rPr>
                    <m:t>o</m:t>
                  </m:r>
                  <m:r>
                    <m:rPr>
                      <m:sty m:val="p"/>
                    </m:rPr>
                    <m:t>s</m:t>
                  </m:r>
                  <m:r>
                    <m:rPr>
                      <m:sty m:val="p"/>
                    </m:rPr>
                    <m:t>e</m:t>
                  </m:r>
                </m:e>
                <m:sub>
                  <m:r>
                    <m:t>15</m:t>
                  </m:r>
                  <m:r>
                    <m:t>×</m:t>
                  </m:r>
                  <m:r>
                    <m:t>15</m:t>
                  </m:r>
                </m:sub>
              </m:sSub>
              <m:r>
                <m:t>(</m:t>
              </m:r>
              <m:r>
                <m:t>M</m:t>
              </m:r>
              <m:r>
                <m:t>)</m:t>
              </m:r>
              <m:r>
                <m:t>)</m:t>
              </m:r>
              <m:r>
                <m:t>)</m:t>
              </m:r>
            </m:oMath>
          </w:p>
        </w:tc>
      </w:tr>
      <w:tr>
        <w:tc>
          <w:tcPr>
            <w:tcW w:w="1250" w:type="dxa"/>
          </w:tcPr>
          <w:p>
            <w:pPr>
              <w:pStyle w:val="Compact"/>
              <w:jc w:val="left"/>
            </w:pPr>
            <w:r>
              <w:t xml:space="preserve">7</w:t>
            </w:r>
          </w:p>
        </w:tc>
        <w:tc>
          <w:tcPr>
            <w:tcW w:w="8388" w:type="dxa"/>
          </w:tcPr>
          <w:p>
            <w:pPr>
              <w:pStyle w:val="Compact"/>
              <w:jc w:val="left"/>
            </w:pPr>
            <w:r>
              <w:rPr>
                <w:b/>
              </w:rPr>
              <w:t xml:space="preserve">if</w:t>
            </w:r>
            <w:r>
              <w:t xml:space="preserve"> </w:t>
            </w:r>
            <m:oMath>
              <m:sSub>
                <m:e>
                  <m:r>
                    <m:t>F</m:t>
                  </m:r>
                </m:e>
                <m:sub>
                  <m:r>
                    <m:t>p</m:t>
                  </m:r>
                  <m:r>
                    <m:t>r</m:t>
                  </m:r>
                  <m:r>
                    <m:t>e</m:t>
                  </m:r>
                  <m:r>
                    <m:t>v</m:t>
                  </m:r>
                </m:sub>
              </m:sSub>
              <m:r>
                <m:t>≠</m:t>
              </m:r>
              <m:r>
                <m:t>∅</m:t>
              </m:r>
            </m:oMath>
            <w:r>
              <w:t xml:space="preserve"> </w:t>
            </w:r>
            <w:r>
              <w:rPr>
                <w:b/>
              </w:rPr>
              <w:t xml:space="preserve">then</w:t>
            </w:r>
            <w:r>
              <w:t xml:space="preserve"> </w:t>
            </w:r>
            <m:oMath>
              <m:sSub>
                <m:e>
                  <m:r>
                    <m:t>M</m:t>
                  </m:r>
                </m:e>
                <m:sub>
                  <m:r>
                    <m:t>f</m:t>
                  </m:r>
                  <m:r>
                    <m:t>l</m:t>
                  </m:r>
                  <m:r>
                    <m:t>i</m:t>
                  </m:r>
                  <m:r>
                    <m:t>c</m:t>
                  </m:r>
                  <m:r>
                    <m:t>k</m:t>
                  </m:r>
                </m:sub>
              </m:sSub>
              <m:r>
                <m:t>←</m:t>
              </m:r>
              <m:sSub>
                <m:e>
                  <m:r>
                    <m:rPr>
                      <m:sty m:val="p"/>
                    </m:rPr>
                    <m:t>c</m:t>
                  </m:r>
                  <m:r>
                    <m:rPr>
                      <m:sty m:val="p"/>
                    </m:rPr>
                    <m:t>l</m:t>
                  </m:r>
                  <m:r>
                    <m:rPr>
                      <m:sty m:val="p"/>
                    </m:rPr>
                    <m:t>o</m:t>
                  </m:r>
                  <m:r>
                    <m:rPr>
                      <m:sty m:val="p"/>
                    </m:rPr>
                    <m:t>s</m:t>
                  </m:r>
                  <m:r>
                    <m:rPr>
                      <m:sty m:val="p"/>
                    </m:rPr>
                    <m:t>e</m:t>
                  </m:r>
                </m:e>
                <m:sub>
                  <m:r>
                    <m:t>7</m:t>
                  </m:r>
                  <m:r>
                    <m:t>×</m:t>
                  </m:r>
                  <m:r>
                    <m:t>7</m:t>
                  </m:r>
                </m:sub>
              </m:sSub>
              <m:r>
                <m:t>(</m:t>
              </m:r>
              <m:r>
                <m:t>|</m:t>
              </m:r>
              <m:r>
                <m:t>F</m:t>
              </m:r>
              <m:r>
                <m:t>−</m:t>
              </m:r>
              <m:sSub>
                <m:e>
                  <m:r>
                    <m:t>F</m:t>
                  </m:r>
                </m:e>
                <m:sub>
                  <m:r>
                    <m:t>p</m:t>
                  </m:r>
                  <m:r>
                    <m:t>r</m:t>
                  </m:r>
                  <m:r>
                    <m:t>e</m:t>
                  </m:r>
                  <m:r>
                    <m:t>v</m:t>
                  </m:r>
                </m:sub>
              </m:sSub>
              <m:r>
                <m:t>|</m:t>
              </m:r>
              <m:r>
                <m:t>&gt;</m:t>
              </m:r>
              <m:sSub>
                <m:e>
                  <m:r>
                    <m:t>τ</m:t>
                  </m:r>
                </m:e>
                <m:sub>
                  <m:r>
                    <m:t>m</m:t>
                  </m:r>
                  <m:r>
                    <m:t>o</m:t>
                  </m:r>
                  <m:r>
                    <m:t>t</m:t>
                  </m:r>
                  <m:r>
                    <m:t>i</m:t>
                  </m:r>
                  <m:r>
                    <m:t>o</m:t>
                  </m:r>
                  <m:r>
                    <m:t>n</m:t>
                  </m:r>
                </m:sub>
              </m:sSub>
              <m:r>
                <m:t>)</m:t>
              </m:r>
            </m:oMath>
            <w:r>
              <w:t xml:space="preserve"> </w:t>
            </w:r>
            <w:r>
              <w:rPr>
                <w:b/>
              </w:rPr>
              <w:t xml:space="preserve">else</w:t>
            </w:r>
            <w:r>
              <w:t xml:space="preserve"> </w:t>
            </w:r>
            <m:oMath>
              <m:sSub>
                <m:e>
                  <m:r>
                    <m:t>M</m:t>
                  </m:r>
                </m:e>
                <m:sub>
                  <m:r>
                    <m:t>f</m:t>
                  </m:r>
                  <m:r>
                    <m:t>l</m:t>
                  </m:r>
                  <m:r>
                    <m:t>i</m:t>
                  </m:r>
                  <m:r>
                    <m:t>c</m:t>
                  </m:r>
                  <m:r>
                    <m:t>k</m:t>
                  </m:r>
                </m:sub>
              </m:sSub>
              <m:r>
                <m:t>←</m:t>
              </m:r>
              <m:r>
                <m:t>∅</m:t>
              </m:r>
            </m:oMath>
            <w:r>
              <w:t xml:space="preserve"> </w:t>
            </w:r>
            <w:r>
              <w:t xml:space="preserve"> (on grayscale frames)</w:t>
            </w:r>
          </w:p>
        </w:tc>
      </w:tr>
      <w:tr>
        <w:tc>
          <w:tcPr>
            <w:tcW w:w="1250" w:type="dxa"/>
          </w:tcPr>
          <w:p>
            <w:pPr>
              <w:pStyle w:val="Compact"/>
              <w:jc w:val="left"/>
            </w:pPr>
            <w:r>
              <w:t xml:space="preserve">8</w:t>
            </w:r>
          </w:p>
        </w:tc>
        <w:tc>
          <w:tcPr>
            <w:tcW w:w="8388" w:type="dxa"/>
          </w:tcPr>
          <w:p>
            <w:pPr>
              <w:pStyle w:val="Compact"/>
              <w:jc w:val="left"/>
            </w:pPr>
            <w:r>
              <w:rPr>
                <w:b/>
              </w:rPr>
              <w:t xml:space="preserve">for each</w:t>
            </w:r>
            <w:r>
              <w:t xml:space="preserve"> </w:t>
            </w:r>
            <w:r>
              <w:t xml:space="preserve">external contour</w:t>
            </w:r>
            <w:r>
              <w:t xml:space="preserve"> </w:t>
            </w:r>
            <m:oMath>
              <m:r>
                <m:t>c</m:t>
              </m:r>
            </m:oMath>
            <w:r>
              <w:t xml:space="preserve"> </w:t>
            </w:r>
            <w:r>
              <w:t xml:space="preserve">of</w:t>
            </w:r>
            <w:r>
              <w:t xml:space="preserve"> </w:t>
            </w:r>
            <m:oMath>
              <m:r>
                <m:t>M</m:t>
              </m:r>
            </m:oMath>
            <w:r>
              <w:t xml:space="preserve"> </w:t>
            </w:r>
            <w:r>
              <w:t xml:space="preserve">with area</w:t>
            </w:r>
            <w:r>
              <w:t xml:space="preserve"> </w:t>
            </w:r>
            <m:oMath>
              <m:r>
                <m:t>&gt;</m:t>
              </m:r>
              <m:sSub>
                <m:e>
                  <m:r>
                    <m:t>A</m:t>
                  </m:r>
                </m:e>
                <m:sub>
                  <m:r>
                    <m:t>m</m:t>
                  </m:r>
                  <m:r>
                    <m:t>i</m:t>
                  </m:r>
                  <m:r>
                    <m:t>n</m:t>
                  </m:r>
                </m:sub>
              </m:sSub>
              <m:r>
                <m:t>(</m:t>
              </m:r>
              <m:r>
                <m:t>h</m:t>
              </m:r>
              <m:r>
                <m:t>)</m:t>
              </m:r>
            </m:oMath>
            <w:r>
              <w:t xml:space="preserve"> </w:t>
            </w:r>
            <w:r>
              <w:t xml:space="preserve"> </w:t>
            </w:r>
            <w:r>
              <w:rPr>
                <w:i/>
              </w:rPr>
              <w:t xml:space="preserve">(Eq. 2)</w:t>
            </w:r>
            <w:r>
              <w:t xml:space="preserve"> </w:t>
            </w:r>
            <w:r>
              <w:rPr>
                <w:b/>
              </w:rPr>
              <w:t xml:space="preserve">do</w:t>
            </w:r>
          </w:p>
        </w:tc>
      </w:tr>
      <w:tr>
        <w:tc>
          <w:tcPr>
            <w:tcW w:w="1250" w:type="dxa"/>
          </w:tcPr>
          <w:p>
            <w:pPr>
              <w:pStyle w:val="Compact"/>
              <w:jc w:val="left"/>
            </w:pPr>
            <w:r>
              <w:t xml:space="preserve">9</w:t>
            </w:r>
          </w:p>
        </w:tc>
        <w:tc>
          <w:tcPr>
            <w:tcW w:w="8388" w:type="dxa"/>
          </w:tcPr>
          <w:p>
            <w:pPr>
              <w:pStyle w:val="Compact"/>
              <w:jc w:val="left"/>
            </w:pPr>
            <w:r>
              <w:t xml:space="preserve">   </w:t>
            </w:r>
            <m:oMath>
              <m:r>
                <m:t>s</m:t>
              </m:r>
              <m:r>
                <m:t>←</m:t>
              </m:r>
              <m:r>
                <m:rPr>
                  <m:sty m:val="p"/>
                </m:rPr>
                <m:t>a</m:t>
              </m:r>
              <m:r>
                <m:rPr>
                  <m:sty m:val="p"/>
                </m:rPr>
                <m:t>r</m:t>
              </m:r>
              <m:r>
                <m:rPr>
                  <m:sty m:val="p"/>
                </m:rPr>
                <m:t>e</m:t>
              </m:r>
              <m:r>
                <m:rPr>
                  <m:sty m:val="p"/>
                </m:rPr>
                <m:t>a</m:t>
              </m:r>
              <m:r>
                <m:t>(</m:t>
              </m:r>
              <m:r>
                <m:t>c</m:t>
              </m:r>
              <m:r>
                <m:t>)</m:t>
              </m:r>
              <m:r>
                <m:t>/</m:t>
              </m:r>
              <m:r>
                <m:rPr>
                  <m:sty m:val="p"/>
                </m:rPr>
                <m:t>a</m:t>
              </m:r>
              <m:r>
                <m:rPr>
                  <m:sty m:val="p"/>
                </m:rPr>
                <m:t>r</m:t>
              </m:r>
              <m:r>
                <m:rPr>
                  <m:sty m:val="p"/>
                </m:rPr>
                <m:t>e</m:t>
              </m:r>
              <m:r>
                <m:rPr>
                  <m:sty m:val="p"/>
                </m:rPr>
                <m:t>a</m:t>
              </m:r>
              <m:r>
                <m:t>(</m:t>
              </m:r>
              <m:r>
                <m:rPr>
                  <m:sty m:val="p"/>
                </m:rPr>
                <m:t>c</m:t>
              </m:r>
              <m:r>
                <m:rPr>
                  <m:sty m:val="p"/>
                </m:rPr>
                <m:t>o</m:t>
              </m:r>
              <m:r>
                <m:rPr>
                  <m:sty m:val="p"/>
                </m:rPr>
                <m:t>n</m:t>
              </m:r>
              <m:r>
                <m:rPr>
                  <m:sty m:val="p"/>
                </m:rPr>
                <m:t>v</m:t>
              </m:r>
              <m:r>
                <m:rPr>
                  <m:sty m:val="p"/>
                </m:rPr>
                <m:t>e</m:t>
              </m:r>
              <m:r>
                <m:rPr>
                  <m:sty m:val="p"/>
                </m:rPr>
                <m:t>x</m:t>
              </m:r>
              <m:r>
                <m:rPr>
                  <m:sty m:val="p"/>
                </m:rPr>
                <m:t>H</m:t>
              </m:r>
              <m:r>
                <m:rPr>
                  <m:sty m:val="p"/>
                </m:rPr>
                <m:t>u</m:t>
              </m:r>
              <m:r>
                <m:rPr>
                  <m:sty m:val="p"/>
                </m:rPr>
                <m:t>l</m:t>
              </m:r>
              <m:r>
                <m:rPr>
                  <m:sty m:val="p"/>
                </m:rPr>
                <m:t>l</m:t>
              </m:r>
              <m:r>
                <m:t>(</m:t>
              </m:r>
              <m:r>
                <m:t>c</m:t>
              </m:r>
              <m:r>
                <m:t>)</m:t>
              </m:r>
              <m:r>
                <m:t>)</m:t>
              </m:r>
            </m:oMath>
            <w:r>
              <w:t xml:space="preserve">;  </w:t>
            </w:r>
            <w:r>
              <w:t xml:space="preserve"> </w:t>
            </w:r>
            <m:oMath>
              <m:r>
                <m:t>ρ</m:t>
              </m:r>
              <m:r>
                <m:t>←</m:t>
              </m:r>
            </m:oMath>
            <w:r>
              <w:t xml:space="preserve"> </w:t>
            </w:r>
            <w:r>
              <w:t xml:space="preserve">mean of</w:t>
            </w:r>
            <w:r>
              <w:t xml:space="preserve"> </w:t>
            </w:r>
            <m:oMath>
              <m:sSub>
                <m:e>
                  <m:r>
                    <m:t>M</m:t>
                  </m:r>
                </m:e>
                <m:sub>
                  <m:r>
                    <m:t>f</m:t>
                  </m:r>
                  <m:r>
                    <m:t>l</m:t>
                  </m:r>
                  <m:r>
                    <m:t>i</m:t>
                  </m:r>
                  <m:r>
                    <m:t>c</m:t>
                  </m:r>
                  <m:r>
                    <m:t>k</m:t>
                  </m:r>
                </m:sub>
              </m:sSub>
            </m:oMath>
            <w:r>
              <w:t xml:space="preserve"> </w:t>
            </w:r>
            <w:r>
              <w:t xml:space="preserve">in the box of</w:t>
            </w:r>
            <w:r>
              <w:t xml:space="preserve"> </w:t>
            </w:r>
            <m:oMath>
              <m:r>
                <m:t>c</m:t>
              </m:r>
            </m:oMath>
          </w:p>
        </w:tc>
      </w:tr>
      <w:tr>
        <w:tc>
          <w:tcPr>
            <w:tcW w:w="1250" w:type="dxa"/>
          </w:tcPr>
          <w:p>
            <w:pPr>
              <w:pStyle w:val="Compact"/>
              <w:jc w:val="left"/>
            </w:pPr>
            <w:r>
              <w:t xml:space="preserve">10</w:t>
            </w:r>
          </w:p>
        </w:tc>
        <w:tc>
          <w:tcPr>
            <w:tcW w:w="8388" w:type="dxa"/>
          </w:tcPr>
          <w:p>
            <w:pPr>
              <w:pStyle w:val="Compact"/>
              <w:jc w:val="left"/>
            </w:pPr>
            <w:r>
              <w:t xml:space="preserve">   compute</w:t>
            </w:r>
            <w:r>
              <w:t xml:space="preserve"> </w:t>
            </w:r>
            <m:oMath>
              <m:sSub>
                <m:e>
                  <m:r>
                    <m:t>C</m:t>
                  </m:r>
                </m:e>
                <m:sub>
                  <m:r>
                    <m:t>a</m:t>
                  </m:r>
                  <m:r>
                    <m:t>l</m:t>
                  </m:r>
                  <m:r>
                    <m:t>g</m:t>
                  </m:r>
                </m:sub>
              </m:sSub>
            </m:oMath>
            <w:r>
              <w:t xml:space="preserve"> </w:t>
            </w:r>
            <w:r>
              <w:t xml:space="preserve">by Eq. (1);  </w:t>
            </w:r>
            <w:r>
              <w:rPr>
                <w:b/>
              </w:rPr>
              <w:t xml:space="preserve">if</w:t>
            </w:r>
            <w:r>
              <w:t xml:space="preserve"> </w:t>
            </w:r>
            <m:oMath>
              <m:sSub>
                <m:e>
                  <m:r>
                    <m:t>C</m:t>
                  </m:r>
                </m:e>
                <m:sub>
                  <m:r>
                    <m:t>a</m:t>
                  </m:r>
                  <m:r>
                    <m:t>l</m:t>
                  </m:r>
                  <m:r>
                    <m:t>g</m:t>
                  </m:r>
                </m:sub>
              </m:sSub>
              <m:r>
                <m:t>≥</m:t>
              </m:r>
              <m:r>
                <m:t>0.50</m:t>
              </m:r>
            </m:oMath>
            <w:r>
              <w:t xml:space="preserve"> </w:t>
            </w:r>
            <w:r>
              <w:rPr>
                <w:b/>
              </w:rPr>
              <w:t xml:space="preserve">then</w:t>
            </w:r>
            <w:r>
              <w:t xml:space="preserve"> </w:t>
            </w:r>
            <w:r>
              <w:t xml:space="preserve">emit the box</w:t>
            </w:r>
          </w:p>
        </w:tc>
      </w:tr>
      <w:tr>
        <w:tc>
          <w:tcPr>
            <w:tcW w:w="1250" w:type="dxa"/>
          </w:tcPr>
          <w:p>
            <w:pPr>
              <w:pStyle w:val="Compact"/>
              <w:jc w:val="left"/>
            </w:pPr>
            <w:r>
              <w:t xml:space="preserve">11</w:t>
            </w:r>
          </w:p>
        </w:tc>
        <w:tc>
          <w:tcPr>
            <w:tcW w:w="8388" w:type="dxa"/>
          </w:tcPr>
          <w:p>
            <w:pPr>
              <w:pStyle w:val="Compact"/>
              <w:jc w:val="left"/>
            </w:pPr>
            <w:r>
              <w:t xml:space="preserve">discard any box more than 30% contained in a larger box  </w:t>
            </w:r>
            <w:r>
              <w:rPr>
                <w:i/>
              </w:rPr>
              <w:t xml:space="preserve">(asymmetric overlap, Section 3.3)</w:t>
            </w:r>
          </w:p>
        </w:tc>
      </w:tr>
      <w:tr>
        <w:tc>
          <w:tcPr>
            <w:tcW w:w="1250" w:type="dxa"/>
          </w:tcPr>
          <w:p>
            <w:pPr>
              <w:pStyle w:val="Compact"/>
              <w:jc w:val="left"/>
            </w:pPr>
            <w:r>
              <w:t xml:space="preserve">12</w:t>
            </w:r>
          </w:p>
        </w:tc>
        <w:tc>
          <w:tcPr>
            <w:tcW w:w="8388" w:type="dxa"/>
          </w:tcPr>
          <w:p>
            <w:pPr>
              <w:pStyle w:val="Compact"/>
              <w:jc w:val="left"/>
            </w:pPr>
            <w:r>
              <w:t xml:space="preserve">merge boxes separated by at most</w:t>
            </w:r>
            <w:r>
              <w:t xml:space="preserve"> </w:t>
            </w:r>
            <m:oMath>
              <m:sSub>
                <m:e>
                  <m:r>
                    <m:t>d</m:t>
                  </m:r>
                </m:e>
                <m:sub>
                  <m:r>
                    <m:t>m</m:t>
                  </m:r>
                  <m:r>
                    <m:t>e</m:t>
                  </m:r>
                  <m:r>
                    <m:t>r</m:t>
                  </m:r>
                  <m:r>
                    <m:t>g</m:t>
                  </m:r>
                  <m:r>
                    <m:t>e</m:t>
                  </m:r>
                </m:sub>
              </m:sSub>
              <m:r>
                <m:t>(</m:t>
              </m:r>
              <m:r>
                <m:t>h</m:t>
              </m:r>
              <m:r>
                <m:t>)</m:t>
              </m:r>
            </m:oMath>
            <w:r>
              <w:t xml:space="preserve"> </w:t>
            </w:r>
            <w:r>
              <w:t xml:space="preserve"> </w:t>
            </w:r>
            <w:r>
              <w:rPr>
                <w:i/>
              </w:rPr>
              <w:t xml:space="preserve">(Eq. 3)</w:t>
            </w:r>
            <w:r>
              <w:t xml:space="preserve">, iterating to a fixed point</w:t>
            </w:r>
          </w:p>
        </w:tc>
      </w:tr>
    </w:tbl>
    <w:p>
      <w:pPr>
        <w:pStyle w:val="BodyText"/>
      </w:pPr>
      <w:r>
        <w:t xml:space="preserve">Note: For a frame of</w:t>
      </w:r>
      <w:r>
        <w:t xml:space="preserve"> </w:t>
      </w:r>
      <m:oMath>
        <m:r>
          <m:t>W</m:t>
        </m:r>
        <m:r>
          <m:t>×</m:t>
        </m:r>
        <m:r>
          <m:t>H</m:t>
        </m:r>
      </m:oMath>
      <w:r>
        <w:t xml:space="preserve"> </w:t>
      </w:r>
      <w:r>
        <w:t xml:space="preserve">pixels, a structuring element of side</w:t>
      </w:r>
      <w:r>
        <w:t xml:space="preserve"> </w:t>
      </w:r>
      <m:oMath>
        <m:r>
          <m:t>k</m:t>
        </m:r>
      </m:oMath>
      <w:r>
        <w:t xml:space="preserve"> </w:t>
      </w:r>
      <w:r>
        <w:t xml:space="preserve">and</w:t>
      </w:r>
      <w:r>
        <w:t xml:space="preserve"> </w:t>
      </w:r>
      <m:oMath>
        <m:r>
          <m:t>m</m:t>
        </m:r>
      </m:oMath>
      <w:r>
        <w:t xml:space="preserve"> </w:t>
      </w:r>
      <w:r>
        <w:t xml:space="preserve">surviving boxes, steps 1 to 7 cost</w:t>
      </w:r>
      <w:r>
        <w:t xml:space="preserve"> </w:t>
      </w:r>
      <m:oMath>
        <m:r>
          <m:t>O</m:t>
        </m:r>
        <m:r>
          <m:t>(</m:t>
        </m:r>
        <m:r>
          <m:t>W</m:t>
        </m:r>
        <m:r>
          <m:t>H</m:t>
        </m:r>
        <m:sSup>
          <m:e>
            <m:r>
              <m:t>k</m:t>
            </m:r>
          </m:e>
          <m:sup>
            <m:r>
              <m:t>2</m:t>
            </m:r>
          </m:sup>
        </m:sSup>
        <m:r>
          <m:t>)</m:t>
        </m:r>
      </m:oMath>
      <w:r>
        <w:t xml:space="preserve">, step 8 costs</w:t>
      </w:r>
      <w:r>
        <w:t xml:space="preserve"> </w:t>
      </w:r>
      <m:oMath>
        <m:r>
          <m:t>O</m:t>
        </m:r>
        <m:r>
          <m:t>(</m:t>
        </m:r>
        <m:r>
          <m:t>W</m:t>
        </m:r>
        <m:r>
          <m:t>H</m:t>
        </m:r>
        <m:r>
          <m:t>)</m:t>
        </m:r>
      </m:oMath>
      <w:r>
        <w:t xml:space="preserve">, step 11 costs</w:t>
      </w:r>
      <w:r>
        <w:t xml:space="preserve"> </w:t>
      </w:r>
      <m:oMath>
        <m:r>
          <m:t>O</m:t>
        </m:r>
        <m:r>
          <m:t>(</m:t>
        </m:r>
        <m:sSup>
          <m:e>
            <m:r>
              <m:t>m</m:t>
            </m:r>
          </m:e>
          <m:sup>
            <m:r>
              <m:t>2</m:t>
            </m:r>
          </m:sup>
        </m:sSup>
        <m:r>
          <m:t>)</m:t>
        </m:r>
      </m:oMath>
      <w:r>
        <w:t xml:space="preserve"> </w:t>
      </w:r>
      <w:r>
        <w:t xml:space="preserve">and step 12 costs</w:t>
      </w:r>
      <w:r>
        <w:t xml:space="preserve"> </w:t>
      </w:r>
      <m:oMath>
        <m:r>
          <m:t>O</m:t>
        </m:r>
        <m:r>
          <m:t>(</m:t>
        </m:r>
        <m:sSup>
          <m:e>
            <m:r>
              <m:t>m</m:t>
            </m:r>
          </m:e>
          <m:sup>
            <m:r>
              <m:t>3</m:t>
            </m:r>
          </m:sup>
        </m:sSup>
        <m:r>
          <m:t>)</m:t>
        </m:r>
      </m:oMath>
      <w:r>
        <w:t xml:space="preserve"> </w:t>
      </w:r>
      <w:r>
        <w:t xml:space="preserve">in the worst case. Which term dominates therefore depends on the input size. In the 640 × 480 configuration the box count is small enough that the pixel stages dominate: the diagnostic of Section 4.3 emits 645 boxes before suppression over 251 no-fire images, under three per image. At native resolution the same diagnostic emits 11122, roughly forty per image, and the cubic merge term is no longer negligible. This is the same resolution sensitivity that Section 4.3 measures on the decisions.</w:t>
      </w:r>
    </w:p>
    <w:p>
      <w:pPr>
        <w:pStyle w:val="Heading3"/>
      </w:pPr>
      <w:bookmarkStart w:id="27" w:name="visualization-and-explainability-modes"/>
      <w:r>
        <w:t xml:space="preserve">3.4 Visualization and Explainability Modes</w:t>
      </w:r>
      <w:bookmarkEnd w:id="27"/>
    </w:p>
    <w:p>
      <w:pPr>
        <w:pStyle w:val="FirstParagraph"/>
      </w:pPr>
      <w:r>
        <w:t xml:space="preserve">The architecture provides four visualization and processing modes for diverse lighting conditions and nocturnal deployments, enumerated below. The payload can programmatically cycle between standard optical RGB, a Grad-CAM overlay, a simulated JET colormap for visualization, and an enhanced night-vision mode that applies contrast limited adaptive histogram equalization (CLAHE) [32] with a clip limit of 3.0 on an 8 × 8 tile grid, followed by a green-phosphor luminance adjustment. These modes allow the operator display to remain interpretable when visible-spectrum constraints such as dense smoke or night flight suppress standard RGB thresholds, as illustrated in Figs. 1 to 4. The JET and night-vision modes are post-capture transformations of an optical frame; the JET colormap in particular is a false-color rendering of grayscale intensity and does not represent measurements from a physical thermal sensor. All quantitative results in Section 4 were obtained in the standard optical RGB mode.</w:t>
      </w:r>
    </w:p>
    <w:p>
      <w:pPr>
        <w:pStyle w:val="BodyText"/>
      </w:pPr>
      <w:r>
        <w:t xml:space="preserve">The three non-RGB modes are specified here at the level of the operations the released viewer performs, so that a panel can be checked rather than taken on trust. The night-vision mode converts the frame to the CIELAB space, applies CLAHE to the lightness channel alone under the clip limit and tile grid given above, converts back, and then forms the displayed frame by writing 0.8 times the equalized green channel plus 0.2 times the CLAHE lightness channel into the green plane while zeroing the red and the blue planes. The mapping is monochrome green by construction, so no residual red or blue information from the frame reaches the display; the heads-up overlay is drawn on top of that mapping afterwards and is therefore the only colored element that survives it, which is why the alarm banner remains legible in red in Fig. 4. The simulated thermal mode converts the frame to grayscale and passes it through the library's JET colormap, so the color of a pixel is a function of its luminance and of nothing else. The Grad-CAM overlay used by the deep edge detector of Section 4.5 resizes the normalized activation map to the frame, colors it through the same JET map, and alpha-blends it at an opacity equal to 0.70 times the activation, so the strongest region reaches 0.70 and a region of zero activation is left untouched rather than tinted. The viewer samples the classifier twice per second, the rate used in Section 4.5, and displays at 960 × 540; because it resizes each frame to that size before classifying it, its verdicts can differ slightly from those of the evaluator, which resizes from the native frame. None of these paths draws a pseudo-random number, so the rendering is deterministic: the same clip and the same build produce the same panels.</w:t>
      </w:r>
    </w:p>
    <w:p>
      <w:pPr>
        <w:pStyle w:val="BodyText"/>
      </w:pPr>
      <w:r>
        <w:t xml:space="preserve">Figs. 1 to 4 are panels of the released viewer's four modes, captured from</w:t>
      </w:r>
      <w:r>
        <w:t xml:space="preserve"> </w:t>
      </w:r>
      <w:r>
        <w:rPr>
          <w:rStyle w:val="VerbatimChar"/>
        </w:rPr>
        <w:t xml:space="preserve">visualize_v3.py</w:t>
      </w:r>
      <w:r>
        <w:t xml:space="preserve"> </w:t>
      </w:r>
      <w:r>
        <w:t xml:space="preserve">running over a clip of the corpus; they illustrate the operator-facing rendering of Section 3.4 and carry no measurement. Figs. 6 and 7 are the only figures in this paper that report a measured quantity, and both are drawn from the results artifacts rather than composed by hand: Fig. 6 by</w:t>
      </w:r>
      <w:r>
        <w:t xml:space="preserve"> </w:t>
      </w:r>
      <w:r>
        <w:rPr>
          <w:rStyle w:val="VerbatimChar"/>
        </w:rPr>
        <w:t xml:space="preserve">tools/make_confusion_figure.py</w:t>
      </w:r>
      <w:r>
        <w:t xml:space="preserve"> </w:t>
      </w:r>
      <w:r>
        <w:t xml:space="preserve">and Fig. 7 by</w:t>
      </w:r>
      <w:r>
        <w:t xml:space="preserve"> </w:t>
      </w:r>
      <w:r>
        <w:rPr>
          <w:rStyle w:val="VerbatimChar"/>
        </w:rPr>
        <w:t xml:space="preserve">tools/make_curve_figure.py</w:t>
      </w:r>
      <w:r>
        <w:t xml:space="preserve">. Fig. 5 is a schematic and measures nothing. Every image file is released under the name it carries in the manuscript:</w:t>
      </w:r>
      <w:r>
        <w:t xml:space="preserve"> </w:t>
      </w:r>
      <w:r>
        <w:rPr>
          <w:rStyle w:val="VerbatimChar"/>
        </w:rPr>
        <w:t xml:space="preserve">fig_rgb.png</w:t>
      </w:r>
      <w:r>
        <w:t xml:space="preserve">,</w:t>
      </w:r>
      <w:r>
        <w:t xml:space="preserve"> </w:t>
      </w:r>
      <w:r>
        <w:rPr>
          <w:rStyle w:val="VerbatimChar"/>
        </w:rPr>
        <w:t xml:space="preserve">fig_gradcam.png</w:t>
      </w:r>
      <w:r>
        <w:t xml:space="preserve">,</w:t>
      </w:r>
      <w:r>
        <w:t xml:space="preserve"> </w:t>
      </w:r>
      <w:r>
        <w:rPr>
          <w:rStyle w:val="VerbatimChar"/>
        </w:rPr>
        <w:t xml:space="preserve">fig_thermal.png</w:t>
      </w:r>
      <w:r>
        <w:t xml:space="preserve"> </w:t>
      </w:r>
      <w:r>
        <w:t xml:space="preserve">and</w:t>
      </w:r>
      <w:r>
        <w:t xml:space="preserve"> </w:t>
      </w:r>
      <w:r>
        <w:rPr>
          <w:rStyle w:val="VerbatimChar"/>
        </w:rPr>
        <w:t xml:space="preserve">fig_night_vision.png</w:t>
      </w:r>
      <w:r>
        <w:t xml:space="preserve"> </w:t>
      </w:r>
      <w:r>
        <w:t xml:space="preserve">for Figs. 1 to 4, all four captured from the same clip so that the four modes are comparable,</w:t>
      </w:r>
      <w:r>
        <w:t xml:space="preserve"> </w:t>
      </w:r>
      <w:r>
        <w:rPr>
          <w:rStyle w:val="VerbatimChar"/>
        </w:rPr>
        <w:t xml:space="preserve">fig_decision_path.png</w:t>
      </w:r>
      <w:r>
        <w:t xml:space="preserve"> </w:t>
      </w:r>
      <w:r>
        <w:t xml:space="preserve">for Fig. 5,</w:t>
      </w:r>
      <w:r>
        <w:t xml:space="preserve"> </w:t>
      </w:r>
      <w:r>
        <w:rPr>
          <w:rStyle w:val="VerbatimChar"/>
        </w:rPr>
        <w:t xml:space="preserve">v3_confusion_matrix.png</w:t>
      </w:r>
      <w:r>
        <w:t xml:space="preserve"> </w:t>
      </w:r>
      <w:r>
        <w:t xml:space="preserve">for Fig. 6 and</w:t>
      </w:r>
      <w:r>
        <w:t xml:space="preserve"> </w:t>
      </w:r>
      <w:r>
        <w:rPr>
          <w:rStyle w:val="VerbatimChar"/>
        </w:rPr>
        <w:t xml:space="preserve">v3_operating_curve.png</w:t>
      </w:r>
      <w:r>
        <w:t xml:space="preserve"> </w:t>
      </w:r>
      <w:r>
        <w:t xml:space="preserve">for Fig. 7. The classifier is sampled at the network input size of 224 × 224 and the panels are composed at the viewer's display size; no bounding boxes are drawn in Figs. 1 to 4, because the deep edge detector emits a clip-level verdict and a Grad-CAM map rather than boxes. Two properties of the released build should nonetheless be recorded, because a reader who runs it will see them. The operator panel carries English labels, and its fields are the vehicle identifier, the reported altitude, the battery state, the mission elapsed time and the alarm banner. Of these only the elapsed time and the alarm banner are live: the identifier, the altitude and the battery state are fixed placeholder constants in the released viewer, since this study flies no aircraft and reads no telemetry. The values visible in Figs. 1 to 4, an altitude of 120 m and a battery state of 87%, are those constants and are not measurements; they are stated here so that no reader mistakes the panel for flight data, and the reference altitude actually used by every experiment in this paper is the 50 m of Section 3.2.</w:t>
      </w:r>
    </w:p>
    <w:p>
      <w:pPr>
        <w:pStyle w:val="BodyText"/>
      </w:pPr>
      <w:r>
        <w:t xml:space="preserve">To support operator situational awareness and provide visual explainability, the system interface offers four toggleable visualization modes:</w:t>
      </w:r>
    </w:p>
    <w:p>
      <w:pPr>
        <w:pStyle w:val="Compact"/>
        <w:numPr>
          <w:ilvl w:val="0"/>
          <w:numId w:val="1003"/>
        </w:numPr>
      </w:pPr>
      <w:r>
        <w:rPr>
          <w:b/>
        </w:rPr>
        <w:t xml:space="preserve">RGB Mode:</w:t>
      </w:r>
      <w:r>
        <w:t xml:space="preserve"> </w:t>
      </w:r>
      <w:r>
        <w:t xml:space="preserve">The standard optical color view, presenting the unaltered video feed with the heads-up overlay and the alarm banner. The deep edge detector returns a clip-level verdict rather than boxes, so no bounding box is drawn in this mode.</w:t>
      </w:r>
    </w:p>
    <w:p>
      <w:pPr>
        <w:pStyle w:val="Compact"/>
        <w:numPr>
          <w:ilvl w:val="0"/>
          <w:numId w:val="1003"/>
        </w:numPr>
      </w:pPr>
      <w:r>
        <w:rPr>
          <w:b/>
        </w:rPr>
        <w:t xml:space="preserve">Grad-CAM (Heatmap) Mode:</w:t>
      </w:r>
      <w:r>
        <w:t xml:space="preserve"> </w:t>
      </w:r>
      <w:r>
        <w:t xml:space="preserve">An explainability layer that highlights the spatial regions the convolutional neural network weights most heavily in reaching its decision. It is shown so that a decision can be inspected rather than accepted, and Fig. 2 is reported here precisely because what it reveals is not what such a panel is usually presented to confirm: on this clip the activation sits on the smoke plume rather than on the flame front visible lower in the frame.</w:t>
      </w:r>
    </w:p>
    <w:p>
      <w:pPr>
        <w:pStyle w:val="Compact"/>
        <w:numPr>
          <w:ilvl w:val="0"/>
          <w:numId w:val="1003"/>
        </w:numPr>
      </w:pPr>
      <w:r>
        <w:rPr>
          <w:b/>
        </w:rPr>
        <w:t xml:space="preserve">Thermal-JET Mode:</w:t>
      </w:r>
      <w:r>
        <w:t xml:space="preserve"> </w:t>
      </w:r>
      <w:r>
        <w:t xml:space="preserve">A false-color mapping simulating thermal imaging, converting grayscale intensity into a JET colormap to enhance the visibility of bright, potentially hot areas.</w:t>
      </w:r>
    </w:p>
    <w:p>
      <w:pPr>
        <w:pStyle w:val="Compact"/>
        <w:numPr>
          <w:ilvl w:val="0"/>
          <w:numId w:val="1003"/>
        </w:numPr>
      </w:pPr>
      <w:r>
        <w:rPr>
          <w:b/>
        </w:rPr>
        <w:t xml:space="preserve">Night-Vision Mode:</w:t>
      </w:r>
      <w:r>
        <w:t xml:space="preserve"> </w:t>
      </w:r>
      <w:r>
        <w:t xml:space="preserve">A green-phosphor simulation using contrast-limited adaptive histogram equalization to maximize visibility in low-light conditions.</w:t>
      </w:r>
    </w:p>
    <w:p>
      <w:pPr>
        <w:pStyle w:val="FirstParagraph"/>
      </w:pPr>
      <w:r>
        <w:drawing>
          <wp:inline>
            <wp:extent cx="6108700" cy="3398776"/>
            <wp:effectExtent b="0" l="0" r="0" t="0"/>
            <wp:docPr descr="RGB mode: standard color input" title="" id="1" name="Picture"/>
            <a:graphic>
              <a:graphicData uri="http://schemas.openxmlformats.org/drawingml/2006/picture">
                <pic:pic>
                  <pic:nvPicPr>
                    <pic:cNvPr descr="fig_rgb.png" id="0" name="Picture"/>
                    <pic:cNvPicPr>
                      <a:picLocks noChangeArrowheads="1" noChangeAspect="1"/>
                    </pic:cNvPicPr>
                  </pic:nvPicPr>
                  <pic:blipFill>
                    <a:blip r:embed="rId28"/>
                    <a:stretch>
                      <a:fillRect/>
                    </a:stretch>
                  </pic:blipFill>
                  <pic:spPr bwMode="auto">
                    <a:xfrm>
                      <a:off x="0" y="0"/>
                      <a:ext cx="6108700" cy="3398776"/>
                    </a:xfrm>
                    <a:prstGeom prst="rect">
                      <a:avLst/>
                    </a:prstGeom>
                    <a:noFill/>
                    <a:ln w="9525">
                      <a:noFill/>
                      <a:headEnd/>
                      <a:tailEnd/>
                    </a:ln>
                  </pic:spPr>
                </pic:pic>
              </a:graphicData>
            </a:graphic>
          </wp:inline>
        </w:drawing>
      </w:r>
    </w:p>
    <w:p>
      <w:pPr>
        <w:pStyle w:val="BodyText"/>
      </w:pPr>
      <w:r>
        <w:t xml:space="preserve">Figure 1: RGB mode showing the standard optical color input without any color-space alterations.</w:t>
      </w:r>
    </w:p>
    <w:p>
      <w:pPr>
        <w:pStyle w:val="BodyText"/>
      </w:pPr>
      <w:r>
        <w:drawing>
          <wp:inline>
            <wp:extent cx="6108700" cy="3392291"/>
            <wp:effectExtent b="0" l="0" r="0" t="0"/>
            <wp:docPr descr="Grad-CAM Heatmap mode" title="" id="1" name="Picture"/>
            <a:graphic>
              <a:graphicData uri="http://schemas.openxmlformats.org/drawingml/2006/picture">
                <pic:pic>
                  <pic:nvPicPr>
                    <pic:cNvPr descr="fig_gradcam.png" id="0" name="Picture"/>
                    <pic:cNvPicPr>
                      <a:picLocks noChangeArrowheads="1" noChangeAspect="1"/>
                    </pic:cNvPicPr>
                  </pic:nvPicPr>
                  <pic:blipFill>
                    <a:blip r:embed="rId29"/>
                    <a:stretch>
                      <a:fillRect/>
                    </a:stretch>
                  </pic:blipFill>
                  <pic:spPr bwMode="auto">
                    <a:xfrm>
                      <a:off x="0" y="0"/>
                      <a:ext cx="6108700" cy="3392291"/>
                    </a:xfrm>
                    <a:prstGeom prst="rect">
                      <a:avLst/>
                    </a:prstGeom>
                    <a:noFill/>
                    <a:ln w="9525">
                      <a:noFill/>
                      <a:headEnd/>
                      <a:tailEnd/>
                    </a:ln>
                  </pic:spPr>
                </pic:pic>
              </a:graphicData>
            </a:graphic>
          </wp:inline>
        </w:drawing>
      </w:r>
    </w:p>
    <w:p>
      <w:pPr>
        <w:pStyle w:val="BodyText"/>
      </w:pPr>
      <w:r>
        <w:t xml:space="preserve">Figure 2: Grad-CAM (Heatmap) mode on clip evo_16. The warm regions mark the activations the classifier weights most heavily. They fall on the smoke plume in the upper part of the frame rather than on the flame front below it, which is the behavior of a model keying on the most spatially extensive cue of a wildfire rather than on combustion itself. No metric in this paper scores that behavior and Section 4.5 draws no localization claim from it.</w:t>
      </w:r>
    </w:p>
    <w:p>
      <w:pPr>
        <w:pStyle w:val="BodyText"/>
      </w:pPr>
      <w:r>
        <w:drawing>
          <wp:inline>
            <wp:extent cx="6108700" cy="3433732"/>
            <wp:effectExtent b="0" l="0" r="0" t="0"/>
            <wp:docPr descr="Simulated thermal colormap" title="" id="1" name="Picture"/>
            <a:graphic>
              <a:graphicData uri="http://schemas.openxmlformats.org/drawingml/2006/picture">
                <pic:pic>
                  <pic:nvPicPr>
                    <pic:cNvPr descr="fig_thermal.png" id="0" name="Picture"/>
                    <pic:cNvPicPr>
                      <a:picLocks noChangeArrowheads="1" noChangeAspect="1"/>
                    </pic:cNvPicPr>
                  </pic:nvPicPr>
                  <pic:blipFill>
                    <a:blip r:embed="rId30"/>
                    <a:stretch>
                      <a:fillRect/>
                    </a:stretch>
                  </pic:blipFill>
                  <pic:spPr bwMode="auto">
                    <a:xfrm>
                      <a:off x="0" y="0"/>
                      <a:ext cx="6108700" cy="3433732"/>
                    </a:xfrm>
                    <a:prstGeom prst="rect">
                      <a:avLst/>
                    </a:prstGeom>
                    <a:noFill/>
                    <a:ln w="9525">
                      <a:noFill/>
                      <a:headEnd/>
                      <a:tailEnd/>
                    </a:ln>
                  </pic:spPr>
                </pic:pic>
              </a:graphicData>
            </a:graphic>
          </wp:inline>
        </w:drawing>
      </w:r>
    </w:p>
    <w:p>
      <w:pPr>
        <w:pStyle w:val="BodyText"/>
      </w:pPr>
      <w:r>
        <w:t xml:space="preserve">Figure 3: Thermal-JET mode. The mode maps grayscale intensity through a colormap and does not represent measurements from a physical thermal sensor, so the apparent temperature scale carries no radiometric meaning.</w:t>
      </w:r>
    </w:p>
    <w:p>
      <w:pPr>
        <w:pStyle w:val="BodyText"/>
      </w:pPr>
      <w:r>
        <w:drawing>
          <wp:inline>
            <wp:extent cx="6108700" cy="3418039"/>
            <wp:effectExtent b="0" l="0" r="0" t="0"/>
            <wp:docPr descr="Night-vision mode" title="" id="1" name="Picture"/>
            <a:graphic>
              <a:graphicData uri="http://schemas.openxmlformats.org/drawingml/2006/picture">
                <pic:pic>
                  <pic:nvPicPr>
                    <pic:cNvPr descr="fig_night_vision.png" id="0" name="Picture"/>
                    <pic:cNvPicPr>
                      <a:picLocks noChangeArrowheads="1" noChangeAspect="1"/>
                    </pic:cNvPicPr>
                  </pic:nvPicPr>
                  <pic:blipFill>
                    <a:blip r:embed="rId31"/>
                    <a:stretch>
                      <a:fillRect/>
                    </a:stretch>
                  </pic:blipFill>
                  <pic:spPr bwMode="auto">
                    <a:xfrm>
                      <a:off x="0" y="0"/>
                      <a:ext cx="6108700" cy="3418039"/>
                    </a:xfrm>
                    <a:prstGeom prst="rect">
                      <a:avLst/>
                    </a:prstGeom>
                    <a:noFill/>
                    <a:ln w="9525">
                      <a:noFill/>
                      <a:headEnd/>
                      <a:tailEnd/>
                    </a:ln>
                  </pic:spPr>
                </pic:pic>
              </a:graphicData>
            </a:graphic>
          </wp:inline>
        </w:drawing>
      </w:r>
    </w:p>
    <w:p>
      <w:pPr>
        <w:pStyle w:val="BodyText"/>
      </w:pPr>
      <w:r>
        <w:t xml:space="preserve">Figure 4: Night-vision mode, combining green-phosphor mapping with contrast-limited adaptive histogram equalization to enhance detail in dark regions.</w:t>
      </w:r>
    </w:p>
    <w:p>
      <w:pPr>
        <w:pStyle w:val="Heading2"/>
      </w:pPr>
      <w:bookmarkStart w:id="32" w:name="results-and-discussion"/>
      <w:r>
        <w:t xml:space="preserve">4 Results and Discussion</w:t>
      </w:r>
      <w:bookmarkEnd w:id="32"/>
    </w:p>
    <w:p>
      <w:pPr>
        <w:pStyle w:val="FirstParagraph"/>
      </w:pPr>
      <w:r>
        <w:t xml:space="preserve">To evaluate the proposed architecture, a cascaded coarse-to-fine methodology was employed. First, the static color-thresholding stage was evaluated on a large-scale still-image dataset against constant-predictor null baselines, followed by a threshold sensitivity analysis on an independent validation split and a component ablation study. Second, the fully integrated spatiotemporal system and the two models fitted only on the independently sourced still-image dataset were evaluated. Third, the detector itself was replaced by a convolutional backbone and evaluated in Section 4.5 on a separate corpus of real aerial clips, partitioned at the clip level so that no clip supplies both training frames and a reported verdict. CPU inference latency was measured separately, in Section 4.4, before that replacement was introduced.</w:t>
      </w:r>
    </w:p>
    <w:p>
      <w:pPr>
        <w:pStyle w:val="BodyText"/>
      </w:pPr>
      <w:r>
        <w:t xml:space="preserve">Two software environments were used, and which experiment ran in which is recorded in the header of most aggregate result files rather than left to be inferred;</w:t>
      </w:r>
      <w:r>
        <w:t xml:space="preserve"> </w:t>
      </w:r>
      <w:r>
        <w:rPr>
          <w:rStyle w:val="VerbatimChar"/>
        </w:rPr>
        <w:t xml:space="preserve">v3_results_by_split.json</w:t>
      </w:r>
      <w:r>
        <w:t xml:space="preserve"> </w:t>
      </w:r>
      <w:r>
        <w:t xml:space="preserve">and the per-clip verdict files carry no such header. Environment A is the target machine: Windows 10 (build 10.0.19045), Python 3.12.7, OpenCV 5.0.0, NumPy 2.5.1, scikit-learn 1.9.0, and an Intel Core i5-8265U mobile-class CPU with a nominal base frequency of 1.60 GHz, reported by the runtime as Intel 64 family 6 model 142, paired with 8 GB of DDR4 memory. It produced every experiment of Section 4.4 including its joint latency benchmark, the qualitative video panels of Section 4.5, and the first pass of the image-level evaluation of Sections 4.1 and 4.2. Environment B is a containerized Linux environment running Python 3.10.12, OpenCV 4.13.0 and scikit-learn 1.7.2 on a shared processor that is consequently not characterized here; it produced the resolution control of Section 4.3, the saturation sweep of Table 3, the clip-level evaluation of Section 4.5, and the recomputation of Sections 4.1 and 4.2 that the released image-level artifacts contain. Two qualifications attach to Section 4.5 in particular. Its network was trained with PyTorch on CPU, on Python 3.12.7 with PyTorch 2.14.0+cpu and torchvision 0.29.0+cpu on an Intel64 Family 6 Model 142 Stepping 12, GenuineIntel CPU. Those versions are recorded in the benchmark artifact rather than in the release manifest, which is a gap in the manifest and not in the record. Its clip-level verdicts were computed in Environment B, which carries no PyTorch install, using a torch-free NumPy reimplementation of the trained network released as</w:t>
      </w:r>
      <w:r>
        <w:t xml:space="preserve"> </w:t>
      </w:r>
      <w:r>
        <w:rPr>
          <w:rStyle w:val="VerbatimChar"/>
        </w:rPr>
        <w:t xml:space="preserve">tools/torch_free_mobilenetv3.py</w:t>
      </w:r>
      <w:r>
        <w:t xml:space="preserve"> </w:t>
      </w:r>
      <w:r>
        <w:t xml:space="preserve">and checked against the reference torchvision implementation on the 224 × 224 training frames by</w:t>
      </w:r>
      <w:r>
        <w:t xml:space="preserve"> </w:t>
      </w:r>
      <w:r>
        <w:rPr>
          <w:rStyle w:val="VerbatimChar"/>
        </w:rPr>
        <w:t xml:space="preserve">tools/verify_numpy_model.py</w:t>
      </w:r>
      <w:r>
        <w:t xml:space="preserve">.</w:t>
      </w:r>
    </w:p>
    <w:p>
      <w:pPr>
        <w:pStyle w:val="BodyText"/>
      </w:pPr>
      <w:r>
        <w:t xml:space="preserve">Neither environment used a discrete graphics card, a TPU, or any other accelerator, the integrated graphics unit was never employed for computation, and every reported latency is therefore a CPU-only figure.</w:t>
      </w:r>
    </w:p>
    <w:p>
      <w:pPr>
        <w:pStyle w:val="BodyText"/>
      </w:pPr>
      <w:r>
        <w:t xml:space="preserve">Because a detector whose output depended on its OpenCV version would make the two environments incomparable, agreement between them was measured rather than assumed, and the measurement is the released artifact rather than a claim about one. The image-level results of Sections 4.1 and 4.2 were first obtained in Environment A and then recomputed in full in Environment B, which runs a different operating system, a different Python and a major OpenCV version behind; the resolution control of Section 4.3 and the sweep of Table 3 were produced in Environment B only, and are not claimed to have been reproduced across environments. The recomputation reproduced every cell of Table 1, over all 410 test images and all seven color-space configurations, and both conditions of Table 2; the artifacts released with this paper are the Environment B run, and their headers record that environment, so a reader can verify the agreement by checking them against the figures printed here rather than taking it on trust. The agreement covers the number of surviving detections and not merely the image-level decision, which is the more sensitive quantity because any difference in JPEG decoding, resizing or morphology would perturb it. The random forests are a different matter, and the difference is not in the data: a forest fitted with a fixed seed depends on the order in which its estimator consumes pseudo-random numbers, and that order is an implementation detail that changes between scikit-learn releases. Random-forest figures are therefore reported with the scikit-learn version attached, and the reader should treat them as version-specific in a way that the linear results are not. Absolute timings are of course not comparable across the two environments, and no comparison in this paper draws a latency figure from one and sets it against a latency figure from the other.</w:t>
      </w:r>
    </w:p>
    <w:p>
      <w:pPr>
        <w:pStyle w:val="BodyText"/>
      </w:pPr>
      <w:r>
        <w:t xml:space="preserve">The hand-set detector contains no stochastic component, so no random seed governs any quantity reported in Sections 4.1 to 4.3 and each of those experiments was executed once. No code path in the detection pipeline draws a pseudo-random number, and neither does the operator-facing rendering of Section 3.4, which is in any case not used in any quantitative experiment. The learned models of Section 4.4 and the deep edge fit of Section 4.5 are seeded, and both report a sweep over seeds rather than a single fit. The complete parameter set is exactly that of Section 3; no parameter was altered between experiments except where an ablation explicitly disables a component.</w:t>
      </w:r>
    </w:p>
    <w:p>
      <w:pPr>
        <w:pStyle w:val="Heading3"/>
      </w:pPr>
      <w:bookmarkStart w:id="33" w:name="X143d40d20e474672605b69bc3e05349075ef1c0"/>
      <w:r>
        <w:t xml:space="preserve">4.1 Image-Level Evaluation against Null Baselines</w:t>
      </w:r>
      <w:bookmarkEnd w:id="33"/>
    </w:p>
    <w:p>
      <w:pPr>
        <w:pStyle w:val="FirstParagraph"/>
      </w:pPr>
      <w:r>
        <w:t xml:space="preserve">The core multi-color-space intersection logic of Section 3.1 was isolated, with the temporal layer disabled, and evaluated against a publicly available wildfire image dataset [33]. The Kaggle release used here is licensed CC BY 4.0; its curator describes the original source images as public-domain material. The canonical release comprises 2700 RGB images collected from government agencies, Flickr, and Unsplash. The local copy processed in this study contained 2699 supported JPG/PNG image files (and one unrelated</w:t>
      </w:r>
      <w:r>
        <w:t xml:space="preserve"> </w:t>
      </w:r>
      <w:r>
        <w:rPr>
          <w:rStyle w:val="VerbatimChar"/>
        </w:rPr>
        <w:t xml:space="preserve">desktop.ini</w:t>
      </w:r>
      <w:r>
        <w:t xml:space="preserve"> </w:t>
      </w:r>
      <w:r>
        <w:t xml:space="preserve">directory entry), partitioned as 1887 training images (730 fire, 1157 no-fire), 402 validation images (156 fire, 246 no-fire), and 410 test images (159 fire, 251 no-fire).</w:t>
      </w:r>
    </w:p>
    <w:p>
      <w:pPr>
        <w:pStyle w:val="BodyText"/>
      </w:pPr>
      <w:r>
        <w:t xml:space="preserve">The training split plays no part in any experiment on the hand-set detector, because that detector contains no learned parameters; it is used only by the learned baselines of Section 4.4, which are fitted on it. For the same reason no cross-validation was performed for the hand-set detector: it has no fitted parameters whose split-dependence would need to be controlled, and the predefined thresholds of Section 3 are identical across every split. No intensity normalization, color correction, or augmentation was applied at any point; images were passed to the detector exactly as decoded, except where Section 4.3 explicitly resizes them. The color-space thresholds are predefined heuristic constants chosen to favor sensitivity to fire-like color patterns; no formal parameter optimization or validation-set tuning procedure was employed. The final evaluation was performed on the test split only. Whether the result below is a property of the method or an artifact of a dataset whose no-fire class was deliberately populated with fire-confounding content is a fair question, and it is not left open: Section 4.4 addresses it directly and rejects the second reading, by showing that a model fitted on the very same features extracts that evidence successfully from the very same images. Because the dataset provides folder-level class labels and no bounding-box annotations, the evaluation is strictly an image-level binary fire/no-fire classification: an image is predicted positive if the detector emits at least one bounding box, and negative otherwise. Object detection metrics such as IoU and mAP cannot be computed on this data and are therefore not reported anywhere in this paper.</w:t>
      </w:r>
    </w:p>
    <w:p>
      <w:pPr>
        <w:pStyle w:val="BodyText"/>
      </w:pPr>
      <w:r>
        <w:t xml:space="preserve">On the 410 test images the detector produced TP = 129, TN = 49, FP = 202, and FN = 30, corresponding to an accuracy of 43.41%, a precision of 38.97%, a recall of 81.13%, an F1-score of 52.65%, a specificity of 19.52%, and a false-positive rate (FPR) of 80.48%. Because still photographs carry no temporal information, the kinetic flickering module of Section 3.2 was inactive, and by the argument following Eq. (1) the detector reduces to its purely chromatic form. Static red anomalies such as bright red vehicles, red soil, and intense sun glare consequently passed the color filters and generated false positives. These figures acquire their real meaning only against a null baseline, which the color-heuristic literature does not customarily report. On this split, 251 of 410 images are no-fire. A constant predictor that labels every image as fire therefore attains a precision of 38.78%, a recall of 100.00%, and an F1-score of 55.89%, while a constant predictor that labels every image as no fire attains an accuracy of 61.22%. The proposed detector is thus outperformed on F1-score by the constant-positive predictor and outperformed on accuracy, by 17.80 percentage points, by the constant-negative predictor. Neither constant predictor inspects the image at all.</w:t>
      </w:r>
    </w:p>
    <w:p>
      <w:pPr>
        <w:pStyle w:val="BodyText"/>
      </w:pPr>
      <w:r>
        <w:t xml:space="preserve">We state the consequence directly rather than qualifying it. At the image level the hand-set color-space intersection does not extract usable evidence about the presence of fire: its recall of 81.13% is purchased by flagging 202 of 251 no-fire images, and the resulting operating point is dominated by a decision rule that ignores its input. Whether the evidence itself is uninformative, or merely inaccessible to a rule of this form, is not settled here; Section 4.4 settles it, and the answer is the latter. The measured recall is not therefore evidence of detection capability. Two mechanisms explain the outcome. Within the purely chromatic form to which the detector reduces on still images, the thresholds of Section 3.1 respond to any sufficiently bright, saturated, red-dominant region, and the no-fire half of this dataset is populated with exactly such regions: sunlit autumnal foliage, red soil, low-angle sunlight, and lens flare. Section 4.2 establishes that this is not a threshold-selection error within the family, Section 4.3 shows that a further part of the effect is an artifact of applying an absolute pixel-area criterion to images of widely varying resolution, which inflates the false-positive rate reported here by roughly 13 percentage points, and Section 4.4 shows that a model fitted on the same color evidence reaches an F1-score of 82.28% on these same images.</w:t>
      </w:r>
    </w:p>
    <w:p>
      <w:pPr>
        <w:pStyle w:val="Heading3"/>
      </w:pPr>
      <w:bookmarkStart w:id="34" w:name="component-ablation-study"/>
      <w:r>
        <w:t xml:space="preserve">4.2 Component Ablation Study</w:t>
      </w:r>
      <w:bookmarkEnd w:id="34"/>
    </w:p>
    <w:p>
      <w:pPr>
        <w:pStyle w:val="FirstParagraph"/>
      </w:pPr>
      <w:r>
        <w:t xml:space="preserve">Incremental component testing on the test split quantifies the contribution of each color space. Each configuration disables the corresponding mask entirely, so that a disabled channel contributes an all-pass mask to the intersection. The temporal layer is disabled throughout, as required for still images. Results are given in Table 1.</w:t>
      </w:r>
    </w:p>
    <w:p>
      <w:pPr>
        <w:pStyle w:val="BodyText"/>
      </w:pPr>
      <w:r>
        <w:t xml:space="preserve">Table 1: Ablation study of the color-space components on the test split (410 images; image-level classification), with the two constant-predictor null baselines. No color-space configuration exceeds the constant-positive F1-score.</w:t>
      </w:r>
    </w:p>
    <w:tbl>
      <w:tblPr>
        <w:tblStyle w:val="Table"/>
        <w:tblW w:w="9638" w:type="dxa"/>
        <w:tblBorders>
          <w:top w:val="single" w:sz="12" w:space="0" w:color="000000"/>
          <w:bottom w:val="single" w:sz="12" w:space="0" w:color="000000"/>
          <w:insideH w:val="none" w:sz="0" w:space="0" w:color="auto"/>
        </w:tblBorders>
        <w:tblLayout w:type="fixed"/>
        <w:tblLook w:firstRow="1"/>
      </w:tblPr>
      <w:tblGrid>
        <w:gridCol w:w="1762"/>
        <w:gridCol w:w="663"/>
        <w:gridCol w:w="650"/>
        <w:gridCol w:w="663"/>
        <w:gridCol w:w="650"/>
        <w:gridCol w:w="1466"/>
        <w:gridCol w:w="1222"/>
        <w:gridCol w:w="1340"/>
        <w:gridCol w:w="1222"/>
      </w:tblGrid>
      <w:tr>
        <w:trPr>
          <w:tblHeader/>
          <w:cnfStyle w:firstRow="1"/>
        </w:trPr>
        <w:tc>
          <w:tcPr>
            <w:tcW w:w="1762" w:type="dxa"/>
            <w:tcBorders>
              <w:bottom w:val="single" w:sz="6" w:space="0" w:color="000000"/>
            </w:tcBorders>
            <w:vAlign w:val="bottom"/>
          </w:tcPr>
          <w:p>
            <w:pPr>
              <w:pStyle w:val="Compact"/>
              <w:jc w:val="left"/>
            </w:pPr>
            <w:r>
              <w:rPr>
                <w:b/>
              </w:rPr>
              <w:t xml:space="preserve">Active components</w:t>
            </w:r>
          </w:p>
        </w:tc>
        <w:tc>
          <w:tcPr>
            <w:tcW w:w="663" w:type="dxa"/>
            <w:tcBorders>
              <w:bottom w:val="single" w:sz="6" w:space="0" w:color="000000"/>
            </w:tcBorders>
            <w:vAlign w:val="bottom"/>
          </w:tcPr>
          <w:p>
            <w:pPr>
              <w:pStyle w:val="Compact"/>
              <w:jc w:val="center"/>
            </w:pPr>
            <w:r>
              <w:rPr>
                <w:b/>
              </w:rPr>
              <w:t xml:space="preserve">TP</w:t>
            </w:r>
          </w:p>
        </w:tc>
        <w:tc>
          <w:tcPr>
            <w:tcW w:w="650" w:type="dxa"/>
            <w:tcBorders>
              <w:bottom w:val="single" w:sz="6" w:space="0" w:color="000000"/>
            </w:tcBorders>
            <w:vAlign w:val="bottom"/>
          </w:tcPr>
          <w:p>
            <w:pPr>
              <w:pStyle w:val="Compact"/>
              <w:jc w:val="center"/>
            </w:pPr>
            <w:r>
              <w:rPr>
                <w:b/>
              </w:rPr>
              <w:t xml:space="preserve">TN</w:t>
            </w:r>
          </w:p>
        </w:tc>
        <w:tc>
          <w:tcPr>
            <w:tcW w:w="663" w:type="dxa"/>
            <w:tcBorders>
              <w:bottom w:val="single" w:sz="6" w:space="0" w:color="000000"/>
            </w:tcBorders>
            <w:vAlign w:val="bottom"/>
          </w:tcPr>
          <w:p>
            <w:pPr>
              <w:pStyle w:val="Compact"/>
              <w:jc w:val="center"/>
            </w:pPr>
            <w:r>
              <w:rPr>
                <w:b/>
              </w:rPr>
              <w:t xml:space="preserve">FP</w:t>
            </w:r>
          </w:p>
        </w:tc>
        <w:tc>
          <w:tcPr>
            <w:tcW w:w="650" w:type="dxa"/>
            <w:tcBorders>
              <w:bottom w:val="single" w:sz="6" w:space="0" w:color="000000"/>
            </w:tcBorders>
            <w:vAlign w:val="bottom"/>
          </w:tcPr>
          <w:p>
            <w:pPr>
              <w:pStyle w:val="Compact"/>
              <w:jc w:val="center"/>
            </w:pPr>
            <w:r>
              <w:rPr>
                <w:b/>
              </w:rPr>
              <w:t xml:space="preserve">FN</w:t>
            </w:r>
          </w:p>
        </w:tc>
        <w:tc>
          <w:tcPr>
            <w:tcW w:w="1466" w:type="dxa"/>
            <w:tcBorders>
              <w:bottom w:val="single" w:sz="6" w:space="0" w:color="000000"/>
            </w:tcBorders>
            <w:vAlign w:val="bottom"/>
          </w:tcPr>
          <w:p>
            <w:pPr>
              <w:pStyle w:val="Compact"/>
              <w:jc w:val="center"/>
            </w:pPr>
            <w:r>
              <w:rPr>
                <w:b/>
              </w:rPr>
              <w:t xml:space="preserve">Precision</w:t>
            </w:r>
          </w:p>
        </w:tc>
        <w:tc>
          <w:tcPr>
            <w:tcW w:w="1222" w:type="dxa"/>
            <w:tcBorders>
              <w:bottom w:val="single" w:sz="6" w:space="0" w:color="000000"/>
            </w:tcBorders>
            <w:vAlign w:val="bottom"/>
          </w:tcPr>
          <w:p>
            <w:pPr>
              <w:pStyle w:val="Compact"/>
              <w:jc w:val="center"/>
            </w:pPr>
            <w:r>
              <w:rPr>
                <w:b/>
              </w:rPr>
              <w:t xml:space="preserve">Recall</w:t>
            </w:r>
          </w:p>
        </w:tc>
        <w:tc>
          <w:tcPr>
            <w:tcW w:w="1340" w:type="dxa"/>
            <w:tcBorders>
              <w:bottom w:val="single" w:sz="6" w:space="0" w:color="000000"/>
            </w:tcBorders>
            <w:vAlign w:val="bottom"/>
          </w:tcPr>
          <w:p>
            <w:pPr>
              <w:pStyle w:val="Compact"/>
              <w:jc w:val="center"/>
            </w:pPr>
            <w:r>
              <w:rPr>
                <w:b/>
              </w:rPr>
              <w:t xml:space="preserve">F1-score</w:t>
            </w:r>
          </w:p>
        </w:tc>
        <w:tc>
          <w:tcPr>
            <w:tcW w:w="1222" w:type="dxa"/>
            <w:tcBorders>
              <w:bottom w:val="single" w:sz="6" w:space="0" w:color="000000"/>
            </w:tcBorders>
            <w:vAlign w:val="bottom"/>
          </w:tcPr>
          <w:p>
            <w:pPr>
              <w:pStyle w:val="Compact"/>
              <w:jc w:val="center"/>
            </w:pPr>
            <w:r>
              <w:rPr>
                <w:b/>
              </w:rPr>
              <w:t xml:space="preserve">FPR</w:t>
            </w:r>
          </w:p>
        </w:tc>
      </w:tr>
      <w:tr>
        <w:tc>
          <w:tcPr>
            <w:tcW w:w="1762" w:type="dxa"/>
          </w:tcPr>
          <w:p>
            <w:pPr>
              <w:pStyle w:val="Compact"/>
              <w:jc w:val="left"/>
            </w:pPr>
            <w:r>
              <w:t xml:space="preserve">HSV only</w:t>
            </w:r>
          </w:p>
        </w:tc>
        <w:tc>
          <w:tcPr>
            <w:tcW w:w="663" w:type="dxa"/>
          </w:tcPr>
          <w:p>
            <w:pPr>
              <w:pStyle w:val="Compact"/>
              <w:jc w:val="center"/>
            </w:pPr>
            <w:r>
              <w:t xml:space="preserve">131</w:t>
            </w:r>
          </w:p>
        </w:tc>
        <w:tc>
          <w:tcPr>
            <w:tcW w:w="650" w:type="dxa"/>
          </w:tcPr>
          <w:p>
            <w:pPr>
              <w:pStyle w:val="Compact"/>
              <w:jc w:val="center"/>
            </w:pPr>
            <w:r>
              <w:t xml:space="preserve">51</w:t>
            </w:r>
          </w:p>
        </w:tc>
        <w:tc>
          <w:tcPr>
            <w:tcW w:w="663" w:type="dxa"/>
          </w:tcPr>
          <w:p>
            <w:pPr>
              <w:pStyle w:val="Compact"/>
              <w:jc w:val="center"/>
            </w:pPr>
            <w:r>
              <w:t xml:space="preserve">200</w:t>
            </w:r>
          </w:p>
        </w:tc>
        <w:tc>
          <w:tcPr>
            <w:tcW w:w="650" w:type="dxa"/>
          </w:tcPr>
          <w:p>
            <w:pPr>
              <w:pStyle w:val="Compact"/>
              <w:jc w:val="center"/>
            </w:pPr>
            <w:r>
              <w:t xml:space="preserve">28</w:t>
            </w:r>
          </w:p>
        </w:tc>
        <w:tc>
          <w:tcPr>
            <w:tcW w:w="1466" w:type="dxa"/>
          </w:tcPr>
          <w:p>
            <w:pPr>
              <w:pStyle w:val="Compact"/>
              <w:jc w:val="center"/>
            </w:pPr>
            <w:r>
              <w:t xml:space="preserve">39.58%</w:t>
            </w:r>
          </w:p>
        </w:tc>
        <w:tc>
          <w:tcPr>
            <w:tcW w:w="1222" w:type="dxa"/>
          </w:tcPr>
          <w:p>
            <w:pPr>
              <w:pStyle w:val="Compact"/>
              <w:jc w:val="center"/>
            </w:pPr>
            <w:r>
              <w:t xml:space="preserve">82.39%</w:t>
            </w:r>
          </w:p>
        </w:tc>
        <w:tc>
          <w:tcPr>
            <w:tcW w:w="1340" w:type="dxa"/>
          </w:tcPr>
          <w:p>
            <w:pPr>
              <w:pStyle w:val="Compact"/>
              <w:jc w:val="center"/>
            </w:pPr>
            <w:r>
              <w:t xml:space="preserve">53.47%</w:t>
            </w:r>
          </w:p>
        </w:tc>
        <w:tc>
          <w:tcPr>
            <w:tcW w:w="1222" w:type="dxa"/>
          </w:tcPr>
          <w:p>
            <w:pPr>
              <w:pStyle w:val="Compact"/>
              <w:jc w:val="center"/>
            </w:pPr>
            <w:r>
              <w:t xml:space="preserve">79.68%</w:t>
            </w:r>
          </w:p>
        </w:tc>
      </w:tr>
      <w:tr>
        <w:tc>
          <w:tcPr>
            <w:tcW w:w="1762" w:type="dxa"/>
          </w:tcPr>
          <w:p>
            <w:pPr>
              <w:pStyle w:val="Compact"/>
              <w:jc w:val="left"/>
            </w:pPr>
            <w:r>
              <w:t xml:space="preserve">RGB only</w:t>
            </w:r>
          </w:p>
        </w:tc>
        <w:tc>
          <w:tcPr>
            <w:tcW w:w="663" w:type="dxa"/>
          </w:tcPr>
          <w:p>
            <w:pPr>
              <w:pStyle w:val="Compact"/>
              <w:jc w:val="center"/>
            </w:pPr>
            <w:r>
              <w:t xml:space="preserve">148</w:t>
            </w:r>
          </w:p>
        </w:tc>
        <w:tc>
          <w:tcPr>
            <w:tcW w:w="650" w:type="dxa"/>
          </w:tcPr>
          <w:p>
            <w:pPr>
              <w:pStyle w:val="Compact"/>
              <w:jc w:val="center"/>
            </w:pPr>
            <w:r>
              <w:t xml:space="preserve">25</w:t>
            </w:r>
          </w:p>
        </w:tc>
        <w:tc>
          <w:tcPr>
            <w:tcW w:w="663" w:type="dxa"/>
          </w:tcPr>
          <w:p>
            <w:pPr>
              <w:pStyle w:val="Compact"/>
              <w:jc w:val="center"/>
            </w:pPr>
            <w:r>
              <w:t xml:space="preserve">226</w:t>
            </w:r>
          </w:p>
        </w:tc>
        <w:tc>
          <w:tcPr>
            <w:tcW w:w="650" w:type="dxa"/>
          </w:tcPr>
          <w:p>
            <w:pPr>
              <w:pStyle w:val="Compact"/>
              <w:jc w:val="center"/>
            </w:pPr>
            <w:r>
              <w:t xml:space="preserve">11</w:t>
            </w:r>
          </w:p>
        </w:tc>
        <w:tc>
          <w:tcPr>
            <w:tcW w:w="1466" w:type="dxa"/>
          </w:tcPr>
          <w:p>
            <w:pPr>
              <w:pStyle w:val="Compact"/>
              <w:jc w:val="center"/>
            </w:pPr>
            <w:r>
              <w:t xml:space="preserve">39.57%</w:t>
            </w:r>
          </w:p>
        </w:tc>
        <w:tc>
          <w:tcPr>
            <w:tcW w:w="1222" w:type="dxa"/>
          </w:tcPr>
          <w:p>
            <w:pPr>
              <w:pStyle w:val="Compact"/>
              <w:jc w:val="center"/>
            </w:pPr>
            <w:r>
              <w:t xml:space="preserve">93.08%</w:t>
            </w:r>
          </w:p>
        </w:tc>
        <w:tc>
          <w:tcPr>
            <w:tcW w:w="1340" w:type="dxa"/>
          </w:tcPr>
          <w:p>
            <w:pPr>
              <w:pStyle w:val="Compact"/>
              <w:jc w:val="center"/>
            </w:pPr>
            <w:r>
              <w:t xml:space="preserve">55.53%</w:t>
            </w:r>
          </w:p>
        </w:tc>
        <w:tc>
          <w:tcPr>
            <w:tcW w:w="1222" w:type="dxa"/>
          </w:tcPr>
          <w:p>
            <w:pPr>
              <w:pStyle w:val="Compact"/>
              <w:jc w:val="center"/>
            </w:pPr>
            <w:r>
              <w:t xml:space="preserve">90.04%</w:t>
            </w:r>
          </w:p>
        </w:tc>
      </w:tr>
      <w:tr>
        <w:tc>
          <w:tcPr>
            <w:tcW w:w="1762" w:type="dxa"/>
          </w:tcPr>
          <w:p>
            <w:pPr>
              <w:pStyle w:val="Compact"/>
              <w:jc w:val="left"/>
            </w:pPr>
            <w:r>
              <w:t xml:space="preserve">YCbCr only</w:t>
            </w:r>
          </w:p>
        </w:tc>
        <w:tc>
          <w:tcPr>
            <w:tcW w:w="663" w:type="dxa"/>
          </w:tcPr>
          <w:p>
            <w:pPr>
              <w:pStyle w:val="Compact"/>
              <w:jc w:val="center"/>
            </w:pPr>
            <w:r>
              <w:t xml:space="preserve">127</w:t>
            </w:r>
          </w:p>
        </w:tc>
        <w:tc>
          <w:tcPr>
            <w:tcW w:w="650" w:type="dxa"/>
          </w:tcPr>
          <w:p>
            <w:pPr>
              <w:pStyle w:val="Compact"/>
              <w:jc w:val="center"/>
            </w:pPr>
            <w:r>
              <w:t xml:space="preserve">44</w:t>
            </w:r>
          </w:p>
        </w:tc>
        <w:tc>
          <w:tcPr>
            <w:tcW w:w="663" w:type="dxa"/>
          </w:tcPr>
          <w:p>
            <w:pPr>
              <w:pStyle w:val="Compact"/>
              <w:jc w:val="center"/>
            </w:pPr>
            <w:r>
              <w:t xml:space="preserve">207</w:t>
            </w:r>
          </w:p>
        </w:tc>
        <w:tc>
          <w:tcPr>
            <w:tcW w:w="650" w:type="dxa"/>
          </w:tcPr>
          <w:p>
            <w:pPr>
              <w:pStyle w:val="Compact"/>
              <w:jc w:val="center"/>
            </w:pPr>
            <w:r>
              <w:t xml:space="preserve">32</w:t>
            </w:r>
          </w:p>
        </w:tc>
        <w:tc>
          <w:tcPr>
            <w:tcW w:w="1466" w:type="dxa"/>
          </w:tcPr>
          <w:p>
            <w:pPr>
              <w:pStyle w:val="Compact"/>
              <w:jc w:val="center"/>
            </w:pPr>
            <w:r>
              <w:t xml:space="preserve">38.02%</w:t>
            </w:r>
          </w:p>
        </w:tc>
        <w:tc>
          <w:tcPr>
            <w:tcW w:w="1222" w:type="dxa"/>
          </w:tcPr>
          <w:p>
            <w:pPr>
              <w:pStyle w:val="Compact"/>
              <w:jc w:val="center"/>
            </w:pPr>
            <w:r>
              <w:t xml:space="preserve">79.87%</w:t>
            </w:r>
          </w:p>
        </w:tc>
        <w:tc>
          <w:tcPr>
            <w:tcW w:w="1340" w:type="dxa"/>
          </w:tcPr>
          <w:p>
            <w:pPr>
              <w:pStyle w:val="Compact"/>
              <w:jc w:val="center"/>
            </w:pPr>
            <w:r>
              <w:t xml:space="preserve">51.52%</w:t>
            </w:r>
          </w:p>
        </w:tc>
        <w:tc>
          <w:tcPr>
            <w:tcW w:w="1222" w:type="dxa"/>
          </w:tcPr>
          <w:p>
            <w:pPr>
              <w:pStyle w:val="Compact"/>
              <w:jc w:val="center"/>
            </w:pPr>
            <w:r>
              <w:t xml:space="preserve">82.47%</w:t>
            </w:r>
          </w:p>
        </w:tc>
      </w:tr>
      <w:tr>
        <w:tc>
          <w:tcPr>
            <w:tcW w:w="1762" w:type="dxa"/>
          </w:tcPr>
          <w:p>
            <w:pPr>
              <w:pStyle w:val="Compact"/>
              <w:jc w:val="left"/>
            </w:pPr>
            <w:r>
              <w:t xml:space="preserve">HSV + RGB</w:t>
            </w:r>
          </w:p>
        </w:tc>
        <w:tc>
          <w:tcPr>
            <w:tcW w:w="663" w:type="dxa"/>
          </w:tcPr>
          <w:p>
            <w:pPr>
              <w:pStyle w:val="Compact"/>
              <w:jc w:val="center"/>
            </w:pPr>
            <w:r>
              <w:t xml:space="preserve">136</w:t>
            </w:r>
          </w:p>
        </w:tc>
        <w:tc>
          <w:tcPr>
            <w:tcW w:w="650" w:type="dxa"/>
          </w:tcPr>
          <w:p>
            <w:pPr>
              <w:pStyle w:val="Compact"/>
              <w:jc w:val="center"/>
            </w:pPr>
            <w:r>
              <w:t xml:space="preserve">38</w:t>
            </w:r>
          </w:p>
        </w:tc>
        <w:tc>
          <w:tcPr>
            <w:tcW w:w="663" w:type="dxa"/>
          </w:tcPr>
          <w:p>
            <w:pPr>
              <w:pStyle w:val="Compact"/>
              <w:jc w:val="center"/>
            </w:pPr>
            <w:r>
              <w:t xml:space="preserve">213</w:t>
            </w:r>
          </w:p>
        </w:tc>
        <w:tc>
          <w:tcPr>
            <w:tcW w:w="650" w:type="dxa"/>
          </w:tcPr>
          <w:p>
            <w:pPr>
              <w:pStyle w:val="Compact"/>
              <w:jc w:val="center"/>
            </w:pPr>
            <w:r>
              <w:t xml:space="preserve">23</w:t>
            </w:r>
          </w:p>
        </w:tc>
        <w:tc>
          <w:tcPr>
            <w:tcW w:w="1466" w:type="dxa"/>
          </w:tcPr>
          <w:p>
            <w:pPr>
              <w:pStyle w:val="Compact"/>
              <w:jc w:val="center"/>
            </w:pPr>
            <w:r>
              <w:t xml:space="preserve">38.97%</w:t>
            </w:r>
          </w:p>
        </w:tc>
        <w:tc>
          <w:tcPr>
            <w:tcW w:w="1222" w:type="dxa"/>
          </w:tcPr>
          <w:p>
            <w:pPr>
              <w:pStyle w:val="Compact"/>
              <w:jc w:val="center"/>
            </w:pPr>
            <w:r>
              <w:t xml:space="preserve">85.53%</w:t>
            </w:r>
          </w:p>
        </w:tc>
        <w:tc>
          <w:tcPr>
            <w:tcW w:w="1340" w:type="dxa"/>
          </w:tcPr>
          <w:p>
            <w:pPr>
              <w:pStyle w:val="Compact"/>
              <w:jc w:val="center"/>
            </w:pPr>
            <w:r>
              <w:t xml:space="preserve">53.54%</w:t>
            </w:r>
          </w:p>
        </w:tc>
        <w:tc>
          <w:tcPr>
            <w:tcW w:w="1222" w:type="dxa"/>
          </w:tcPr>
          <w:p>
            <w:pPr>
              <w:pStyle w:val="Compact"/>
              <w:jc w:val="center"/>
            </w:pPr>
            <w:r>
              <w:t xml:space="preserve">84.86%</w:t>
            </w:r>
          </w:p>
        </w:tc>
      </w:tr>
      <w:tr>
        <w:tc>
          <w:tcPr>
            <w:tcW w:w="1762" w:type="dxa"/>
          </w:tcPr>
          <w:p>
            <w:pPr>
              <w:pStyle w:val="Compact"/>
              <w:jc w:val="left"/>
            </w:pPr>
            <w:r>
              <w:t xml:space="preserve">HSV + YCbCr</w:t>
            </w:r>
          </w:p>
        </w:tc>
        <w:tc>
          <w:tcPr>
            <w:tcW w:w="663" w:type="dxa"/>
          </w:tcPr>
          <w:p>
            <w:pPr>
              <w:pStyle w:val="Compact"/>
              <w:jc w:val="center"/>
            </w:pPr>
            <w:r>
              <w:t xml:space="preserve">115</w:t>
            </w:r>
          </w:p>
        </w:tc>
        <w:tc>
          <w:tcPr>
            <w:tcW w:w="650" w:type="dxa"/>
          </w:tcPr>
          <w:p>
            <w:pPr>
              <w:pStyle w:val="Compact"/>
              <w:jc w:val="center"/>
            </w:pPr>
            <w:r>
              <w:t xml:space="preserve">69</w:t>
            </w:r>
          </w:p>
        </w:tc>
        <w:tc>
          <w:tcPr>
            <w:tcW w:w="663" w:type="dxa"/>
          </w:tcPr>
          <w:p>
            <w:pPr>
              <w:pStyle w:val="Compact"/>
              <w:jc w:val="center"/>
            </w:pPr>
            <w:r>
              <w:t xml:space="preserve">182</w:t>
            </w:r>
          </w:p>
        </w:tc>
        <w:tc>
          <w:tcPr>
            <w:tcW w:w="650" w:type="dxa"/>
          </w:tcPr>
          <w:p>
            <w:pPr>
              <w:pStyle w:val="Compact"/>
              <w:jc w:val="center"/>
            </w:pPr>
            <w:r>
              <w:t xml:space="preserve">44</w:t>
            </w:r>
          </w:p>
        </w:tc>
        <w:tc>
          <w:tcPr>
            <w:tcW w:w="1466" w:type="dxa"/>
          </w:tcPr>
          <w:p>
            <w:pPr>
              <w:pStyle w:val="Compact"/>
              <w:jc w:val="center"/>
            </w:pPr>
            <w:r>
              <w:t xml:space="preserve">38.72%</w:t>
            </w:r>
          </w:p>
        </w:tc>
        <w:tc>
          <w:tcPr>
            <w:tcW w:w="1222" w:type="dxa"/>
          </w:tcPr>
          <w:p>
            <w:pPr>
              <w:pStyle w:val="Compact"/>
              <w:jc w:val="center"/>
            </w:pPr>
            <w:r>
              <w:t xml:space="preserve">72.33%</w:t>
            </w:r>
          </w:p>
        </w:tc>
        <w:tc>
          <w:tcPr>
            <w:tcW w:w="1340" w:type="dxa"/>
          </w:tcPr>
          <w:p>
            <w:pPr>
              <w:pStyle w:val="Compact"/>
              <w:jc w:val="center"/>
            </w:pPr>
            <w:r>
              <w:t xml:space="preserve">50.44%</w:t>
            </w:r>
          </w:p>
        </w:tc>
        <w:tc>
          <w:tcPr>
            <w:tcW w:w="1222" w:type="dxa"/>
          </w:tcPr>
          <w:p>
            <w:pPr>
              <w:pStyle w:val="Compact"/>
              <w:jc w:val="center"/>
            </w:pPr>
            <w:r>
              <w:t xml:space="preserve">72.51%</w:t>
            </w:r>
          </w:p>
        </w:tc>
      </w:tr>
      <w:tr>
        <w:tc>
          <w:tcPr>
            <w:tcW w:w="1762" w:type="dxa"/>
          </w:tcPr>
          <w:p>
            <w:pPr>
              <w:pStyle w:val="Compact"/>
              <w:jc w:val="left"/>
            </w:pPr>
            <w:r>
              <w:t xml:space="preserve">RGB + YCbCr</w:t>
            </w:r>
          </w:p>
        </w:tc>
        <w:tc>
          <w:tcPr>
            <w:tcW w:w="663" w:type="dxa"/>
          </w:tcPr>
          <w:p>
            <w:pPr>
              <w:pStyle w:val="Compact"/>
              <w:jc w:val="center"/>
            </w:pPr>
            <w:r>
              <w:t xml:space="preserve">129</w:t>
            </w:r>
          </w:p>
        </w:tc>
        <w:tc>
          <w:tcPr>
            <w:tcW w:w="650" w:type="dxa"/>
          </w:tcPr>
          <w:p>
            <w:pPr>
              <w:pStyle w:val="Compact"/>
              <w:jc w:val="center"/>
            </w:pPr>
            <w:r>
              <w:t xml:space="preserve">49</w:t>
            </w:r>
          </w:p>
        </w:tc>
        <w:tc>
          <w:tcPr>
            <w:tcW w:w="663" w:type="dxa"/>
          </w:tcPr>
          <w:p>
            <w:pPr>
              <w:pStyle w:val="Compact"/>
              <w:jc w:val="center"/>
            </w:pPr>
            <w:r>
              <w:t xml:space="preserve">202</w:t>
            </w:r>
          </w:p>
        </w:tc>
        <w:tc>
          <w:tcPr>
            <w:tcW w:w="650" w:type="dxa"/>
          </w:tcPr>
          <w:p>
            <w:pPr>
              <w:pStyle w:val="Compact"/>
              <w:jc w:val="center"/>
            </w:pPr>
            <w:r>
              <w:t xml:space="preserve">30</w:t>
            </w:r>
          </w:p>
        </w:tc>
        <w:tc>
          <w:tcPr>
            <w:tcW w:w="1466" w:type="dxa"/>
          </w:tcPr>
          <w:p>
            <w:pPr>
              <w:pStyle w:val="Compact"/>
              <w:jc w:val="center"/>
            </w:pPr>
            <w:r>
              <w:t xml:space="preserve">38.97%</w:t>
            </w:r>
          </w:p>
        </w:tc>
        <w:tc>
          <w:tcPr>
            <w:tcW w:w="1222" w:type="dxa"/>
          </w:tcPr>
          <w:p>
            <w:pPr>
              <w:pStyle w:val="Compact"/>
              <w:jc w:val="center"/>
            </w:pPr>
            <w:r>
              <w:t xml:space="preserve">81.13%</w:t>
            </w:r>
          </w:p>
        </w:tc>
        <w:tc>
          <w:tcPr>
            <w:tcW w:w="1340" w:type="dxa"/>
          </w:tcPr>
          <w:p>
            <w:pPr>
              <w:pStyle w:val="Compact"/>
              <w:jc w:val="center"/>
            </w:pPr>
            <w:r>
              <w:t xml:space="preserve">52.65%</w:t>
            </w:r>
          </w:p>
        </w:tc>
        <w:tc>
          <w:tcPr>
            <w:tcW w:w="1222" w:type="dxa"/>
          </w:tcPr>
          <w:p>
            <w:pPr>
              <w:pStyle w:val="Compact"/>
              <w:jc w:val="center"/>
            </w:pPr>
            <w:r>
              <w:t xml:space="preserve">80.48%</w:t>
            </w:r>
          </w:p>
        </w:tc>
      </w:tr>
      <w:tr>
        <w:tc>
          <w:tcPr>
            <w:tcW w:w="1762" w:type="dxa"/>
          </w:tcPr>
          <w:p>
            <w:pPr>
              <w:pStyle w:val="Compact"/>
              <w:jc w:val="left"/>
            </w:pPr>
            <w:r>
              <w:t xml:space="preserve">HSV + RGB + YCbCr (proposed)</w:t>
            </w:r>
          </w:p>
        </w:tc>
        <w:tc>
          <w:tcPr>
            <w:tcW w:w="663" w:type="dxa"/>
          </w:tcPr>
          <w:p>
            <w:pPr>
              <w:pStyle w:val="Compact"/>
              <w:jc w:val="center"/>
            </w:pPr>
            <w:r>
              <w:t xml:space="preserve">129</w:t>
            </w:r>
          </w:p>
        </w:tc>
        <w:tc>
          <w:tcPr>
            <w:tcW w:w="650" w:type="dxa"/>
          </w:tcPr>
          <w:p>
            <w:pPr>
              <w:pStyle w:val="Compact"/>
              <w:jc w:val="center"/>
            </w:pPr>
            <w:r>
              <w:t xml:space="preserve">49</w:t>
            </w:r>
          </w:p>
        </w:tc>
        <w:tc>
          <w:tcPr>
            <w:tcW w:w="663" w:type="dxa"/>
          </w:tcPr>
          <w:p>
            <w:pPr>
              <w:pStyle w:val="Compact"/>
              <w:jc w:val="center"/>
            </w:pPr>
            <w:r>
              <w:t xml:space="preserve">202</w:t>
            </w:r>
          </w:p>
        </w:tc>
        <w:tc>
          <w:tcPr>
            <w:tcW w:w="650" w:type="dxa"/>
          </w:tcPr>
          <w:p>
            <w:pPr>
              <w:pStyle w:val="Compact"/>
              <w:jc w:val="center"/>
            </w:pPr>
            <w:r>
              <w:t xml:space="preserve">30</w:t>
            </w:r>
          </w:p>
        </w:tc>
        <w:tc>
          <w:tcPr>
            <w:tcW w:w="1466" w:type="dxa"/>
          </w:tcPr>
          <w:p>
            <w:pPr>
              <w:pStyle w:val="Compact"/>
              <w:jc w:val="center"/>
            </w:pPr>
            <w:r>
              <w:t xml:space="preserve">38.97%</w:t>
            </w:r>
          </w:p>
        </w:tc>
        <w:tc>
          <w:tcPr>
            <w:tcW w:w="1222" w:type="dxa"/>
          </w:tcPr>
          <w:p>
            <w:pPr>
              <w:pStyle w:val="Compact"/>
              <w:jc w:val="center"/>
            </w:pPr>
            <w:r>
              <w:t xml:space="preserve">81.13%</w:t>
            </w:r>
          </w:p>
        </w:tc>
        <w:tc>
          <w:tcPr>
            <w:tcW w:w="1340" w:type="dxa"/>
          </w:tcPr>
          <w:p>
            <w:pPr>
              <w:pStyle w:val="Compact"/>
              <w:jc w:val="center"/>
            </w:pPr>
            <w:r>
              <w:t xml:space="preserve">52.65%</w:t>
            </w:r>
          </w:p>
        </w:tc>
        <w:tc>
          <w:tcPr>
            <w:tcW w:w="1222" w:type="dxa"/>
          </w:tcPr>
          <w:p>
            <w:pPr>
              <w:pStyle w:val="Compact"/>
              <w:jc w:val="center"/>
            </w:pPr>
            <w:r>
              <w:t xml:space="preserve">80.48%</w:t>
            </w:r>
          </w:p>
        </w:tc>
      </w:tr>
      <w:tr>
        <w:tc>
          <w:tcPr>
            <w:tcW w:w="1762" w:type="dxa"/>
          </w:tcPr>
          <w:p>
            <w:pPr>
              <w:pStyle w:val="Compact"/>
              <w:jc w:val="left"/>
            </w:pPr>
            <w:r>
              <w:rPr>
                <w:i/>
              </w:rPr>
              <w:t xml:space="preserve">Null: constant positive</w:t>
            </w:r>
          </w:p>
        </w:tc>
        <w:tc>
          <w:tcPr>
            <w:tcW w:w="663" w:type="dxa"/>
          </w:tcPr>
          <w:p>
            <w:pPr>
              <w:pStyle w:val="Compact"/>
              <w:jc w:val="center"/>
            </w:pPr>
            <w:r>
              <w:t xml:space="preserve">159</w:t>
            </w:r>
          </w:p>
        </w:tc>
        <w:tc>
          <w:tcPr>
            <w:tcW w:w="650" w:type="dxa"/>
          </w:tcPr>
          <w:p>
            <w:pPr>
              <w:pStyle w:val="Compact"/>
              <w:jc w:val="center"/>
            </w:pPr>
            <w:r>
              <w:t xml:space="preserve">0</w:t>
            </w:r>
          </w:p>
        </w:tc>
        <w:tc>
          <w:tcPr>
            <w:tcW w:w="663" w:type="dxa"/>
          </w:tcPr>
          <w:p>
            <w:pPr>
              <w:pStyle w:val="Compact"/>
              <w:jc w:val="center"/>
            </w:pPr>
            <w:r>
              <w:t xml:space="preserve">251</w:t>
            </w:r>
          </w:p>
        </w:tc>
        <w:tc>
          <w:tcPr>
            <w:tcW w:w="650" w:type="dxa"/>
          </w:tcPr>
          <w:p>
            <w:pPr>
              <w:pStyle w:val="Compact"/>
              <w:jc w:val="center"/>
            </w:pPr>
            <w:r>
              <w:t xml:space="preserve">0</w:t>
            </w:r>
          </w:p>
        </w:tc>
        <w:tc>
          <w:tcPr>
            <w:tcW w:w="1466" w:type="dxa"/>
          </w:tcPr>
          <w:p>
            <w:pPr>
              <w:pStyle w:val="Compact"/>
              <w:jc w:val="center"/>
            </w:pPr>
            <w:r>
              <w:t xml:space="preserve">38.78%</w:t>
            </w:r>
          </w:p>
        </w:tc>
        <w:tc>
          <w:tcPr>
            <w:tcW w:w="1222" w:type="dxa"/>
          </w:tcPr>
          <w:p>
            <w:pPr>
              <w:pStyle w:val="Compact"/>
              <w:jc w:val="center"/>
            </w:pPr>
            <w:r>
              <w:t xml:space="preserve">100.00%</w:t>
            </w:r>
          </w:p>
        </w:tc>
        <w:tc>
          <w:tcPr>
            <w:tcW w:w="1340" w:type="dxa"/>
          </w:tcPr>
          <w:p>
            <w:pPr>
              <w:pStyle w:val="Compact"/>
              <w:jc w:val="center"/>
            </w:pPr>
            <w:r>
              <w:rPr>
                <w:b/>
              </w:rPr>
              <w:t xml:space="preserve">55.89%</w:t>
            </w:r>
          </w:p>
        </w:tc>
        <w:tc>
          <w:tcPr>
            <w:tcW w:w="1222" w:type="dxa"/>
          </w:tcPr>
          <w:p>
            <w:pPr>
              <w:pStyle w:val="Compact"/>
              <w:jc w:val="center"/>
            </w:pPr>
            <w:r>
              <w:t xml:space="preserve">100.00%</w:t>
            </w:r>
          </w:p>
        </w:tc>
      </w:tr>
      <w:tr>
        <w:tc>
          <w:tcPr>
            <w:tcW w:w="1762" w:type="dxa"/>
          </w:tcPr>
          <w:p>
            <w:pPr>
              <w:pStyle w:val="Compact"/>
              <w:jc w:val="left"/>
            </w:pPr>
            <w:r>
              <w:rPr>
                <w:i/>
              </w:rPr>
              <w:t xml:space="preserve">Null: constant negative</w:t>
            </w:r>
          </w:p>
        </w:tc>
        <w:tc>
          <w:tcPr>
            <w:tcW w:w="663" w:type="dxa"/>
          </w:tcPr>
          <w:p>
            <w:pPr>
              <w:pStyle w:val="Compact"/>
              <w:jc w:val="center"/>
            </w:pPr>
            <w:r>
              <w:t xml:space="preserve">0</w:t>
            </w:r>
          </w:p>
        </w:tc>
        <w:tc>
          <w:tcPr>
            <w:tcW w:w="650" w:type="dxa"/>
          </w:tcPr>
          <w:p>
            <w:pPr>
              <w:pStyle w:val="Compact"/>
              <w:jc w:val="center"/>
            </w:pPr>
            <w:r>
              <w:t xml:space="preserve">251</w:t>
            </w:r>
          </w:p>
        </w:tc>
        <w:tc>
          <w:tcPr>
            <w:tcW w:w="663" w:type="dxa"/>
          </w:tcPr>
          <w:p>
            <w:pPr>
              <w:pStyle w:val="Compact"/>
              <w:jc w:val="center"/>
            </w:pPr>
            <w:r>
              <w:t xml:space="preserve">0</w:t>
            </w:r>
          </w:p>
        </w:tc>
        <w:tc>
          <w:tcPr>
            <w:tcW w:w="650" w:type="dxa"/>
          </w:tcPr>
          <w:p>
            <w:pPr>
              <w:pStyle w:val="Compact"/>
              <w:jc w:val="center"/>
            </w:pPr>
            <w:r>
              <w:t xml:space="preserve">159</w:t>
            </w:r>
          </w:p>
        </w:tc>
        <w:tc>
          <w:tcPr>
            <w:tcW w:w="1466" w:type="dxa"/>
          </w:tcPr>
          <w:p>
            <w:pPr>
              <w:pStyle w:val="Compact"/>
              <w:jc w:val="center"/>
            </w:pPr>
            <w:r>
              <w:t xml:space="preserve">—</w:t>
            </w:r>
          </w:p>
        </w:tc>
        <w:tc>
          <w:tcPr>
            <w:tcW w:w="1222" w:type="dxa"/>
          </w:tcPr>
          <w:p>
            <w:pPr>
              <w:pStyle w:val="Compact"/>
              <w:jc w:val="center"/>
            </w:pPr>
            <w:r>
              <w:t xml:space="preserve">0.00%</w:t>
            </w:r>
          </w:p>
        </w:tc>
        <w:tc>
          <w:tcPr>
            <w:tcW w:w="1340" w:type="dxa"/>
          </w:tcPr>
          <w:p>
            <w:pPr>
              <w:pStyle w:val="Compact"/>
              <w:jc w:val="center"/>
            </w:pPr>
            <w:r>
              <w:t xml:space="preserve">—</w:t>
            </w:r>
          </w:p>
        </w:tc>
        <w:tc>
          <w:tcPr>
            <w:tcW w:w="1222" w:type="dxa"/>
          </w:tcPr>
          <w:p>
            <w:pPr>
              <w:pStyle w:val="Compact"/>
              <w:jc w:val="center"/>
            </w:pPr>
            <w:r>
              <w:t xml:space="preserve">0.00%</w:t>
            </w:r>
          </w:p>
        </w:tc>
      </w:tr>
    </w:tbl>
    <w:p>
      <w:pPr>
        <w:pStyle w:val="BodyText"/>
      </w:pPr>
      <w:r>
        <w:t xml:space="preserve">Note: Bold marks the highest F1-score in the table, which belongs to a constant predictor rather than to any color-space configuration. Precision is undefined for the constant-negative rule, shown as an em dash, because that rule emits no positive prediction. The RGB ∩ YCbCr and HSV ∩ RGB ∩ YCbCr rows are numerically identical: at the thresholds of Section 3.1, adding the HSV mask does not change any image-level decision on this split. The two italicized rows are decision rules that never inspect the image; accuracy for the constant-negative rule is 61.22% against 43.41% for the proposed configuration.</w:t>
      </w:r>
    </w:p>
    <w:p>
      <w:pPr>
        <w:pStyle w:val="BodyText"/>
      </w:pPr>
      <w:r>
        <w:t xml:space="preserve">Four observations follow from Table 1. First, the RGB mask alone is the most permissive single filter, reaching the highest recall of 93.08% together with the highest FPR of 90.04%; the YCbCr and HSV masks are progressively more selective. Second, every intersection reduces both recall and FPR relative to its most permissive component, which is the expected behavior of a conjunctive filter; the HSV ∩ YCbCr pair reaches the lowest FPR of 72.51% at the cost of the lowest recall of 72.33%. Third, the full triple intersection is numerically indistinguishable from RGB ∩ YCbCr on this split, since the confusion matrices are identical. The HSV mask alters the pixel-level mask and the emitted box geometry, but at these thresholds it never changes the binary image-level decision, so the triple intersection is not empirically justified over the RGB ∩ YCbCr pair by this experiment and is retained only for the geometric refinement of the boxes.</w:t>
      </w:r>
    </w:p>
    <w:p>
      <w:pPr>
        <w:pStyle w:val="BodyText"/>
      </w:pPr>
      <w:r>
        <w:t xml:space="preserve">Fourth, and subsuming the other three, no configuration in Table 1 exceeds the constant-positive F1-score of 55.89%. The highest color-space F1-score is 55.53%, obtained by the RGB mask alone, that is, by the single most permissive filter and the one closest in behavior to labeling everything positive. The ordering is informative: within this family, F1-score improves monotonically as the filter becomes less discriminative, which is the signature of a feature that carries little class information on this data. Component ablation therefore cannot be read here as an attribution of useful contributions among the three color spaces, because the quantity being attributed does not exceed its null value.</w:t>
      </w:r>
    </w:p>
    <w:p>
      <w:pPr>
        <w:pStyle w:val="BodyText"/>
      </w:pPr>
      <w:r>
        <w:t xml:space="preserve">Both F1 and accuracy depend on the class prior, so a reader is entitled to ask whether this finding is a property of the detector or of a 38.78% positive rate. Two measures that do not depend on the prior settle it. Informedness, recall plus specificity minus one, and the Matthews correlation are both zero for any rule whose predictions are independent of the label, at any class balance, and neither can be raised by a constant rule. The released configuration reaches an informedness of 0.0065 and a Matthews correlation of 0.0081. The best of the seven ablations reaches 0.0524 and two of them are negative, the YCbCr mask alone giving -0.0325. The statement the null baselines were reaching for is therefore available without reference to any prior: on this split the detector is not distinguishable from chance.</w:t>
      </w:r>
    </w:p>
    <w:p>
      <w:pPr>
        <w:pStyle w:val="BodyText"/>
      </w:pPr>
      <w:r>
        <w:t xml:space="preserve">One repair remains to be excluded before the finding is attributed to the rule rather than to its thresholds. Every quantity above is a decision, but the pipeline also emits a count of surviving boxes, and a reader may object that a better rule over that count would rescue the detector. It would not. Sweeping a threshold over the per-image box count released in</w:t>
      </w:r>
      <w:r>
        <w:t xml:space="preserve"> </w:t>
      </w:r>
      <w:r>
        <w:rPr>
          <w:rStyle w:val="VerbatimChar"/>
        </w:rPr>
        <w:t xml:space="preserve">test_predictions_v1_ablation.csv</w:t>
      </w:r>
      <w:r>
        <w:t xml:space="preserve">, and taking the best F1 any threshold attains with the test labels in hand, gives 55.89% at a Matthews correlation of 0.0, and the same pair for every one of the seven configurations. That optimum is the degenerate threshold, the one that calls every image positive: no non-trivial rule over the pipeline's own output beats the constant predictor, even when the threshold is chosen knowing the answers. The bound is deliberately optimistic, since it is selected on the data it is scored against, so it can only overstate what a rule chosen honestly would achieve. The information the chromatic stage passes forward is exhausted, and Section 4.4 asks whether the information was there to begin with.</w:t>
      </w:r>
    </w:p>
    <w:p>
      <w:pPr>
        <w:pStyle w:val="Heading3"/>
      </w:pPr>
      <w:bookmarkStart w:id="35" w:name="X0e5246ca84c444c792030f419740906c5cb44f4"/>
      <w:r>
        <w:t xml:space="preserve">4.3 Resolution Sensitivity of the Fixed Area Threshold</w:t>
      </w:r>
      <w:bookmarkEnd w:id="35"/>
    </w:p>
    <w:p>
      <w:pPr>
        <w:pStyle w:val="FirstParagraph"/>
      </w:pPr>
      <w:r>
        <w:t xml:space="preserve">Sections 4.1 and 4.2 attribute a false-positive rate of 80.48% to the chromatic stage in its released configuration, and no ablation of it falls below 72.51%. Before that attribution is accepted, one confound must be eliminated. The minimum cluster area of Eq. (2) is an absolute pixel count, 600 px at the reference altitude, whereas the still-image dataset contains images whose resolution spans 0.04 to 101.86 megapixels with a median of 12.19 megapixels. A 600 px region is 0.0049% of the median test image but 0.195% of the 640 × 480 frames on which the detector runs in the video configuration of Section 3.2, a difference of roughly forty times in relative area. On the still images the area criterion is therefore close to inoperative, and any sufficiently small chromatic speck survives it.</w:t>
      </w:r>
    </w:p>
    <w:p>
      <w:pPr>
        <w:pStyle w:val="BodyText"/>
      </w:pPr>
      <w:r>
        <w:t xml:space="preserve">The data are consistent with that reading. Partitioning the 251 no-fire test images by resolution, the mean number of spurious boxes per image rises monotonically with resolution: 0.67 below 2 megapixels, then 1.50, 3.36 and 5.91, and 10.80 above 25 megapixels, with a Pearson correlation of 0.355 between image area and spurious box count. One 19.89 megapixel no-fire photograph alone yields 61 boxes. The false-alarm rate itself rises less cleanly, from 65.9% in the 5 to 10 megapixel band to 85.7% in the 10 to 25 megapixel band before falling to 76.0% above 25 megapixels, and the two smallest bands contain only three and four images respectively, so the box count rather than the image-level rate is the reliable indicator.</w:t>
      </w:r>
    </w:p>
    <w:p>
      <w:pPr>
        <w:pStyle w:val="BodyText"/>
      </w:pPr>
      <w:r>
        <w:t xml:space="preserve">To separate the scale effect from the chromatic effect, the entire test split was re-evaluated with a single change: each image was decoded at full resolution and then resized to 640 × 480 by bilinear interpolation, the resolution at which the video experiments operate, before being passed to an otherwise identical detector. This control was executed for the present paper and is not part of the original evaluation scripts; the modification is one resize call. Both conditions are reported in Table 2.</w:t>
      </w:r>
    </w:p>
    <w:p>
      <w:pPr>
        <w:pStyle w:val="BodyText"/>
      </w:pPr>
      <w:r>
        <w:t xml:space="preserve">Table 2: Effect of input resolution normalization on the test split (410 images). The native condition is the evaluation of Section 4.1; the resized condition applies the identical detector to the same images after downscaling each to 640 × 480.</w:t>
      </w:r>
    </w:p>
    <w:tbl>
      <w:tblPr>
        <w:tblStyle w:val="Table"/>
        <w:tblW w:w="9638" w:type="dxa"/>
        <w:tblBorders>
          <w:top w:val="single" w:sz="12" w:space="0" w:color="000000"/>
          <w:bottom w:val="single" w:sz="12" w:space="0" w:color="000000"/>
          <w:insideH w:val="none" w:sz="0" w:space="0" w:color="auto"/>
        </w:tblBorders>
        <w:tblLayout w:type="fixed"/>
        <w:tblLook w:firstRow="1"/>
      </w:tblPr>
      <w:tblGrid>
        <w:gridCol w:w="2939"/>
        <w:gridCol w:w="2402"/>
        <w:gridCol w:w="2054"/>
        <w:gridCol w:w="2243"/>
      </w:tblGrid>
      <w:tr>
        <w:trPr>
          <w:tblHeader/>
          <w:cnfStyle w:firstRow="1"/>
        </w:trPr>
        <w:tc>
          <w:tcPr>
            <w:tcW w:w="2939" w:type="dxa"/>
            <w:tcBorders>
              <w:bottom w:val="single" w:sz="6" w:space="0" w:color="000000"/>
            </w:tcBorders>
            <w:vAlign w:val="bottom"/>
          </w:tcPr>
          <w:p>
            <w:pPr>
              <w:pStyle w:val="Compact"/>
              <w:jc w:val="left"/>
            </w:pPr>
            <w:r>
              <w:rPr>
                <w:b/>
              </w:rPr>
              <w:t xml:space="preserve">Quantity</w:t>
            </w:r>
          </w:p>
        </w:tc>
        <w:tc>
          <w:tcPr>
            <w:tcW w:w="2402" w:type="dxa"/>
            <w:tcBorders>
              <w:bottom w:val="single" w:sz="6" w:space="0" w:color="000000"/>
            </w:tcBorders>
            <w:vAlign w:val="bottom"/>
          </w:tcPr>
          <w:p>
            <w:pPr>
              <w:pStyle w:val="Compact"/>
              <w:jc w:val="center"/>
            </w:pPr>
            <w:r>
              <w:rPr>
                <w:b/>
              </w:rPr>
              <w:t xml:space="preserve">Native resolution</w:t>
            </w:r>
          </w:p>
        </w:tc>
        <w:tc>
          <w:tcPr>
            <w:tcW w:w="2054" w:type="dxa"/>
            <w:tcBorders>
              <w:bottom w:val="single" w:sz="6" w:space="0" w:color="000000"/>
            </w:tcBorders>
            <w:vAlign w:val="bottom"/>
          </w:tcPr>
          <w:p>
            <w:pPr>
              <w:pStyle w:val="Compact"/>
              <w:jc w:val="center"/>
            </w:pPr>
            <w:r>
              <w:rPr>
                <w:b/>
              </w:rPr>
              <w:t xml:space="preserve">Resized to 640 × 480</w:t>
            </w:r>
          </w:p>
        </w:tc>
        <w:tc>
          <w:tcPr>
            <w:tcW w:w="2243" w:type="dxa"/>
            <w:tcBorders>
              <w:bottom w:val="single" w:sz="6" w:space="0" w:color="000000"/>
            </w:tcBorders>
            <w:vAlign w:val="bottom"/>
          </w:tcPr>
          <w:p>
            <w:pPr>
              <w:pStyle w:val="Compact"/>
              <w:jc w:val="center"/>
            </w:pPr>
            <w:r>
              <w:rPr>
                <w:b/>
              </w:rPr>
              <w:t xml:space="preserve">Change</w:t>
            </w:r>
          </w:p>
        </w:tc>
      </w:tr>
      <w:tr>
        <w:tc>
          <w:tcPr>
            <w:tcW w:w="2939" w:type="dxa"/>
          </w:tcPr>
          <w:p>
            <w:pPr>
              <w:pStyle w:val="Compact"/>
              <w:jc w:val="left"/>
            </w:pPr>
            <w:r>
              <w:t xml:space="preserve">TP / TN / FP / FN</w:t>
            </w:r>
          </w:p>
        </w:tc>
        <w:tc>
          <w:tcPr>
            <w:tcW w:w="2402" w:type="dxa"/>
          </w:tcPr>
          <w:p>
            <w:pPr>
              <w:pStyle w:val="Compact"/>
              <w:jc w:val="left"/>
            </w:pPr>
            <w:r>
              <w:t xml:space="preserve">129 / 49 / 202 / 30</w:t>
            </w:r>
          </w:p>
        </w:tc>
        <w:tc>
          <w:tcPr>
            <w:tcW w:w="2054" w:type="dxa"/>
          </w:tcPr>
          <w:p>
            <w:pPr>
              <w:pStyle w:val="Compact"/>
              <w:jc w:val="left"/>
            </w:pPr>
            <w:r>
              <w:t xml:space="preserve">111 / 81 / 170 / 48</w:t>
            </w:r>
          </w:p>
        </w:tc>
        <w:tc>
          <w:tcPr>
            <w:tcW w:w="2243" w:type="dxa"/>
          </w:tcPr>
          <w:p>
            <w:pPr>
              <w:pStyle w:val="Compact"/>
              <w:jc w:val="left"/>
            </w:pPr>
            <w:r>
              <w:t xml:space="preserve">—</w:t>
            </w:r>
          </w:p>
        </w:tc>
      </w:tr>
      <w:tr>
        <w:tc>
          <w:tcPr>
            <w:tcW w:w="2939" w:type="dxa"/>
          </w:tcPr>
          <w:p>
            <w:pPr>
              <w:pStyle w:val="Compact"/>
              <w:jc w:val="left"/>
            </w:pPr>
            <w:r>
              <w:t xml:space="preserve">Accuracy</w:t>
            </w:r>
          </w:p>
        </w:tc>
        <w:tc>
          <w:tcPr>
            <w:tcW w:w="2402" w:type="dxa"/>
          </w:tcPr>
          <w:p>
            <w:pPr>
              <w:pStyle w:val="Compact"/>
              <w:jc w:val="left"/>
            </w:pPr>
            <w:r>
              <w:t xml:space="preserve">43.41%</w:t>
            </w:r>
          </w:p>
        </w:tc>
        <w:tc>
          <w:tcPr>
            <w:tcW w:w="2054" w:type="dxa"/>
          </w:tcPr>
          <w:p>
            <w:pPr>
              <w:pStyle w:val="Compact"/>
              <w:jc w:val="left"/>
            </w:pPr>
            <w:r>
              <w:t xml:space="preserve">46.83%</w:t>
            </w:r>
          </w:p>
        </w:tc>
        <w:tc>
          <w:tcPr>
            <w:tcW w:w="2243" w:type="dxa"/>
          </w:tcPr>
          <w:p>
            <w:pPr>
              <w:pStyle w:val="Compact"/>
              <w:jc w:val="left"/>
            </w:pPr>
            <w:r>
              <w:t xml:space="preserve">+3.42 pp</w:t>
            </w:r>
          </w:p>
        </w:tc>
      </w:tr>
      <w:tr>
        <w:tc>
          <w:tcPr>
            <w:tcW w:w="2939" w:type="dxa"/>
          </w:tcPr>
          <w:p>
            <w:pPr>
              <w:pStyle w:val="Compact"/>
              <w:jc w:val="left"/>
            </w:pPr>
            <w:r>
              <w:t xml:space="preserve">Precision</w:t>
            </w:r>
          </w:p>
        </w:tc>
        <w:tc>
          <w:tcPr>
            <w:tcW w:w="2402" w:type="dxa"/>
          </w:tcPr>
          <w:p>
            <w:pPr>
              <w:pStyle w:val="Compact"/>
              <w:jc w:val="left"/>
            </w:pPr>
            <w:r>
              <w:t xml:space="preserve">38.97%</w:t>
            </w:r>
          </w:p>
        </w:tc>
        <w:tc>
          <w:tcPr>
            <w:tcW w:w="2054" w:type="dxa"/>
          </w:tcPr>
          <w:p>
            <w:pPr>
              <w:pStyle w:val="Compact"/>
              <w:jc w:val="left"/>
            </w:pPr>
            <w:r>
              <w:t xml:space="preserve">39.50%</w:t>
            </w:r>
          </w:p>
        </w:tc>
        <w:tc>
          <w:tcPr>
            <w:tcW w:w="2243" w:type="dxa"/>
          </w:tcPr>
          <w:p>
            <w:pPr>
              <w:pStyle w:val="Compact"/>
              <w:jc w:val="left"/>
            </w:pPr>
            <w:r>
              <w:t xml:space="preserve">+0.53 pp</w:t>
            </w:r>
          </w:p>
        </w:tc>
      </w:tr>
      <w:tr>
        <w:tc>
          <w:tcPr>
            <w:tcW w:w="2939" w:type="dxa"/>
          </w:tcPr>
          <w:p>
            <w:pPr>
              <w:pStyle w:val="Compact"/>
              <w:jc w:val="left"/>
            </w:pPr>
            <w:r>
              <w:t xml:space="preserve">Recall</w:t>
            </w:r>
          </w:p>
        </w:tc>
        <w:tc>
          <w:tcPr>
            <w:tcW w:w="2402" w:type="dxa"/>
          </w:tcPr>
          <w:p>
            <w:pPr>
              <w:pStyle w:val="Compact"/>
              <w:jc w:val="left"/>
            </w:pPr>
            <w:r>
              <w:t xml:space="preserve">81.13%</w:t>
            </w:r>
          </w:p>
        </w:tc>
        <w:tc>
          <w:tcPr>
            <w:tcW w:w="2054" w:type="dxa"/>
          </w:tcPr>
          <w:p>
            <w:pPr>
              <w:pStyle w:val="Compact"/>
              <w:jc w:val="left"/>
            </w:pPr>
            <w:r>
              <w:t xml:space="preserve">69.81%</w:t>
            </w:r>
          </w:p>
        </w:tc>
        <w:tc>
          <w:tcPr>
            <w:tcW w:w="2243" w:type="dxa"/>
          </w:tcPr>
          <w:p>
            <w:pPr>
              <w:pStyle w:val="Compact"/>
              <w:jc w:val="left"/>
            </w:pPr>
            <w:r>
              <w:t xml:space="preserve">−11.32 pp</w:t>
            </w:r>
          </w:p>
        </w:tc>
      </w:tr>
      <w:tr>
        <w:tc>
          <w:tcPr>
            <w:tcW w:w="2939" w:type="dxa"/>
          </w:tcPr>
          <w:p>
            <w:pPr>
              <w:pStyle w:val="Compact"/>
              <w:jc w:val="left"/>
            </w:pPr>
            <w:r>
              <w:t xml:space="preserve">F1-score</w:t>
            </w:r>
          </w:p>
        </w:tc>
        <w:tc>
          <w:tcPr>
            <w:tcW w:w="2402" w:type="dxa"/>
          </w:tcPr>
          <w:p>
            <w:pPr>
              <w:pStyle w:val="Compact"/>
              <w:jc w:val="left"/>
            </w:pPr>
            <w:r>
              <w:t xml:space="preserve">52.65%</w:t>
            </w:r>
          </w:p>
        </w:tc>
        <w:tc>
          <w:tcPr>
            <w:tcW w:w="2054" w:type="dxa"/>
          </w:tcPr>
          <w:p>
            <w:pPr>
              <w:pStyle w:val="Compact"/>
              <w:jc w:val="left"/>
            </w:pPr>
            <w:r>
              <w:t xml:space="preserve">50.45%</w:t>
            </w:r>
          </w:p>
        </w:tc>
        <w:tc>
          <w:tcPr>
            <w:tcW w:w="2243" w:type="dxa"/>
          </w:tcPr>
          <w:p>
            <w:pPr>
              <w:pStyle w:val="Compact"/>
              <w:jc w:val="left"/>
            </w:pPr>
            <w:r>
              <w:t xml:space="preserve">−2.20 pp</w:t>
            </w:r>
          </w:p>
        </w:tc>
      </w:tr>
      <w:tr>
        <w:tc>
          <w:tcPr>
            <w:tcW w:w="2939" w:type="dxa"/>
          </w:tcPr>
          <w:p>
            <w:pPr>
              <w:pStyle w:val="Compact"/>
              <w:jc w:val="left"/>
            </w:pPr>
            <w:r>
              <w:t xml:space="preserve">Specificity</w:t>
            </w:r>
          </w:p>
        </w:tc>
        <w:tc>
          <w:tcPr>
            <w:tcW w:w="2402" w:type="dxa"/>
          </w:tcPr>
          <w:p>
            <w:pPr>
              <w:pStyle w:val="Compact"/>
              <w:jc w:val="left"/>
            </w:pPr>
            <w:r>
              <w:t xml:space="preserve">19.52%</w:t>
            </w:r>
          </w:p>
        </w:tc>
        <w:tc>
          <w:tcPr>
            <w:tcW w:w="2054" w:type="dxa"/>
          </w:tcPr>
          <w:p>
            <w:pPr>
              <w:pStyle w:val="Compact"/>
              <w:jc w:val="left"/>
            </w:pPr>
            <w:r>
              <w:t xml:space="preserve">32.27%</w:t>
            </w:r>
          </w:p>
        </w:tc>
        <w:tc>
          <w:tcPr>
            <w:tcW w:w="2243" w:type="dxa"/>
          </w:tcPr>
          <w:p>
            <w:pPr>
              <w:pStyle w:val="Compact"/>
              <w:jc w:val="left"/>
            </w:pPr>
            <w:r>
              <w:t xml:space="preserve">+12.75 pp</w:t>
            </w:r>
          </w:p>
        </w:tc>
      </w:tr>
      <w:tr>
        <w:tc>
          <w:tcPr>
            <w:tcW w:w="2939" w:type="dxa"/>
          </w:tcPr>
          <w:p>
            <w:pPr>
              <w:pStyle w:val="Compact"/>
              <w:jc w:val="left"/>
            </w:pPr>
            <w:r>
              <w:t xml:space="preserve">FPR</w:t>
            </w:r>
          </w:p>
        </w:tc>
        <w:tc>
          <w:tcPr>
            <w:tcW w:w="2402" w:type="dxa"/>
          </w:tcPr>
          <w:p>
            <w:pPr>
              <w:pStyle w:val="Compact"/>
              <w:jc w:val="left"/>
            </w:pPr>
            <w:r>
              <w:t xml:space="preserve">80.48%</w:t>
            </w:r>
          </w:p>
        </w:tc>
        <w:tc>
          <w:tcPr>
            <w:tcW w:w="2054" w:type="dxa"/>
          </w:tcPr>
          <w:p>
            <w:pPr>
              <w:pStyle w:val="Compact"/>
              <w:jc w:val="left"/>
            </w:pPr>
            <w:r>
              <w:t xml:space="preserve">67.73%</w:t>
            </w:r>
          </w:p>
        </w:tc>
        <w:tc>
          <w:tcPr>
            <w:tcW w:w="2243" w:type="dxa"/>
          </w:tcPr>
          <w:p>
            <w:pPr>
              <w:pStyle w:val="Compact"/>
              <w:jc w:val="left"/>
            </w:pPr>
            <w:r>
              <w:t xml:space="preserve">−12.75 pp</w:t>
            </w:r>
          </w:p>
        </w:tc>
      </w:tr>
      <w:tr>
        <w:tc>
          <w:tcPr>
            <w:tcW w:w="2939" w:type="dxa"/>
          </w:tcPr>
          <w:p>
            <w:pPr>
              <w:pStyle w:val="Compact"/>
              <w:jc w:val="left"/>
            </w:pPr>
            <w:r>
              <w:t xml:space="preserve">Spurious boxes on the 251 no-fire images</w:t>
            </w:r>
          </w:p>
        </w:tc>
        <w:tc>
          <w:tcPr>
            <w:tcW w:w="2402" w:type="dxa"/>
          </w:tcPr>
          <w:p>
            <w:pPr>
              <w:pStyle w:val="Compact"/>
              <w:jc w:val="left"/>
            </w:pPr>
            <w:r>
              <w:t xml:space="preserve">1461</w:t>
            </w:r>
          </w:p>
        </w:tc>
        <w:tc>
          <w:tcPr>
            <w:tcW w:w="2054" w:type="dxa"/>
          </w:tcPr>
          <w:p>
            <w:pPr>
              <w:pStyle w:val="Compact"/>
              <w:jc w:val="left"/>
            </w:pPr>
            <w:r>
              <w:t xml:space="preserve">231</w:t>
            </w:r>
          </w:p>
        </w:tc>
        <w:tc>
          <w:tcPr>
            <w:tcW w:w="2243" w:type="dxa"/>
          </w:tcPr>
          <w:p>
            <w:pPr>
              <w:pStyle w:val="Compact"/>
              <w:jc w:val="left"/>
            </w:pPr>
            <w:r>
              <w:t xml:space="preserve">−1230 (−84.19%)</w:t>
            </w:r>
          </w:p>
        </w:tc>
      </w:tr>
    </w:tbl>
    <w:p>
      <w:pPr>
        <w:pStyle w:val="BodyText"/>
      </w:pPr>
      <w:r>
        <w:t xml:space="preserve">Note: Both conditions remain below both null baselines of Section 4.1.</w:t>
      </w:r>
    </w:p>
    <w:p>
      <w:pPr>
        <w:pStyle w:val="BodyText"/>
      </w:pPr>
      <w:r>
        <w:t xml:space="preserve">Three conclusions follow. First, the scale confound is real and large. Normalizing the input resolution removes 1230 of the 1461 spurious boxes, a reduction of 84.19%, raises specificity from 19.52% to 32.27%, and lowers the FPR by 12.75 percentage points. A substantial part of what Sections 4.1 and 4.2 measure is therefore an artifact of applying an absolute pixel-area threshold to images roughly forty times larger in area, at the median, than the frames for which that threshold was chosen. This is a correctable implementation defect, not a property of color-space thresholding, and the earlier sections should be read with that qualification.</w:t>
      </w:r>
    </w:p>
    <w:p>
      <w:pPr>
        <w:pStyle w:val="BodyText"/>
      </w:pPr>
      <w:r>
        <w:t xml:space="preserve">Second, the correction does not rescue the detector. Resizing also destroys genuinely small fire regions, so recall falls from 81.13% to 69.81% and the F1-score falls from 52.65% to 50.45%. Because both conditions are evaluated on the same 410 images, the two decision sets are paired and McNemar's test applies. On the 251 no-fire images, resizing corrects 32 decisions and breaks none (χ² = 30.03, p &lt; 0.0001); on the 159 fire images it breaks 18 decisions and corrects none (χ² = 16.06, p = 0.0001). The trade is thus strictly one-directional in each class. Taken over all 410 images, however, the net change in accuracy is not significant (χ² = 3.38, p = 0.066), so resizing cannot be described as a better operating point; it relocates the errors rather than reducing them. Both conditions consequently remain below the constant-positive F1-score of 55.89%, and the accuracy of both remains below the constant-negative accuracy of 61.22%. The central negative result of this paper is therefore robust to the most obvious confound in its own experimental design, which is the reason the control is reported here rather than used to revise the headline figures.</w:t>
      </w:r>
    </w:p>
    <w:p>
      <w:pPr>
        <w:pStyle w:val="BodyText"/>
      </w:pPr>
      <w:r>
        <w:t xml:space="preserve">Third, the two conditions bracket a design requirement rather than identifying a better operating point. Neither an absolute pixel threshold nor a fixed resize is correct. The area criterion should be normalized to the image area, or equivalently expressed as an angular subtense derived from the altitude and the camera intrinsics, so that a given physical fire size maps to the same criterion at every sensor resolution. Eq. (2) already scales the threshold with altitude but not with resolution, and that omission is what the present measurement exposes.</w:t>
      </w:r>
    </w:p>
    <w:p>
      <w:pPr>
        <w:pStyle w:val="Heading3"/>
      </w:pPr>
      <w:bookmarkStart w:id="36" w:name="a-learned-baseline-on-the-same-features"/>
      <w:r>
        <w:t xml:space="preserve">4.4 A Learned Baseline on the Same Features</w:t>
      </w:r>
      <w:bookmarkEnd w:id="36"/>
    </w:p>
    <w:p>
      <w:pPr>
        <w:pStyle w:val="FirstParagraph"/>
      </w:pPr>
      <w:r>
        <w:t xml:space="preserve">Sections 4.1 to 4.3 establish that the detector does not beat a constant predictor and that input resolution explains part but not all of the false-alarm rate. Two explanations of the residual remain, and they imply opposite conclusions. The first is that the fault lies in the hand-set thresholds: color does carry usable class information on this data, and a rule that</w:t>
      </w:r>
      <w:r>
        <w:t xml:space="preserve"> </w:t>
      </w:r>
      <w:r>
        <w:rPr>
          <w:i/>
        </w:rPr>
        <w:t xml:space="preserve">fits</w:t>
      </w:r>
      <w:r>
        <w:t xml:space="preserve"> </w:t>
      </w:r>
      <w:r>
        <w:t xml:space="preserve">weights over the same color evidence will find it. The second is that the fault lies in the evidence: the no-fire class of this dataset was deliberately populated with fire-confounding content, so color is close to uninformative and no amount of adjustment will help. This section discriminates between the two, first by sweeping the threshold family and then by fitting a model on the same features.</w:t>
      </w:r>
    </w:p>
    <w:p>
      <w:pPr>
        <w:pStyle w:val="BodyText"/>
      </w:pPr>
      <w:r>
        <w:t xml:space="preserve">The false-positive analysis of Section 4.1 indicates which parameter to sweep. The surviving spurious detections sit on bright but weakly saturated regions, principally cloud, mist, sunlit snow and pale rock, whereas flame is strongly saturated. The saturation floor of the three hue bands of Section 3.1 is therefore the best-motivated single parameter, and Table 3 sweeps it from the released value of 60 to 220 with every other setting held fixed.</w:t>
      </w:r>
    </w:p>
    <w:p>
      <w:pPr>
        <w:pStyle w:val="BodyText"/>
      </w:pPr>
      <w:r>
        <w:t xml:space="preserve">Table 3: Saturation sweep of the three hue bands of Section 3.1 on the test split (410 images; image-level classification). Every detector parameter other than the saturation floor is held fixed at Section 3; the input path is the resized one given in the note below, which is why the S = 60 F1-score differs from the native-resolution figure of Table 1. The last column gives the distance of the precision from the class prior of 38.78%, which is the quantity the sweep is designed to move and does not.</w:t>
      </w:r>
    </w:p>
    <w:tbl>
      <w:tblPr>
        <w:tblStyle w:val="Table"/>
        <w:tblW w:w="9638" w:type="dxa"/>
        <w:tblBorders>
          <w:top w:val="single" w:sz="12" w:space="0" w:color="000000"/>
          <w:bottom w:val="single" w:sz="12" w:space="0" w:color="000000"/>
          <w:insideH w:val="none" w:sz="0" w:space="0" w:color="auto"/>
        </w:tblBorders>
        <w:tblLayout w:type="fixed"/>
        <w:tblLook w:firstRow="1"/>
      </w:tblPr>
      <w:tblGrid>
        <w:gridCol w:w="1288"/>
        <w:gridCol w:w="532"/>
        <w:gridCol w:w="532"/>
        <w:gridCol w:w="532"/>
        <w:gridCol w:w="532"/>
        <w:gridCol w:w="1072"/>
        <w:gridCol w:w="1180"/>
        <w:gridCol w:w="856"/>
        <w:gridCol w:w="1072"/>
        <w:gridCol w:w="856"/>
        <w:gridCol w:w="1186"/>
      </w:tblGrid>
      <w:tr>
        <w:trPr>
          <w:tblHeader/>
          <w:cnfStyle w:firstRow="1"/>
        </w:trPr>
        <w:tc>
          <w:tcPr>
            <w:tcW w:w="1288" w:type="dxa"/>
            <w:tcBorders>
              <w:bottom w:val="single" w:sz="6" w:space="0" w:color="000000"/>
            </w:tcBorders>
            <w:vAlign w:val="bottom"/>
          </w:tcPr>
          <w:p>
            <w:pPr>
              <w:pStyle w:val="Compact"/>
              <w:jc w:val="left"/>
            </w:pPr>
            <w:r>
              <w:rPr>
                <w:b/>
              </w:rPr>
              <w:t xml:space="preserve">Saturation floor S</w:t>
            </w:r>
          </w:p>
        </w:tc>
        <w:tc>
          <w:tcPr>
            <w:tcW w:w="532" w:type="dxa"/>
            <w:tcBorders>
              <w:bottom w:val="single" w:sz="6" w:space="0" w:color="000000"/>
            </w:tcBorders>
            <w:vAlign w:val="bottom"/>
          </w:tcPr>
          <w:p>
            <w:pPr>
              <w:pStyle w:val="Compact"/>
              <w:jc w:val="center"/>
            </w:pPr>
            <w:r>
              <w:rPr>
                <w:b/>
              </w:rPr>
              <w:t xml:space="preserve">TP</w:t>
            </w:r>
          </w:p>
        </w:tc>
        <w:tc>
          <w:tcPr>
            <w:tcW w:w="532" w:type="dxa"/>
            <w:tcBorders>
              <w:bottom w:val="single" w:sz="6" w:space="0" w:color="000000"/>
            </w:tcBorders>
            <w:vAlign w:val="bottom"/>
          </w:tcPr>
          <w:p>
            <w:pPr>
              <w:pStyle w:val="Compact"/>
              <w:jc w:val="center"/>
            </w:pPr>
            <w:r>
              <w:rPr>
                <w:b/>
              </w:rPr>
              <w:t xml:space="preserve">TN</w:t>
            </w:r>
          </w:p>
        </w:tc>
        <w:tc>
          <w:tcPr>
            <w:tcW w:w="532" w:type="dxa"/>
            <w:tcBorders>
              <w:bottom w:val="single" w:sz="6" w:space="0" w:color="000000"/>
            </w:tcBorders>
            <w:vAlign w:val="bottom"/>
          </w:tcPr>
          <w:p>
            <w:pPr>
              <w:pStyle w:val="Compact"/>
              <w:jc w:val="center"/>
            </w:pPr>
            <w:r>
              <w:rPr>
                <w:b/>
              </w:rPr>
              <w:t xml:space="preserve">FP</w:t>
            </w:r>
          </w:p>
        </w:tc>
        <w:tc>
          <w:tcPr>
            <w:tcW w:w="532" w:type="dxa"/>
            <w:tcBorders>
              <w:bottom w:val="single" w:sz="6" w:space="0" w:color="000000"/>
            </w:tcBorders>
            <w:vAlign w:val="bottom"/>
          </w:tcPr>
          <w:p>
            <w:pPr>
              <w:pStyle w:val="Compact"/>
              <w:jc w:val="center"/>
            </w:pPr>
            <w:r>
              <w:rPr>
                <w:b/>
              </w:rPr>
              <w:t xml:space="preserve">FN</w:t>
            </w:r>
          </w:p>
        </w:tc>
        <w:tc>
          <w:tcPr>
            <w:tcW w:w="1072" w:type="dxa"/>
            <w:tcBorders>
              <w:bottom w:val="single" w:sz="6" w:space="0" w:color="000000"/>
            </w:tcBorders>
            <w:vAlign w:val="bottom"/>
          </w:tcPr>
          <w:p>
            <w:pPr>
              <w:pStyle w:val="Compact"/>
              <w:jc w:val="center"/>
            </w:pPr>
            <w:r>
              <w:rPr>
                <w:b/>
              </w:rPr>
              <w:t xml:space="preserve">Accuracy</w:t>
            </w:r>
          </w:p>
        </w:tc>
        <w:tc>
          <w:tcPr>
            <w:tcW w:w="1180" w:type="dxa"/>
            <w:tcBorders>
              <w:bottom w:val="single" w:sz="6" w:space="0" w:color="000000"/>
            </w:tcBorders>
            <w:vAlign w:val="bottom"/>
          </w:tcPr>
          <w:p>
            <w:pPr>
              <w:pStyle w:val="Compact"/>
              <w:jc w:val="center"/>
            </w:pPr>
            <w:r>
              <w:rPr>
                <w:b/>
              </w:rPr>
              <w:t xml:space="preserve">Precision</w:t>
            </w:r>
          </w:p>
        </w:tc>
        <w:tc>
          <w:tcPr>
            <w:tcW w:w="856" w:type="dxa"/>
            <w:tcBorders>
              <w:bottom w:val="single" w:sz="6" w:space="0" w:color="000000"/>
            </w:tcBorders>
            <w:vAlign w:val="bottom"/>
          </w:tcPr>
          <w:p>
            <w:pPr>
              <w:pStyle w:val="Compact"/>
              <w:jc w:val="center"/>
            </w:pPr>
            <w:r>
              <w:rPr>
                <w:b/>
              </w:rPr>
              <w:t xml:space="preserve">Recall</w:t>
            </w:r>
          </w:p>
        </w:tc>
        <w:tc>
          <w:tcPr>
            <w:tcW w:w="1072" w:type="dxa"/>
            <w:tcBorders>
              <w:bottom w:val="single" w:sz="6" w:space="0" w:color="000000"/>
            </w:tcBorders>
            <w:vAlign w:val="bottom"/>
          </w:tcPr>
          <w:p>
            <w:pPr>
              <w:pStyle w:val="Compact"/>
              <w:jc w:val="center"/>
            </w:pPr>
            <w:r>
              <w:rPr>
                <w:b/>
              </w:rPr>
              <w:t xml:space="preserve">F1-score</w:t>
            </w:r>
          </w:p>
        </w:tc>
        <w:tc>
          <w:tcPr>
            <w:tcW w:w="856" w:type="dxa"/>
            <w:tcBorders>
              <w:bottom w:val="single" w:sz="6" w:space="0" w:color="000000"/>
            </w:tcBorders>
            <w:vAlign w:val="bottom"/>
          </w:tcPr>
          <w:p>
            <w:pPr>
              <w:pStyle w:val="Compact"/>
              <w:jc w:val="center"/>
            </w:pPr>
            <w:r>
              <w:rPr>
                <w:b/>
              </w:rPr>
              <w:t xml:space="preserve">FPR</w:t>
            </w:r>
          </w:p>
        </w:tc>
        <w:tc>
          <w:tcPr>
            <w:tcW w:w="1186" w:type="dxa"/>
            <w:tcBorders>
              <w:bottom w:val="single" w:sz="6" w:space="0" w:color="000000"/>
            </w:tcBorders>
            <w:vAlign w:val="bottom"/>
          </w:tcPr>
          <w:p>
            <w:pPr>
              <w:pStyle w:val="Compact"/>
              <w:jc w:val="center"/>
            </w:pPr>
            <w:r>
              <w:rPr>
                <w:b/>
              </w:rPr>
              <w:t xml:space="preserve">Precision − prior</w:t>
            </w:r>
          </w:p>
        </w:tc>
      </w:tr>
      <w:tr>
        <w:tc>
          <w:tcPr>
            <w:tcW w:w="1288" w:type="dxa"/>
          </w:tcPr>
          <w:p>
            <w:pPr>
              <w:pStyle w:val="Compact"/>
              <w:jc w:val="left"/>
            </w:pPr>
            <w:r>
              <w:t xml:space="preserve">60</w:t>
            </w:r>
            <w:r>
              <w:t xml:space="preserve"> </w:t>
            </w:r>
            <w:r>
              <w:t xml:space="preserve">(released)</w:t>
            </w:r>
          </w:p>
        </w:tc>
        <w:tc>
          <w:tcPr>
            <w:tcW w:w="532" w:type="dxa"/>
          </w:tcPr>
          <w:p>
            <w:pPr>
              <w:pStyle w:val="Compact"/>
              <w:jc w:val="center"/>
            </w:pPr>
            <w:r>
              <w:t xml:space="preserve">100</w:t>
            </w:r>
          </w:p>
        </w:tc>
        <w:tc>
          <w:tcPr>
            <w:tcW w:w="532" w:type="dxa"/>
          </w:tcPr>
          <w:p>
            <w:pPr>
              <w:pStyle w:val="Compact"/>
              <w:jc w:val="center"/>
            </w:pPr>
            <w:r>
              <w:t xml:space="preserve">103</w:t>
            </w:r>
          </w:p>
        </w:tc>
        <w:tc>
          <w:tcPr>
            <w:tcW w:w="532" w:type="dxa"/>
          </w:tcPr>
          <w:p>
            <w:pPr>
              <w:pStyle w:val="Compact"/>
              <w:jc w:val="center"/>
            </w:pPr>
            <w:r>
              <w:t xml:space="preserve">148</w:t>
            </w:r>
          </w:p>
        </w:tc>
        <w:tc>
          <w:tcPr>
            <w:tcW w:w="532" w:type="dxa"/>
          </w:tcPr>
          <w:p>
            <w:pPr>
              <w:pStyle w:val="Compact"/>
              <w:jc w:val="center"/>
            </w:pPr>
            <w:r>
              <w:t xml:space="preserve">59</w:t>
            </w:r>
          </w:p>
        </w:tc>
        <w:tc>
          <w:tcPr>
            <w:tcW w:w="1072" w:type="dxa"/>
          </w:tcPr>
          <w:p>
            <w:pPr>
              <w:pStyle w:val="Compact"/>
              <w:jc w:val="center"/>
            </w:pPr>
            <w:r>
              <w:t xml:space="preserve">49.51%</w:t>
            </w:r>
          </w:p>
        </w:tc>
        <w:tc>
          <w:tcPr>
            <w:tcW w:w="1180" w:type="dxa"/>
          </w:tcPr>
          <w:p>
            <w:pPr>
              <w:pStyle w:val="Compact"/>
              <w:jc w:val="center"/>
            </w:pPr>
            <w:r>
              <w:t xml:space="preserve">40.32%</w:t>
            </w:r>
          </w:p>
        </w:tc>
        <w:tc>
          <w:tcPr>
            <w:tcW w:w="856" w:type="dxa"/>
          </w:tcPr>
          <w:p>
            <w:pPr>
              <w:pStyle w:val="Compact"/>
              <w:jc w:val="center"/>
            </w:pPr>
            <w:r>
              <w:t xml:space="preserve">62.89%</w:t>
            </w:r>
          </w:p>
        </w:tc>
        <w:tc>
          <w:tcPr>
            <w:tcW w:w="1072" w:type="dxa"/>
          </w:tcPr>
          <w:p>
            <w:pPr>
              <w:pStyle w:val="Compact"/>
              <w:jc w:val="center"/>
            </w:pPr>
            <w:r>
              <w:t xml:space="preserve">49.14%</w:t>
            </w:r>
          </w:p>
        </w:tc>
        <w:tc>
          <w:tcPr>
            <w:tcW w:w="856" w:type="dxa"/>
          </w:tcPr>
          <w:p>
            <w:pPr>
              <w:pStyle w:val="Compact"/>
              <w:jc w:val="center"/>
            </w:pPr>
            <w:r>
              <w:t xml:space="preserve">58.96%</w:t>
            </w:r>
          </w:p>
        </w:tc>
        <w:tc>
          <w:tcPr>
            <w:tcW w:w="1186" w:type="dxa"/>
          </w:tcPr>
          <w:p>
            <w:pPr>
              <w:pStyle w:val="Compact"/>
              <w:jc w:val="left"/>
            </w:pPr>
            <w:r>
              <w:t xml:space="preserve">+1.54 pp</w:t>
            </w:r>
          </w:p>
        </w:tc>
      </w:tr>
      <w:tr>
        <w:tc>
          <w:tcPr>
            <w:tcW w:w="1288" w:type="dxa"/>
          </w:tcPr>
          <w:p>
            <w:pPr>
              <w:pStyle w:val="Compact"/>
              <w:jc w:val="left"/>
            </w:pPr>
            <w:r>
              <w:t xml:space="preserve">80</w:t>
            </w:r>
          </w:p>
        </w:tc>
        <w:tc>
          <w:tcPr>
            <w:tcW w:w="532" w:type="dxa"/>
          </w:tcPr>
          <w:p>
            <w:pPr>
              <w:pStyle w:val="Compact"/>
              <w:jc w:val="center"/>
            </w:pPr>
            <w:r>
              <w:t xml:space="preserve">98</w:t>
            </w:r>
          </w:p>
        </w:tc>
        <w:tc>
          <w:tcPr>
            <w:tcW w:w="532" w:type="dxa"/>
          </w:tcPr>
          <w:p>
            <w:pPr>
              <w:pStyle w:val="Compact"/>
              <w:jc w:val="center"/>
            </w:pPr>
            <w:r>
              <w:t xml:space="preserve">104</w:t>
            </w:r>
          </w:p>
        </w:tc>
        <w:tc>
          <w:tcPr>
            <w:tcW w:w="532" w:type="dxa"/>
          </w:tcPr>
          <w:p>
            <w:pPr>
              <w:pStyle w:val="Compact"/>
              <w:jc w:val="center"/>
            </w:pPr>
            <w:r>
              <w:t xml:space="preserve">147</w:t>
            </w:r>
          </w:p>
        </w:tc>
        <w:tc>
          <w:tcPr>
            <w:tcW w:w="532" w:type="dxa"/>
          </w:tcPr>
          <w:p>
            <w:pPr>
              <w:pStyle w:val="Compact"/>
              <w:jc w:val="center"/>
            </w:pPr>
            <w:r>
              <w:t xml:space="preserve">61</w:t>
            </w:r>
          </w:p>
        </w:tc>
        <w:tc>
          <w:tcPr>
            <w:tcW w:w="1072" w:type="dxa"/>
          </w:tcPr>
          <w:p>
            <w:pPr>
              <w:pStyle w:val="Compact"/>
              <w:jc w:val="center"/>
            </w:pPr>
            <w:r>
              <w:t xml:space="preserve">49.27%</w:t>
            </w:r>
          </w:p>
        </w:tc>
        <w:tc>
          <w:tcPr>
            <w:tcW w:w="1180" w:type="dxa"/>
          </w:tcPr>
          <w:p>
            <w:pPr>
              <w:pStyle w:val="Compact"/>
              <w:jc w:val="center"/>
            </w:pPr>
            <w:r>
              <w:t xml:space="preserve">40.00%</w:t>
            </w:r>
          </w:p>
        </w:tc>
        <w:tc>
          <w:tcPr>
            <w:tcW w:w="856" w:type="dxa"/>
          </w:tcPr>
          <w:p>
            <w:pPr>
              <w:pStyle w:val="Compact"/>
              <w:jc w:val="center"/>
            </w:pPr>
            <w:r>
              <w:t xml:space="preserve">61.64%</w:t>
            </w:r>
          </w:p>
        </w:tc>
        <w:tc>
          <w:tcPr>
            <w:tcW w:w="1072" w:type="dxa"/>
          </w:tcPr>
          <w:p>
            <w:pPr>
              <w:pStyle w:val="Compact"/>
              <w:jc w:val="center"/>
            </w:pPr>
            <w:r>
              <w:t xml:space="preserve">48.51%</w:t>
            </w:r>
          </w:p>
        </w:tc>
        <w:tc>
          <w:tcPr>
            <w:tcW w:w="856" w:type="dxa"/>
          </w:tcPr>
          <w:p>
            <w:pPr>
              <w:pStyle w:val="Compact"/>
              <w:jc w:val="center"/>
            </w:pPr>
            <w:r>
              <w:t xml:space="preserve">58.57%</w:t>
            </w:r>
          </w:p>
        </w:tc>
        <w:tc>
          <w:tcPr>
            <w:tcW w:w="1186" w:type="dxa"/>
          </w:tcPr>
          <w:p>
            <w:pPr>
              <w:pStyle w:val="Compact"/>
              <w:jc w:val="left"/>
            </w:pPr>
            <w:r>
              <w:t xml:space="preserve">+1.22 pp</w:t>
            </w:r>
          </w:p>
        </w:tc>
      </w:tr>
      <w:tr>
        <w:tc>
          <w:tcPr>
            <w:tcW w:w="1288" w:type="dxa"/>
          </w:tcPr>
          <w:p>
            <w:pPr>
              <w:pStyle w:val="Compact"/>
              <w:jc w:val="left"/>
            </w:pPr>
            <w:r>
              <w:t xml:space="preserve">100</w:t>
            </w:r>
          </w:p>
        </w:tc>
        <w:tc>
          <w:tcPr>
            <w:tcW w:w="532" w:type="dxa"/>
          </w:tcPr>
          <w:p>
            <w:pPr>
              <w:pStyle w:val="Compact"/>
              <w:jc w:val="center"/>
            </w:pPr>
            <w:r>
              <w:t xml:space="preserve">96</w:t>
            </w:r>
          </w:p>
        </w:tc>
        <w:tc>
          <w:tcPr>
            <w:tcW w:w="532" w:type="dxa"/>
          </w:tcPr>
          <w:p>
            <w:pPr>
              <w:pStyle w:val="Compact"/>
              <w:jc w:val="center"/>
            </w:pPr>
            <w:r>
              <w:t xml:space="preserve">113</w:t>
            </w:r>
          </w:p>
        </w:tc>
        <w:tc>
          <w:tcPr>
            <w:tcW w:w="532" w:type="dxa"/>
          </w:tcPr>
          <w:p>
            <w:pPr>
              <w:pStyle w:val="Compact"/>
              <w:jc w:val="center"/>
            </w:pPr>
            <w:r>
              <w:t xml:space="preserve">138</w:t>
            </w:r>
          </w:p>
        </w:tc>
        <w:tc>
          <w:tcPr>
            <w:tcW w:w="532" w:type="dxa"/>
          </w:tcPr>
          <w:p>
            <w:pPr>
              <w:pStyle w:val="Compact"/>
              <w:jc w:val="center"/>
            </w:pPr>
            <w:r>
              <w:t xml:space="preserve">63</w:t>
            </w:r>
          </w:p>
        </w:tc>
        <w:tc>
          <w:tcPr>
            <w:tcW w:w="1072" w:type="dxa"/>
          </w:tcPr>
          <w:p>
            <w:pPr>
              <w:pStyle w:val="Compact"/>
              <w:jc w:val="center"/>
            </w:pPr>
            <w:r>
              <w:t xml:space="preserve">50.98%</w:t>
            </w:r>
          </w:p>
        </w:tc>
        <w:tc>
          <w:tcPr>
            <w:tcW w:w="1180" w:type="dxa"/>
          </w:tcPr>
          <w:p>
            <w:pPr>
              <w:pStyle w:val="Compact"/>
              <w:jc w:val="center"/>
            </w:pPr>
            <w:r>
              <w:t xml:space="preserve">41.03%</w:t>
            </w:r>
          </w:p>
        </w:tc>
        <w:tc>
          <w:tcPr>
            <w:tcW w:w="856" w:type="dxa"/>
          </w:tcPr>
          <w:p>
            <w:pPr>
              <w:pStyle w:val="Compact"/>
              <w:jc w:val="center"/>
            </w:pPr>
            <w:r>
              <w:t xml:space="preserve">60.38%</w:t>
            </w:r>
          </w:p>
        </w:tc>
        <w:tc>
          <w:tcPr>
            <w:tcW w:w="1072" w:type="dxa"/>
          </w:tcPr>
          <w:p>
            <w:pPr>
              <w:pStyle w:val="Compact"/>
              <w:jc w:val="center"/>
            </w:pPr>
            <w:r>
              <w:t xml:space="preserve">48.85%</w:t>
            </w:r>
          </w:p>
        </w:tc>
        <w:tc>
          <w:tcPr>
            <w:tcW w:w="856" w:type="dxa"/>
          </w:tcPr>
          <w:p>
            <w:pPr>
              <w:pStyle w:val="Compact"/>
              <w:jc w:val="center"/>
            </w:pPr>
            <w:r>
              <w:t xml:space="preserve">54.98%</w:t>
            </w:r>
          </w:p>
        </w:tc>
        <w:tc>
          <w:tcPr>
            <w:tcW w:w="1186" w:type="dxa"/>
          </w:tcPr>
          <w:p>
            <w:pPr>
              <w:pStyle w:val="Compact"/>
              <w:jc w:val="left"/>
            </w:pPr>
            <w:r>
              <w:t xml:space="preserve">+2.25 pp</w:t>
            </w:r>
          </w:p>
        </w:tc>
      </w:tr>
      <w:tr>
        <w:tc>
          <w:tcPr>
            <w:tcW w:w="1288" w:type="dxa"/>
          </w:tcPr>
          <w:p>
            <w:pPr>
              <w:pStyle w:val="Compact"/>
              <w:jc w:val="left"/>
            </w:pPr>
            <w:r>
              <w:t xml:space="preserve">120</w:t>
            </w:r>
          </w:p>
        </w:tc>
        <w:tc>
          <w:tcPr>
            <w:tcW w:w="532" w:type="dxa"/>
          </w:tcPr>
          <w:p>
            <w:pPr>
              <w:pStyle w:val="Compact"/>
              <w:jc w:val="center"/>
            </w:pPr>
            <w:r>
              <w:t xml:space="preserve">85</w:t>
            </w:r>
          </w:p>
        </w:tc>
        <w:tc>
          <w:tcPr>
            <w:tcW w:w="532" w:type="dxa"/>
          </w:tcPr>
          <w:p>
            <w:pPr>
              <w:pStyle w:val="Compact"/>
              <w:jc w:val="center"/>
            </w:pPr>
            <w:r>
              <w:t xml:space="preserve">116</w:t>
            </w:r>
          </w:p>
        </w:tc>
        <w:tc>
          <w:tcPr>
            <w:tcW w:w="532" w:type="dxa"/>
          </w:tcPr>
          <w:p>
            <w:pPr>
              <w:pStyle w:val="Compact"/>
              <w:jc w:val="center"/>
            </w:pPr>
            <w:r>
              <w:t xml:space="preserve">135</w:t>
            </w:r>
          </w:p>
        </w:tc>
        <w:tc>
          <w:tcPr>
            <w:tcW w:w="532" w:type="dxa"/>
          </w:tcPr>
          <w:p>
            <w:pPr>
              <w:pStyle w:val="Compact"/>
              <w:jc w:val="center"/>
            </w:pPr>
            <w:r>
              <w:t xml:space="preserve">74</w:t>
            </w:r>
          </w:p>
        </w:tc>
        <w:tc>
          <w:tcPr>
            <w:tcW w:w="1072" w:type="dxa"/>
          </w:tcPr>
          <w:p>
            <w:pPr>
              <w:pStyle w:val="Compact"/>
              <w:jc w:val="center"/>
            </w:pPr>
            <w:r>
              <w:t xml:space="preserve">49.02%</w:t>
            </w:r>
          </w:p>
        </w:tc>
        <w:tc>
          <w:tcPr>
            <w:tcW w:w="1180" w:type="dxa"/>
          </w:tcPr>
          <w:p>
            <w:pPr>
              <w:pStyle w:val="Compact"/>
              <w:jc w:val="center"/>
            </w:pPr>
            <w:r>
              <w:t xml:space="preserve">38.64%</w:t>
            </w:r>
          </w:p>
        </w:tc>
        <w:tc>
          <w:tcPr>
            <w:tcW w:w="856" w:type="dxa"/>
          </w:tcPr>
          <w:p>
            <w:pPr>
              <w:pStyle w:val="Compact"/>
              <w:jc w:val="center"/>
            </w:pPr>
            <w:r>
              <w:t xml:space="preserve">53.46%</w:t>
            </w:r>
          </w:p>
        </w:tc>
        <w:tc>
          <w:tcPr>
            <w:tcW w:w="1072" w:type="dxa"/>
          </w:tcPr>
          <w:p>
            <w:pPr>
              <w:pStyle w:val="Compact"/>
              <w:jc w:val="center"/>
            </w:pPr>
            <w:r>
              <w:t xml:space="preserve">44.85%</w:t>
            </w:r>
          </w:p>
        </w:tc>
        <w:tc>
          <w:tcPr>
            <w:tcW w:w="856" w:type="dxa"/>
          </w:tcPr>
          <w:p>
            <w:pPr>
              <w:pStyle w:val="Compact"/>
              <w:jc w:val="center"/>
            </w:pPr>
            <w:r>
              <w:t xml:space="preserve">53.78%</w:t>
            </w:r>
          </w:p>
        </w:tc>
        <w:tc>
          <w:tcPr>
            <w:tcW w:w="1186" w:type="dxa"/>
          </w:tcPr>
          <w:p>
            <w:pPr>
              <w:pStyle w:val="Compact"/>
              <w:jc w:val="left"/>
            </w:pPr>
            <w:r>
              <w:t xml:space="preserve">−0.14 pp</w:t>
            </w:r>
          </w:p>
        </w:tc>
      </w:tr>
      <w:tr>
        <w:tc>
          <w:tcPr>
            <w:tcW w:w="1288" w:type="dxa"/>
          </w:tcPr>
          <w:p>
            <w:pPr>
              <w:pStyle w:val="Compact"/>
              <w:jc w:val="left"/>
            </w:pPr>
            <w:r>
              <w:t xml:space="preserve">140</w:t>
            </w:r>
          </w:p>
        </w:tc>
        <w:tc>
          <w:tcPr>
            <w:tcW w:w="532" w:type="dxa"/>
          </w:tcPr>
          <w:p>
            <w:pPr>
              <w:pStyle w:val="Compact"/>
              <w:jc w:val="center"/>
            </w:pPr>
            <w:r>
              <w:t xml:space="preserve">77</w:t>
            </w:r>
          </w:p>
        </w:tc>
        <w:tc>
          <w:tcPr>
            <w:tcW w:w="532" w:type="dxa"/>
          </w:tcPr>
          <w:p>
            <w:pPr>
              <w:pStyle w:val="Compact"/>
              <w:jc w:val="center"/>
            </w:pPr>
            <w:r>
              <w:t xml:space="preserve">128</w:t>
            </w:r>
          </w:p>
        </w:tc>
        <w:tc>
          <w:tcPr>
            <w:tcW w:w="532" w:type="dxa"/>
          </w:tcPr>
          <w:p>
            <w:pPr>
              <w:pStyle w:val="Compact"/>
              <w:jc w:val="center"/>
            </w:pPr>
            <w:r>
              <w:t xml:space="preserve">123</w:t>
            </w:r>
          </w:p>
        </w:tc>
        <w:tc>
          <w:tcPr>
            <w:tcW w:w="532" w:type="dxa"/>
          </w:tcPr>
          <w:p>
            <w:pPr>
              <w:pStyle w:val="Compact"/>
              <w:jc w:val="center"/>
            </w:pPr>
            <w:r>
              <w:t xml:space="preserve">82</w:t>
            </w:r>
          </w:p>
        </w:tc>
        <w:tc>
          <w:tcPr>
            <w:tcW w:w="1072" w:type="dxa"/>
          </w:tcPr>
          <w:p>
            <w:pPr>
              <w:pStyle w:val="Compact"/>
              <w:jc w:val="center"/>
            </w:pPr>
            <w:r>
              <w:t xml:space="preserve">50.00%</w:t>
            </w:r>
          </w:p>
        </w:tc>
        <w:tc>
          <w:tcPr>
            <w:tcW w:w="1180" w:type="dxa"/>
          </w:tcPr>
          <w:p>
            <w:pPr>
              <w:pStyle w:val="Compact"/>
              <w:jc w:val="center"/>
            </w:pPr>
            <w:r>
              <w:t xml:space="preserve">38.50%</w:t>
            </w:r>
          </w:p>
        </w:tc>
        <w:tc>
          <w:tcPr>
            <w:tcW w:w="856" w:type="dxa"/>
          </w:tcPr>
          <w:p>
            <w:pPr>
              <w:pStyle w:val="Compact"/>
              <w:jc w:val="center"/>
            </w:pPr>
            <w:r>
              <w:t xml:space="preserve">48.43%</w:t>
            </w:r>
          </w:p>
        </w:tc>
        <w:tc>
          <w:tcPr>
            <w:tcW w:w="1072" w:type="dxa"/>
          </w:tcPr>
          <w:p>
            <w:pPr>
              <w:pStyle w:val="Compact"/>
              <w:jc w:val="center"/>
            </w:pPr>
            <w:r>
              <w:t xml:space="preserve">42.90%</w:t>
            </w:r>
          </w:p>
        </w:tc>
        <w:tc>
          <w:tcPr>
            <w:tcW w:w="856" w:type="dxa"/>
          </w:tcPr>
          <w:p>
            <w:pPr>
              <w:pStyle w:val="Compact"/>
              <w:jc w:val="center"/>
            </w:pPr>
            <w:r>
              <w:t xml:space="preserve">49.00%</w:t>
            </w:r>
          </w:p>
        </w:tc>
        <w:tc>
          <w:tcPr>
            <w:tcW w:w="1186" w:type="dxa"/>
          </w:tcPr>
          <w:p>
            <w:pPr>
              <w:pStyle w:val="Compact"/>
              <w:jc w:val="left"/>
            </w:pPr>
            <w:r>
              <w:t xml:space="preserve">−0.28 pp</w:t>
            </w:r>
          </w:p>
        </w:tc>
      </w:tr>
      <w:tr>
        <w:tc>
          <w:tcPr>
            <w:tcW w:w="1288" w:type="dxa"/>
          </w:tcPr>
          <w:p>
            <w:pPr>
              <w:pStyle w:val="Compact"/>
              <w:jc w:val="left"/>
            </w:pPr>
            <w:r>
              <w:t xml:space="preserve">160</w:t>
            </w:r>
          </w:p>
        </w:tc>
        <w:tc>
          <w:tcPr>
            <w:tcW w:w="532" w:type="dxa"/>
          </w:tcPr>
          <w:p>
            <w:pPr>
              <w:pStyle w:val="Compact"/>
              <w:jc w:val="center"/>
            </w:pPr>
            <w:r>
              <w:t xml:space="preserve">73</w:t>
            </w:r>
          </w:p>
        </w:tc>
        <w:tc>
          <w:tcPr>
            <w:tcW w:w="532" w:type="dxa"/>
          </w:tcPr>
          <w:p>
            <w:pPr>
              <w:pStyle w:val="Compact"/>
              <w:jc w:val="center"/>
            </w:pPr>
            <w:r>
              <w:t xml:space="preserve">136</w:t>
            </w:r>
          </w:p>
        </w:tc>
        <w:tc>
          <w:tcPr>
            <w:tcW w:w="532" w:type="dxa"/>
          </w:tcPr>
          <w:p>
            <w:pPr>
              <w:pStyle w:val="Compact"/>
              <w:jc w:val="center"/>
            </w:pPr>
            <w:r>
              <w:t xml:space="preserve">115</w:t>
            </w:r>
          </w:p>
        </w:tc>
        <w:tc>
          <w:tcPr>
            <w:tcW w:w="532" w:type="dxa"/>
          </w:tcPr>
          <w:p>
            <w:pPr>
              <w:pStyle w:val="Compact"/>
              <w:jc w:val="center"/>
            </w:pPr>
            <w:r>
              <w:t xml:space="preserve">86</w:t>
            </w:r>
          </w:p>
        </w:tc>
        <w:tc>
          <w:tcPr>
            <w:tcW w:w="1072" w:type="dxa"/>
          </w:tcPr>
          <w:p>
            <w:pPr>
              <w:pStyle w:val="Compact"/>
              <w:jc w:val="center"/>
            </w:pPr>
            <w:r>
              <w:t xml:space="preserve">50.98%</w:t>
            </w:r>
          </w:p>
        </w:tc>
        <w:tc>
          <w:tcPr>
            <w:tcW w:w="1180" w:type="dxa"/>
          </w:tcPr>
          <w:p>
            <w:pPr>
              <w:pStyle w:val="Compact"/>
              <w:jc w:val="center"/>
            </w:pPr>
            <w:r>
              <w:t xml:space="preserve">38.83%</w:t>
            </w:r>
          </w:p>
        </w:tc>
        <w:tc>
          <w:tcPr>
            <w:tcW w:w="856" w:type="dxa"/>
          </w:tcPr>
          <w:p>
            <w:pPr>
              <w:pStyle w:val="Compact"/>
              <w:jc w:val="center"/>
            </w:pPr>
            <w:r>
              <w:t xml:space="preserve">45.91%</w:t>
            </w:r>
          </w:p>
        </w:tc>
        <w:tc>
          <w:tcPr>
            <w:tcW w:w="1072" w:type="dxa"/>
          </w:tcPr>
          <w:p>
            <w:pPr>
              <w:pStyle w:val="Compact"/>
              <w:jc w:val="center"/>
            </w:pPr>
            <w:r>
              <w:t xml:space="preserve">42.07%</w:t>
            </w:r>
          </w:p>
        </w:tc>
        <w:tc>
          <w:tcPr>
            <w:tcW w:w="856" w:type="dxa"/>
          </w:tcPr>
          <w:p>
            <w:pPr>
              <w:pStyle w:val="Compact"/>
              <w:jc w:val="center"/>
            </w:pPr>
            <w:r>
              <w:t xml:space="preserve">45.82%</w:t>
            </w:r>
          </w:p>
        </w:tc>
        <w:tc>
          <w:tcPr>
            <w:tcW w:w="1186" w:type="dxa"/>
          </w:tcPr>
          <w:p>
            <w:pPr>
              <w:pStyle w:val="Compact"/>
              <w:jc w:val="left"/>
            </w:pPr>
            <w:r>
              <w:t xml:space="preserve">+0.05 pp</w:t>
            </w:r>
          </w:p>
        </w:tc>
      </w:tr>
      <w:tr>
        <w:tc>
          <w:tcPr>
            <w:tcW w:w="1288" w:type="dxa"/>
          </w:tcPr>
          <w:p>
            <w:pPr>
              <w:pStyle w:val="Compact"/>
              <w:jc w:val="left"/>
            </w:pPr>
            <w:r>
              <w:t xml:space="preserve">180</w:t>
            </w:r>
          </w:p>
        </w:tc>
        <w:tc>
          <w:tcPr>
            <w:tcW w:w="532" w:type="dxa"/>
          </w:tcPr>
          <w:p>
            <w:pPr>
              <w:pStyle w:val="Compact"/>
              <w:jc w:val="center"/>
            </w:pPr>
            <w:r>
              <w:t xml:space="preserve">66</w:t>
            </w:r>
          </w:p>
        </w:tc>
        <w:tc>
          <w:tcPr>
            <w:tcW w:w="532" w:type="dxa"/>
          </w:tcPr>
          <w:p>
            <w:pPr>
              <w:pStyle w:val="Compact"/>
              <w:jc w:val="center"/>
            </w:pPr>
            <w:r>
              <w:t xml:space="preserve">149</w:t>
            </w:r>
          </w:p>
        </w:tc>
        <w:tc>
          <w:tcPr>
            <w:tcW w:w="532" w:type="dxa"/>
          </w:tcPr>
          <w:p>
            <w:pPr>
              <w:pStyle w:val="Compact"/>
              <w:jc w:val="center"/>
            </w:pPr>
            <w:r>
              <w:t xml:space="preserve">102</w:t>
            </w:r>
          </w:p>
        </w:tc>
        <w:tc>
          <w:tcPr>
            <w:tcW w:w="532" w:type="dxa"/>
          </w:tcPr>
          <w:p>
            <w:pPr>
              <w:pStyle w:val="Compact"/>
              <w:jc w:val="center"/>
            </w:pPr>
            <w:r>
              <w:t xml:space="preserve">93</w:t>
            </w:r>
          </w:p>
        </w:tc>
        <w:tc>
          <w:tcPr>
            <w:tcW w:w="1072" w:type="dxa"/>
          </w:tcPr>
          <w:p>
            <w:pPr>
              <w:pStyle w:val="Compact"/>
              <w:jc w:val="center"/>
            </w:pPr>
            <w:r>
              <w:t xml:space="preserve">52.44%</w:t>
            </w:r>
          </w:p>
        </w:tc>
        <w:tc>
          <w:tcPr>
            <w:tcW w:w="1180" w:type="dxa"/>
          </w:tcPr>
          <w:p>
            <w:pPr>
              <w:pStyle w:val="Compact"/>
              <w:jc w:val="center"/>
            </w:pPr>
            <w:r>
              <w:t xml:space="preserve">39.29%</w:t>
            </w:r>
          </w:p>
        </w:tc>
        <w:tc>
          <w:tcPr>
            <w:tcW w:w="856" w:type="dxa"/>
          </w:tcPr>
          <w:p>
            <w:pPr>
              <w:pStyle w:val="Compact"/>
              <w:jc w:val="center"/>
            </w:pPr>
            <w:r>
              <w:t xml:space="preserve">41.51%</w:t>
            </w:r>
          </w:p>
        </w:tc>
        <w:tc>
          <w:tcPr>
            <w:tcW w:w="1072" w:type="dxa"/>
          </w:tcPr>
          <w:p>
            <w:pPr>
              <w:pStyle w:val="Compact"/>
              <w:jc w:val="center"/>
            </w:pPr>
            <w:r>
              <w:t xml:space="preserve">40.37%</w:t>
            </w:r>
          </w:p>
        </w:tc>
        <w:tc>
          <w:tcPr>
            <w:tcW w:w="856" w:type="dxa"/>
          </w:tcPr>
          <w:p>
            <w:pPr>
              <w:pStyle w:val="Compact"/>
              <w:jc w:val="center"/>
            </w:pPr>
            <w:r>
              <w:t xml:space="preserve">40.64%</w:t>
            </w:r>
          </w:p>
        </w:tc>
        <w:tc>
          <w:tcPr>
            <w:tcW w:w="1186" w:type="dxa"/>
          </w:tcPr>
          <w:p>
            <w:pPr>
              <w:pStyle w:val="Compact"/>
              <w:jc w:val="left"/>
            </w:pPr>
            <w:r>
              <w:t xml:space="preserve">+0.51 pp</w:t>
            </w:r>
          </w:p>
        </w:tc>
      </w:tr>
      <w:tr>
        <w:tc>
          <w:tcPr>
            <w:tcW w:w="1288" w:type="dxa"/>
          </w:tcPr>
          <w:p>
            <w:pPr>
              <w:pStyle w:val="Compact"/>
              <w:jc w:val="left"/>
            </w:pPr>
            <w:r>
              <w:t xml:space="preserve">200</w:t>
            </w:r>
          </w:p>
        </w:tc>
        <w:tc>
          <w:tcPr>
            <w:tcW w:w="532" w:type="dxa"/>
          </w:tcPr>
          <w:p>
            <w:pPr>
              <w:pStyle w:val="Compact"/>
              <w:jc w:val="center"/>
            </w:pPr>
            <w:r>
              <w:t xml:space="preserve">56</w:t>
            </w:r>
          </w:p>
        </w:tc>
        <w:tc>
          <w:tcPr>
            <w:tcW w:w="532" w:type="dxa"/>
          </w:tcPr>
          <w:p>
            <w:pPr>
              <w:pStyle w:val="Compact"/>
              <w:jc w:val="center"/>
            </w:pPr>
            <w:r>
              <w:t xml:space="preserve">159</w:t>
            </w:r>
          </w:p>
        </w:tc>
        <w:tc>
          <w:tcPr>
            <w:tcW w:w="532" w:type="dxa"/>
          </w:tcPr>
          <w:p>
            <w:pPr>
              <w:pStyle w:val="Compact"/>
              <w:jc w:val="center"/>
            </w:pPr>
            <w:r>
              <w:t xml:space="preserve">92</w:t>
            </w:r>
          </w:p>
        </w:tc>
        <w:tc>
          <w:tcPr>
            <w:tcW w:w="532" w:type="dxa"/>
          </w:tcPr>
          <w:p>
            <w:pPr>
              <w:pStyle w:val="Compact"/>
              <w:jc w:val="center"/>
            </w:pPr>
            <w:r>
              <w:t xml:space="preserve">103</w:t>
            </w:r>
          </w:p>
        </w:tc>
        <w:tc>
          <w:tcPr>
            <w:tcW w:w="1072" w:type="dxa"/>
          </w:tcPr>
          <w:p>
            <w:pPr>
              <w:pStyle w:val="Compact"/>
              <w:jc w:val="center"/>
            </w:pPr>
            <w:r>
              <w:t xml:space="preserve">52.44%</w:t>
            </w:r>
          </w:p>
        </w:tc>
        <w:tc>
          <w:tcPr>
            <w:tcW w:w="1180" w:type="dxa"/>
          </w:tcPr>
          <w:p>
            <w:pPr>
              <w:pStyle w:val="Compact"/>
              <w:jc w:val="center"/>
            </w:pPr>
            <w:r>
              <w:t xml:space="preserve">37.84%</w:t>
            </w:r>
          </w:p>
        </w:tc>
        <w:tc>
          <w:tcPr>
            <w:tcW w:w="856" w:type="dxa"/>
          </w:tcPr>
          <w:p>
            <w:pPr>
              <w:pStyle w:val="Compact"/>
              <w:jc w:val="center"/>
            </w:pPr>
            <w:r>
              <w:t xml:space="preserve">35.22%</w:t>
            </w:r>
          </w:p>
        </w:tc>
        <w:tc>
          <w:tcPr>
            <w:tcW w:w="1072" w:type="dxa"/>
          </w:tcPr>
          <w:p>
            <w:pPr>
              <w:pStyle w:val="Compact"/>
              <w:jc w:val="center"/>
            </w:pPr>
            <w:r>
              <w:t xml:space="preserve">36.48%</w:t>
            </w:r>
          </w:p>
        </w:tc>
        <w:tc>
          <w:tcPr>
            <w:tcW w:w="856" w:type="dxa"/>
          </w:tcPr>
          <w:p>
            <w:pPr>
              <w:pStyle w:val="Compact"/>
              <w:jc w:val="center"/>
            </w:pPr>
            <w:r>
              <w:t xml:space="preserve">36.65%</w:t>
            </w:r>
          </w:p>
        </w:tc>
        <w:tc>
          <w:tcPr>
            <w:tcW w:w="1186" w:type="dxa"/>
          </w:tcPr>
          <w:p>
            <w:pPr>
              <w:pStyle w:val="Compact"/>
              <w:jc w:val="left"/>
            </w:pPr>
            <w:r>
              <w:t xml:space="preserve">−0.94 pp</w:t>
            </w:r>
          </w:p>
        </w:tc>
      </w:tr>
      <w:tr>
        <w:tc>
          <w:tcPr>
            <w:tcW w:w="1288" w:type="dxa"/>
          </w:tcPr>
          <w:p>
            <w:pPr>
              <w:pStyle w:val="Compact"/>
              <w:jc w:val="left"/>
            </w:pPr>
            <w:r>
              <w:t xml:space="preserve">220</w:t>
            </w:r>
          </w:p>
        </w:tc>
        <w:tc>
          <w:tcPr>
            <w:tcW w:w="532" w:type="dxa"/>
          </w:tcPr>
          <w:p>
            <w:pPr>
              <w:pStyle w:val="Compact"/>
              <w:jc w:val="center"/>
            </w:pPr>
            <w:r>
              <w:t xml:space="preserve">48</w:t>
            </w:r>
          </w:p>
        </w:tc>
        <w:tc>
          <w:tcPr>
            <w:tcW w:w="532" w:type="dxa"/>
          </w:tcPr>
          <w:p>
            <w:pPr>
              <w:pStyle w:val="Compact"/>
              <w:jc w:val="center"/>
            </w:pPr>
            <w:r>
              <w:t xml:space="preserve">174</w:t>
            </w:r>
          </w:p>
        </w:tc>
        <w:tc>
          <w:tcPr>
            <w:tcW w:w="532" w:type="dxa"/>
          </w:tcPr>
          <w:p>
            <w:pPr>
              <w:pStyle w:val="Compact"/>
              <w:jc w:val="center"/>
            </w:pPr>
            <w:r>
              <w:t xml:space="preserve">77</w:t>
            </w:r>
          </w:p>
        </w:tc>
        <w:tc>
          <w:tcPr>
            <w:tcW w:w="532" w:type="dxa"/>
          </w:tcPr>
          <w:p>
            <w:pPr>
              <w:pStyle w:val="Compact"/>
              <w:jc w:val="center"/>
            </w:pPr>
            <w:r>
              <w:t xml:space="preserve">111</w:t>
            </w:r>
          </w:p>
        </w:tc>
        <w:tc>
          <w:tcPr>
            <w:tcW w:w="1072" w:type="dxa"/>
          </w:tcPr>
          <w:p>
            <w:pPr>
              <w:pStyle w:val="Compact"/>
              <w:jc w:val="center"/>
            </w:pPr>
            <w:r>
              <w:t xml:space="preserve">54.15%</w:t>
            </w:r>
          </w:p>
        </w:tc>
        <w:tc>
          <w:tcPr>
            <w:tcW w:w="1180" w:type="dxa"/>
          </w:tcPr>
          <w:p>
            <w:pPr>
              <w:pStyle w:val="Compact"/>
              <w:jc w:val="center"/>
            </w:pPr>
            <w:r>
              <w:t xml:space="preserve">38.40%</w:t>
            </w:r>
          </w:p>
        </w:tc>
        <w:tc>
          <w:tcPr>
            <w:tcW w:w="856" w:type="dxa"/>
          </w:tcPr>
          <w:p>
            <w:pPr>
              <w:pStyle w:val="Compact"/>
              <w:jc w:val="center"/>
            </w:pPr>
            <w:r>
              <w:t xml:space="preserve">30.19%</w:t>
            </w:r>
          </w:p>
        </w:tc>
        <w:tc>
          <w:tcPr>
            <w:tcW w:w="1072" w:type="dxa"/>
          </w:tcPr>
          <w:p>
            <w:pPr>
              <w:pStyle w:val="Compact"/>
              <w:jc w:val="center"/>
            </w:pPr>
            <w:r>
              <w:t xml:space="preserve">33.80%</w:t>
            </w:r>
          </w:p>
        </w:tc>
        <w:tc>
          <w:tcPr>
            <w:tcW w:w="856" w:type="dxa"/>
          </w:tcPr>
          <w:p>
            <w:pPr>
              <w:pStyle w:val="Compact"/>
              <w:jc w:val="center"/>
            </w:pPr>
            <w:r>
              <w:t xml:space="preserve">30.68%</w:t>
            </w:r>
          </w:p>
        </w:tc>
        <w:tc>
          <w:tcPr>
            <w:tcW w:w="1186" w:type="dxa"/>
          </w:tcPr>
          <w:p>
            <w:pPr>
              <w:pStyle w:val="Compact"/>
              <w:jc w:val="left"/>
            </w:pPr>
            <w:r>
              <w:t xml:space="preserve">−0.38 pp</w:t>
            </w:r>
          </w:p>
        </w:tc>
      </w:tr>
    </w:tbl>
    <w:p>
      <w:pPr>
        <w:pStyle w:val="BodyText"/>
      </w:pPr>
      <w:r>
        <w:t xml:space="preserve">Note: Images are decoded at 1/8 scale and resized to 640 × 480, so the absolute and relative area criteria of Section 4.3 coincide and the sweep isolates the saturation effect. A sweep value sets all three band floors to S, whereas Section 3.1 sets the core and red-edge floors to 60 and the halo floor to 80. The S = 60 row therefore reproduces the released configuration in two bands of three and is labelled accordingly; no row of this table is the released configuration exactly. Recall moves 32.70 percentage points across the sweep and the FPR 28.28, while the precision stays within 2.25 percentage points of the class prior at every setting and falls below it at four of the nine.</w:t>
      </w:r>
    </w:p>
    <w:p>
      <w:pPr>
        <w:pStyle w:val="BodyText"/>
      </w:pPr>
      <w:r>
        <w:t xml:space="preserve">The sweep moves recall by 32.70 percentage points, from 62.89% to 30.19%, and the false-positive rate by 28.28 percentage points in the same direction. Precision, however, does not move: it stays within 2.25 percentage points of the class prior at every setting, and at four of the nine it falls below it. This is the diagnostic signature of a decision rule whose positive predictions are almost uncorrelated with the label. Adjusting the threshold slides the operating point along the prior; it does not lift it off. Section 4.2 had already shown that the released thresholds are not a poor choice within the family; Table 3 shows that the family itself has no good choice.</w:t>
      </w:r>
    </w:p>
    <w:p>
      <w:pPr>
        <w:pStyle w:val="BodyText"/>
      </w:pPr>
      <w:r>
        <w:t xml:space="preserve">The second experiment fits a model on a color summary of the same images. The protocol was fixed in advance of inspecting any result: the 1887-image training split is used to fit, the 402-image validation split to select one hyperparameter by F1 alone, and the 410-image test split is evaluated exactly once. Feature set A is a joint hue-saturation-value histogram with 8 × 8 × 8 = 512 bins, normalized to unit sum. It is emphatically not the hand-set rule's feature set, and the difference has to be stated because the conclusion depends on it. The histogram is HSV-only, so it cannot express the red-green-blue channel ordering or the luma-chroma test that two of the three masks apply. Its value bins are 32 wide, so the rule's own V ≥ 210 threshold falls inside a bin and is not representable. It carries no connectivity, so the 600-pixel area criterion has no expression in it. And it summarizes every pixel of the frame, including the sky, vegetation and haze the rule never looks at, so a fitted model sees scene context that the rule is blind to by construction. What the comparison establishes is therefore that these images carry class information a fitted model can reach, not that the rule was given the same evidence in a form it could have used. Feature set B adds a 32-bin histogram of Sobel gradient magnitude as a coarse texture descriptor. Feature set C adds a 4 × 4 × 4 histogram for each of three equal horizontal bands of the frame, a deliberately coarse summary of vertical layout intended to let a fitted model distinguish an orange region high in the frame from one low in it. Logistic regression and a 300-tree random forest were fitted on each of the three sets, with balanced class weights and a fixed seed. Results are given in Table 4.</w:t>
      </w:r>
    </w:p>
    <w:p>
      <w:pPr>
        <w:pStyle w:val="BodyText"/>
      </w:pPr>
      <w:r>
        <w:t xml:space="preserve">The selection step and the feature definitions are given literally, because a protocol that spends its single selection on one hyperparameter is reproducible only if the candidate set is named. For logistic regression that hyperparameter is the inverse regularization strength</w:t>
      </w:r>
      <w:r>
        <w:t xml:space="preserve"> </w:t>
      </w:r>
      <w:r>
        <w:rPr>
          <w:i/>
        </w:rPr>
        <w:t xml:space="preserve">C</w:t>
      </w:r>
      <w:r>
        <w:t xml:space="preserve">, searched over {0.01, 0.1, 1, 10, 100}; for the random forest it is the maximum tree depth, searched over {unbounded, 8, 16, 32} with the number of trees held fixed at 300 in every fit. Everything else is the library default apart from four settings that apply to all fits: class weights are set to the inverse class frequencies, so that the 730 to 1157 imbalance of the training split does not by itself displace the decision threshold; the logistic solver is allowed 1000 iterations so that no reported fit is a truncated one; the estimator seed is set explicitly, to 0 for the reported fits and to 0 through 9 for the variance sweep; and the forest is fitted and queried across all available cores, which is the one place in this paper where a reported latency is not a single-thread figure and is noted again in the caption of Table 4. The candidate with the highest validation F1-score is refitted on the training split and scored once on the test split, and no other quantity from the validation split enters the reported numbers. The features are equally literal. The joint color histogram is taken over the 0 to 179 hue range and the 0 to 255 saturation and value ranges of the imaging library, in 8 × 8 × 8 bins, normalized to unit sum. The texture descriptor bins the gradient magnitude</w:t>
      </w:r>
      <w:r>
        <w:t xml:space="preserve"> </w:t>
      </w:r>
      <m:oMath>
        <m:rad>
          <m:radPr>
            <m:degHide m:val="1"/>
          </m:radPr>
          <m:deg/>
          <m:e>
            <m:sSubSup>
              <m:e>
                <m:r>
                  <m:t>g</m:t>
                </m:r>
              </m:e>
              <m:sub>
                <m:r>
                  <m:t>x</m:t>
                </m:r>
              </m:sub>
              <m:sup>
                <m:r>
                  <m:t>2</m:t>
                </m:r>
              </m:sup>
            </m:sSubSup>
            <m:r>
              <m:t>+</m:t>
            </m:r>
            <m:sSubSup>
              <m:e>
                <m:r>
                  <m:t>g</m:t>
                </m:r>
              </m:e>
              <m:sub>
                <m:r>
                  <m:t>y</m:t>
                </m:r>
              </m:sub>
              <m:sup>
                <m:r>
                  <m:t>2</m:t>
                </m:r>
              </m:sup>
            </m:sSubSup>
          </m:e>
        </m:rad>
      </m:oMath>
      <w:r>
        <w:t xml:space="preserve"> </w:t>
      </w:r>
      <w:r>
        <w:t xml:space="preserve">of a 3 × 3 Sobel operator into 32 equal bins spanning 0 to 360. That range does not cover the operator's output: a 3 × 3 Sobel has a gain of four, so an 8 bit step edge reaches a magnitude of 1020 and a diagonal one about 1442, and magnitudes above 360 fall outside the histogram range and are not counted. The descriptor is therefore a summary of weak and moderate gradients with strong edges discarded, which is how it was fitted and how it must be read; it is described here as implemented rather than as intended. The band descriptor splits the frame into three equal horizontal thirds by integer division of the row count, computes a 4 × 4 × 4 histogram in each, and normalizes each band separately before concatenation, so that a uniformly dark band contributes a distribution rather than a vector of zeros. Inputs reach all three descriptors by the path used for Table 3: the reduced-scale decoder is asked for one eighth of the stored dimensions and the result is resized bilinearly to 640 × 480.</w:t>
      </w:r>
    </w:p>
    <w:p>
      <w:pPr>
        <w:pStyle w:val="BodyText"/>
      </w:pPr>
      <w:r>
        <w:t xml:space="preserve">Four conventions behind the last rows and the last two columns of Table 4, and behind the seed sweep quoted below, should be recorded alongside them. The cascade verifier is fitted on feature set A extracted from every proposal the hand-set stage emits on the training split, each proposal carrying the label of the image it came from; its own hyperparameters are not selected but fixed at</w:t>
      </w:r>
      <w:r>
        <w:t xml:space="preserve"> </w:t>
      </w:r>
      <w:r>
        <w:rPr>
          <w:i/>
        </w:rPr>
        <w:t xml:space="preserve">C</w:t>
      </w:r>
      <w:r>
        <w:t xml:space="preserve"> </w:t>
      </w:r>
      <w:r>
        <w:t xml:space="preserve">= 1 for the logistic verifier and unbounded depth for the forest, because the protocol's one selection step had already been spent, and an image is declared positive when at least one of its proposals is accepted. The timing protocol is one warm-up pass over the 30 frames, discarded, followed by ten further passes that supply 300 intervals per configuration, each measured with a monotonic performance counter around a single call; the per-model figures are end to end, feature extraction plus prediction, with the shared extraction cost of 11.08 ms reported separately so that it can be subtracted. Model size is the length in bytes of the serialized fitted estimator rather than of a compressed archive, which is why a 512-weight linear model occupies kilobytes and a 300-tree forest megabytes. The deviations quoted for the ten-seed sweep are population standard deviations over the ten fits, with the splits and the selected hyperparameter held fixed so that the only varying quantity is the estimator's own randomness.</w:t>
      </w:r>
    </w:p>
    <w:p>
      <w:pPr>
        <w:pStyle w:val="BodyText"/>
      </w:pPr>
      <w:r>
        <w:t xml:space="preserve">Table 4: The hand-set rule, the two constant-predictor baselines, learned models fitted on the same features, and the cascade, all evaluated on the identical 410 test images. Absolute values belong to the machine that ran the benchmark and are not the video-run figures of Section 4.5, which were recorded separately and on different hardware; what the comparison rests on is the ratio between rows measured together. Feature sets are cumulative: color is the 512-bin global histogram, texture adds 32 gradient bins, and vertical bands add three 64-bin band histograms.</w:t>
      </w:r>
    </w:p>
    <w:tbl>
      <w:tblPr>
        <w:tblStyle w:val="Table"/>
        <w:tblW w:w="9638" w:type="dxa"/>
        <w:tblBorders>
          <w:top w:val="single" w:sz="12" w:space="0" w:color="000000"/>
          <w:bottom w:val="single" w:sz="12" w:space="0" w:color="000000"/>
          <w:insideH w:val="none" w:sz="0" w:space="0" w:color="auto"/>
        </w:tblBorders>
        <w:tblLayout w:type="fixed"/>
        <w:tblLook w:firstRow="1"/>
      </w:tblPr>
      <w:tblGrid>
        <w:gridCol w:w="1243"/>
        <w:gridCol w:w="474"/>
        <w:gridCol w:w="474"/>
        <w:gridCol w:w="474"/>
        <w:gridCol w:w="474"/>
        <w:gridCol w:w="955"/>
        <w:gridCol w:w="1051"/>
        <w:gridCol w:w="859"/>
        <w:gridCol w:w="955"/>
        <w:gridCol w:w="859"/>
        <w:gridCol w:w="1147"/>
        <w:gridCol w:w="673"/>
      </w:tblGrid>
      <w:tr>
        <w:trPr>
          <w:tblHeader/>
          <w:cnfStyle w:firstRow="1"/>
        </w:trPr>
        <w:tc>
          <w:tcPr>
            <w:tcW w:w="1243" w:type="dxa"/>
            <w:tcBorders>
              <w:bottom w:val="single" w:sz="6" w:space="0" w:color="000000"/>
            </w:tcBorders>
            <w:vAlign w:val="bottom"/>
          </w:tcPr>
          <w:p>
            <w:pPr>
              <w:pStyle w:val="Compact"/>
              <w:jc w:val="left"/>
            </w:pPr>
            <w:r>
              <w:rPr>
                <w:b/>
              </w:rPr>
              <w:t xml:space="preserve">Method</w:t>
            </w:r>
          </w:p>
        </w:tc>
        <w:tc>
          <w:tcPr>
            <w:tcW w:w="474" w:type="dxa"/>
            <w:tcBorders>
              <w:bottom w:val="single" w:sz="6" w:space="0" w:color="000000"/>
            </w:tcBorders>
            <w:vAlign w:val="bottom"/>
          </w:tcPr>
          <w:p>
            <w:pPr>
              <w:pStyle w:val="Compact"/>
              <w:jc w:val="center"/>
            </w:pPr>
            <w:r>
              <w:rPr>
                <w:b/>
              </w:rPr>
              <w:t xml:space="preserve">TP</w:t>
            </w:r>
          </w:p>
        </w:tc>
        <w:tc>
          <w:tcPr>
            <w:tcW w:w="474" w:type="dxa"/>
            <w:tcBorders>
              <w:bottom w:val="single" w:sz="6" w:space="0" w:color="000000"/>
            </w:tcBorders>
            <w:vAlign w:val="bottom"/>
          </w:tcPr>
          <w:p>
            <w:pPr>
              <w:pStyle w:val="Compact"/>
              <w:jc w:val="center"/>
            </w:pPr>
            <w:r>
              <w:rPr>
                <w:b/>
              </w:rPr>
              <w:t xml:space="preserve">TN</w:t>
            </w:r>
          </w:p>
        </w:tc>
        <w:tc>
          <w:tcPr>
            <w:tcW w:w="474" w:type="dxa"/>
            <w:tcBorders>
              <w:bottom w:val="single" w:sz="6" w:space="0" w:color="000000"/>
            </w:tcBorders>
            <w:vAlign w:val="bottom"/>
          </w:tcPr>
          <w:p>
            <w:pPr>
              <w:pStyle w:val="Compact"/>
              <w:jc w:val="center"/>
            </w:pPr>
            <w:r>
              <w:rPr>
                <w:b/>
              </w:rPr>
              <w:t xml:space="preserve">FP</w:t>
            </w:r>
          </w:p>
        </w:tc>
        <w:tc>
          <w:tcPr>
            <w:tcW w:w="474" w:type="dxa"/>
            <w:tcBorders>
              <w:bottom w:val="single" w:sz="6" w:space="0" w:color="000000"/>
            </w:tcBorders>
            <w:vAlign w:val="bottom"/>
          </w:tcPr>
          <w:p>
            <w:pPr>
              <w:pStyle w:val="Compact"/>
              <w:jc w:val="center"/>
            </w:pPr>
            <w:r>
              <w:rPr>
                <w:b/>
              </w:rPr>
              <w:t xml:space="preserve">FN</w:t>
            </w:r>
          </w:p>
        </w:tc>
        <w:tc>
          <w:tcPr>
            <w:tcW w:w="955" w:type="dxa"/>
            <w:tcBorders>
              <w:bottom w:val="single" w:sz="6" w:space="0" w:color="000000"/>
            </w:tcBorders>
            <w:vAlign w:val="bottom"/>
          </w:tcPr>
          <w:p>
            <w:pPr>
              <w:pStyle w:val="Compact"/>
              <w:jc w:val="center"/>
            </w:pPr>
            <w:r>
              <w:rPr>
                <w:b/>
              </w:rPr>
              <w:t xml:space="preserve">Accuracy</w:t>
            </w:r>
          </w:p>
        </w:tc>
        <w:tc>
          <w:tcPr>
            <w:tcW w:w="1051" w:type="dxa"/>
            <w:tcBorders>
              <w:bottom w:val="single" w:sz="6" w:space="0" w:color="000000"/>
            </w:tcBorders>
            <w:vAlign w:val="bottom"/>
          </w:tcPr>
          <w:p>
            <w:pPr>
              <w:pStyle w:val="Compact"/>
              <w:jc w:val="center"/>
            </w:pPr>
            <w:r>
              <w:rPr>
                <w:b/>
              </w:rPr>
              <w:t xml:space="preserve">Precision</w:t>
            </w:r>
          </w:p>
        </w:tc>
        <w:tc>
          <w:tcPr>
            <w:tcW w:w="859" w:type="dxa"/>
            <w:tcBorders>
              <w:bottom w:val="single" w:sz="6" w:space="0" w:color="000000"/>
            </w:tcBorders>
            <w:vAlign w:val="bottom"/>
          </w:tcPr>
          <w:p>
            <w:pPr>
              <w:pStyle w:val="Compact"/>
              <w:jc w:val="center"/>
            </w:pPr>
            <w:r>
              <w:rPr>
                <w:b/>
              </w:rPr>
              <w:t xml:space="preserve">Recall</w:t>
            </w:r>
          </w:p>
        </w:tc>
        <w:tc>
          <w:tcPr>
            <w:tcW w:w="955" w:type="dxa"/>
            <w:tcBorders>
              <w:bottom w:val="single" w:sz="6" w:space="0" w:color="000000"/>
            </w:tcBorders>
            <w:vAlign w:val="bottom"/>
          </w:tcPr>
          <w:p>
            <w:pPr>
              <w:pStyle w:val="Compact"/>
              <w:jc w:val="center"/>
            </w:pPr>
            <w:r>
              <w:rPr>
                <w:b/>
              </w:rPr>
              <w:t xml:space="preserve">F1-score</w:t>
            </w:r>
          </w:p>
        </w:tc>
        <w:tc>
          <w:tcPr>
            <w:tcW w:w="859" w:type="dxa"/>
            <w:tcBorders>
              <w:bottom w:val="single" w:sz="6" w:space="0" w:color="000000"/>
            </w:tcBorders>
            <w:vAlign w:val="bottom"/>
          </w:tcPr>
          <w:p>
            <w:pPr>
              <w:pStyle w:val="Compact"/>
              <w:jc w:val="center"/>
            </w:pPr>
            <w:r>
              <w:rPr>
                <w:b/>
              </w:rPr>
              <w:t xml:space="preserve">FPR</w:t>
            </w:r>
          </w:p>
        </w:tc>
        <w:tc>
          <w:tcPr>
            <w:tcW w:w="1147" w:type="dxa"/>
            <w:tcBorders>
              <w:bottom w:val="single" w:sz="6" w:space="0" w:color="000000"/>
            </w:tcBorders>
            <w:vAlign w:val="bottom"/>
          </w:tcPr>
          <w:p>
            <w:pPr>
              <w:pStyle w:val="Compact"/>
              <w:jc w:val="center"/>
            </w:pPr>
            <w:r>
              <w:rPr>
                <w:b/>
              </w:rPr>
              <w:t xml:space="preserve">Latency (ms/frame)</w:t>
            </w:r>
          </w:p>
        </w:tc>
        <w:tc>
          <w:tcPr>
            <w:tcW w:w="673" w:type="dxa"/>
            <w:tcBorders>
              <w:bottom w:val="single" w:sz="6" w:space="0" w:color="000000"/>
            </w:tcBorders>
            <w:vAlign w:val="bottom"/>
          </w:tcPr>
          <w:p>
            <w:pPr>
              <w:pStyle w:val="Compact"/>
              <w:jc w:val="center"/>
            </w:pPr>
            <w:r>
              <w:rPr>
                <w:b/>
              </w:rPr>
              <w:t xml:space="preserve">Model size</w:t>
            </w:r>
          </w:p>
        </w:tc>
      </w:tr>
      <w:tr>
        <w:tc>
          <w:tcPr>
            <w:tcW w:w="1243" w:type="dxa"/>
          </w:tcPr>
          <w:p>
            <w:pPr>
              <w:pStyle w:val="Compact"/>
              <w:jc w:val="left"/>
            </w:pPr>
            <w:r>
              <w:rPr>
                <w:i/>
              </w:rPr>
              <w:t xml:space="preserve">Null: constant positive</w:t>
            </w:r>
          </w:p>
        </w:tc>
        <w:tc>
          <w:tcPr>
            <w:tcW w:w="474" w:type="dxa"/>
          </w:tcPr>
          <w:p>
            <w:pPr>
              <w:pStyle w:val="Compact"/>
              <w:jc w:val="center"/>
            </w:pPr>
            <w:r>
              <w:t xml:space="preserve">159</w:t>
            </w:r>
          </w:p>
        </w:tc>
        <w:tc>
          <w:tcPr>
            <w:tcW w:w="474" w:type="dxa"/>
          </w:tcPr>
          <w:p>
            <w:pPr>
              <w:pStyle w:val="Compact"/>
              <w:jc w:val="center"/>
            </w:pPr>
            <w:r>
              <w:t xml:space="preserve">0</w:t>
            </w:r>
          </w:p>
        </w:tc>
        <w:tc>
          <w:tcPr>
            <w:tcW w:w="474" w:type="dxa"/>
          </w:tcPr>
          <w:p>
            <w:pPr>
              <w:pStyle w:val="Compact"/>
              <w:jc w:val="center"/>
            </w:pPr>
            <w:r>
              <w:t xml:space="preserve">251</w:t>
            </w:r>
          </w:p>
        </w:tc>
        <w:tc>
          <w:tcPr>
            <w:tcW w:w="474" w:type="dxa"/>
          </w:tcPr>
          <w:p>
            <w:pPr>
              <w:pStyle w:val="Compact"/>
              <w:jc w:val="center"/>
            </w:pPr>
            <w:r>
              <w:t xml:space="preserve">0</w:t>
            </w:r>
          </w:p>
        </w:tc>
        <w:tc>
          <w:tcPr>
            <w:tcW w:w="955" w:type="dxa"/>
          </w:tcPr>
          <w:p>
            <w:pPr>
              <w:pStyle w:val="Compact"/>
              <w:jc w:val="center"/>
            </w:pPr>
            <w:r>
              <w:t xml:space="preserve">38.78%</w:t>
            </w:r>
          </w:p>
        </w:tc>
        <w:tc>
          <w:tcPr>
            <w:tcW w:w="1051" w:type="dxa"/>
          </w:tcPr>
          <w:p>
            <w:pPr>
              <w:pStyle w:val="Compact"/>
              <w:jc w:val="center"/>
            </w:pPr>
            <w:r>
              <w:t xml:space="preserve">38.78%</w:t>
            </w:r>
          </w:p>
        </w:tc>
        <w:tc>
          <w:tcPr>
            <w:tcW w:w="859" w:type="dxa"/>
          </w:tcPr>
          <w:p>
            <w:pPr>
              <w:pStyle w:val="Compact"/>
              <w:jc w:val="center"/>
            </w:pPr>
            <w:r>
              <w:rPr>
                <w:b/>
              </w:rPr>
              <w:t xml:space="preserve">100.00%</w:t>
            </w:r>
          </w:p>
        </w:tc>
        <w:tc>
          <w:tcPr>
            <w:tcW w:w="955" w:type="dxa"/>
          </w:tcPr>
          <w:p>
            <w:pPr>
              <w:pStyle w:val="Compact"/>
              <w:jc w:val="center"/>
            </w:pPr>
            <w:r>
              <w:t xml:space="preserve">55.89%</w:t>
            </w:r>
          </w:p>
        </w:tc>
        <w:tc>
          <w:tcPr>
            <w:tcW w:w="859" w:type="dxa"/>
          </w:tcPr>
          <w:p>
            <w:pPr>
              <w:pStyle w:val="Compact"/>
              <w:jc w:val="center"/>
            </w:pPr>
            <w:r>
              <w:t xml:space="preserve">100.00%</w:t>
            </w:r>
          </w:p>
        </w:tc>
        <w:tc>
          <w:tcPr>
            <w:tcW w:w="1147" w:type="dxa"/>
          </w:tcPr>
          <w:p>
            <w:pPr>
              <w:pStyle w:val="Compact"/>
              <w:jc w:val="center"/>
            </w:pPr>
            <w:r>
              <w:t xml:space="preserve">—</w:t>
            </w:r>
          </w:p>
        </w:tc>
        <w:tc>
          <w:tcPr>
            <w:tcW w:w="673" w:type="dxa"/>
          </w:tcPr>
          <w:p>
            <w:pPr>
              <w:pStyle w:val="Compact"/>
              <w:jc w:val="left"/>
            </w:pPr>
            <w:r>
              <w:t xml:space="preserve">—</w:t>
            </w:r>
          </w:p>
        </w:tc>
      </w:tr>
      <w:tr>
        <w:tc>
          <w:tcPr>
            <w:tcW w:w="1243" w:type="dxa"/>
          </w:tcPr>
          <w:p>
            <w:pPr>
              <w:pStyle w:val="Compact"/>
              <w:jc w:val="left"/>
            </w:pPr>
            <w:r>
              <w:rPr>
                <w:i/>
              </w:rPr>
              <w:t xml:space="preserve">Null: constant negative</w:t>
            </w:r>
          </w:p>
        </w:tc>
        <w:tc>
          <w:tcPr>
            <w:tcW w:w="474" w:type="dxa"/>
          </w:tcPr>
          <w:p>
            <w:pPr>
              <w:pStyle w:val="Compact"/>
              <w:jc w:val="center"/>
            </w:pPr>
            <w:r>
              <w:t xml:space="preserve">0</w:t>
            </w:r>
          </w:p>
        </w:tc>
        <w:tc>
          <w:tcPr>
            <w:tcW w:w="474" w:type="dxa"/>
          </w:tcPr>
          <w:p>
            <w:pPr>
              <w:pStyle w:val="Compact"/>
              <w:jc w:val="center"/>
            </w:pPr>
            <w:r>
              <w:t xml:space="preserve">251</w:t>
            </w:r>
          </w:p>
        </w:tc>
        <w:tc>
          <w:tcPr>
            <w:tcW w:w="474" w:type="dxa"/>
          </w:tcPr>
          <w:p>
            <w:pPr>
              <w:pStyle w:val="Compact"/>
              <w:jc w:val="center"/>
            </w:pPr>
            <w:r>
              <w:t xml:space="preserve">0</w:t>
            </w:r>
          </w:p>
        </w:tc>
        <w:tc>
          <w:tcPr>
            <w:tcW w:w="474" w:type="dxa"/>
          </w:tcPr>
          <w:p>
            <w:pPr>
              <w:pStyle w:val="Compact"/>
              <w:jc w:val="center"/>
            </w:pPr>
            <w:r>
              <w:t xml:space="preserve">159</w:t>
            </w:r>
          </w:p>
        </w:tc>
        <w:tc>
          <w:tcPr>
            <w:tcW w:w="955" w:type="dxa"/>
          </w:tcPr>
          <w:p>
            <w:pPr>
              <w:pStyle w:val="Compact"/>
              <w:jc w:val="center"/>
            </w:pPr>
            <w:r>
              <w:t xml:space="preserve">61.22%</w:t>
            </w:r>
          </w:p>
        </w:tc>
        <w:tc>
          <w:tcPr>
            <w:tcW w:w="1051" w:type="dxa"/>
          </w:tcPr>
          <w:p>
            <w:pPr>
              <w:pStyle w:val="Compact"/>
              <w:jc w:val="center"/>
            </w:pPr>
            <w:r>
              <w:t xml:space="preserve">—</w:t>
            </w:r>
          </w:p>
        </w:tc>
        <w:tc>
          <w:tcPr>
            <w:tcW w:w="859" w:type="dxa"/>
          </w:tcPr>
          <w:p>
            <w:pPr>
              <w:pStyle w:val="Compact"/>
              <w:jc w:val="center"/>
            </w:pPr>
            <w:r>
              <w:t xml:space="preserve">0.00%</w:t>
            </w:r>
          </w:p>
        </w:tc>
        <w:tc>
          <w:tcPr>
            <w:tcW w:w="955" w:type="dxa"/>
          </w:tcPr>
          <w:p>
            <w:pPr>
              <w:pStyle w:val="Compact"/>
              <w:jc w:val="center"/>
            </w:pPr>
            <w:r>
              <w:t xml:space="preserve">0.00%</w:t>
            </w:r>
          </w:p>
        </w:tc>
        <w:tc>
          <w:tcPr>
            <w:tcW w:w="859" w:type="dxa"/>
          </w:tcPr>
          <w:p>
            <w:pPr>
              <w:pStyle w:val="Compact"/>
              <w:jc w:val="center"/>
            </w:pPr>
            <w:r>
              <w:rPr>
                <w:b/>
              </w:rPr>
              <w:t xml:space="preserve">0.00%</w:t>
            </w:r>
          </w:p>
        </w:tc>
        <w:tc>
          <w:tcPr>
            <w:tcW w:w="1147" w:type="dxa"/>
          </w:tcPr>
          <w:p>
            <w:pPr>
              <w:pStyle w:val="Compact"/>
              <w:jc w:val="center"/>
            </w:pPr>
            <w:r>
              <w:t xml:space="preserve">—</w:t>
            </w:r>
          </w:p>
        </w:tc>
        <w:tc>
          <w:tcPr>
            <w:tcW w:w="673" w:type="dxa"/>
          </w:tcPr>
          <w:p>
            <w:pPr>
              <w:pStyle w:val="Compact"/>
              <w:jc w:val="left"/>
            </w:pPr>
            <w:r>
              <w:t xml:space="preserve">—</w:t>
            </w:r>
          </w:p>
        </w:tc>
      </w:tr>
      <w:tr>
        <w:tc>
          <w:tcPr>
            <w:tcW w:w="1243" w:type="dxa"/>
          </w:tcPr>
          <w:p>
            <w:pPr>
              <w:pStyle w:val="Compact"/>
              <w:jc w:val="left"/>
            </w:pPr>
            <w:r>
              <w:t xml:space="preserve">Hand-set thresholds (released)</w:t>
            </w:r>
          </w:p>
        </w:tc>
        <w:tc>
          <w:tcPr>
            <w:tcW w:w="474" w:type="dxa"/>
          </w:tcPr>
          <w:p>
            <w:pPr>
              <w:pStyle w:val="Compact"/>
              <w:jc w:val="center"/>
            </w:pPr>
            <w:r>
              <w:t xml:space="preserve">100</w:t>
            </w:r>
          </w:p>
        </w:tc>
        <w:tc>
          <w:tcPr>
            <w:tcW w:w="474" w:type="dxa"/>
          </w:tcPr>
          <w:p>
            <w:pPr>
              <w:pStyle w:val="Compact"/>
              <w:jc w:val="center"/>
            </w:pPr>
            <w:r>
              <w:t xml:space="preserve">103</w:t>
            </w:r>
          </w:p>
        </w:tc>
        <w:tc>
          <w:tcPr>
            <w:tcW w:w="474" w:type="dxa"/>
          </w:tcPr>
          <w:p>
            <w:pPr>
              <w:pStyle w:val="Compact"/>
              <w:jc w:val="center"/>
            </w:pPr>
            <w:r>
              <w:t xml:space="preserve">148</w:t>
            </w:r>
          </w:p>
        </w:tc>
        <w:tc>
          <w:tcPr>
            <w:tcW w:w="474" w:type="dxa"/>
          </w:tcPr>
          <w:p>
            <w:pPr>
              <w:pStyle w:val="Compact"/>
              <w:jc w:val="center"/>
            </w:pPr>
            <w:r>
              <w:t xml:space="preserve">59</w:t>
            </w:r>
          </w:p>
        </w:tc>
        <w:tc>
          <w:tcPr>
            <w:tcW w:w="955" w:type="dxa"/>
          </w:tcPr>
          <w:p>
            <w:pPr>
              <w:pStyle w:val="Compact"/>
              <w:jc w:val="center"/>
            </w:pPr>
            <w:r>
              <w:t xml:space="preserve">49.51%</w:t>
            </w:r>
          </w:p>
        </w:tc>
        <w:tc>
          <w:tcPr>
            <w:tcW w:w="1051" w:type="dxa"/>
          </w:tcPr>
          <w:p>
            <w:pPr>
              <w:pStyle w:val="Compact"/>
              <w:jc w:val="center"/>
            </w:pPr>
            <w:r>
              <w:t xml:space="preserve">40.32%</w:t>
            </w:r>
          </w:p>
        </w:tc>
        <w:tc>
          <w:tcPr>
            <w:tcW w:w="859" w:type="dxa"/>
          </w:tcPr>
          <w:p>
            <w:pPr>
              <w:pStyle w:val="Compact"/>
              <w:jc w:val="center"/>
            </w:pPr>
            <w:r>
              <w:t xml:space="preserve">62.89%</w:t>
            </w:r>
          </w:p>
        </w:tc>
        <w:tc>
          <w:tcPr>
            <w:tcW w:w="955" w:type="dxa"/>
          </w:tcPr>
          <w:p>
            <w:pPr>
              <w:pStyle w:val="Compact"/>
              <w:jc w:val="center"/>
            </w:pPr>
            <w:r>
              <w:t xml:space="preserve">49.14%</w:t>
            </w:r>
          </w:p>
        </w:tc>
        <w:tc>
          <w:tcPr>
            <w:tcW w:w="859" w:type="dxa"/>
          </w:tcPr>
          <w:p>
            <w:pPr>
              <w:pStyle w:val="Compact"/>
              <w:jc w:val="center"/>
            </w:pPr>
            <w:r>
              <w:t xml:space="preserve">58.96%</w:t>
            </w:r>
          </w:p>
        </w:tc>
        <w:tc>
          <w:tcPr>
            <w:tcW w:w="1147" w:type="dxa"/>
          </w:tcPr>
          <w:p>
            <w:pPr>
              <w:pStyle w:val="Compact"/>
              <w:jc w:val="center"/>
            </w:pPr>
            <w:r>
              <w:t xml:space="preserve">8.45</w:t>
            </w:r>
          </w:p>
        </w:tc>
        <w:tc>
          <w:tcPr>
            <w:tcW w:w="673" w:type="dxa"/>
          </w:tcPr>
          <w:p>
            <w:pPr>
              <w:pStyle w:val="Compact"/>
              <w:jc w:val="left"/>
            </w:pPr>
            <w:r>
              <w:t xml:space="preserve">—</w:t>
            </w:r>
          </w:p>
        </w:tc>
      </w:tr>
      <w:tr>
        <w:tc>
          <w:tcPr>
            <w:tcW w:w="1243" w:type="dxa"/>
          </w:tcPr>
          <w:p>
            <w:pPr>
              <w:pStyle w:val="Compact"/>
              <w:jc w:val="left"/>
            </w:pPr>
            <w:r>
              <w:t xml:space="preserve">Logistic regression, color</w:t>
            </w:r>
          </w:p>
        </w:tc>
        <w:tc>
          <w:tcPr>
            <w:tcW w:w="474" w:type="dxa"/>
          </w:tcPr>
          <w:p>
            <w:pPr>
              <w:pStyle w:val="Compact"/>
              <w:jc w:val="center"/>
            </w:pPr>
            <w:r>
              <w:t xml:space="preserve">127</w:t>
            </w:r>
          </w:p>
        </w:tc>
        <w:tc>
          <w:tcPr>
            <w:tcW w:w="474" w:type="dxa"/>
          </w:tcPr>
          <w:p>
            <w:pPr>
              <w:pStyle w:val="Compact"/>
              <w:jc w:val="center"/>
            </w:pPr>
            <w:r>
              <w:t xml:space="preserve">180</w:t>
            </w:r>
          </w:p>
        </w:tc>
        <w:tc>
          <w:tcPr>
            <w:tcW w:w="474" w:type="dxa"/>
          </w:tcPr>
          <w:p>
            <w:pPr>
              <w:pStyle w:val="Compact"/>
              <w:jc w:val="center"/>
            </w:pPr>
            <w:r>
              <w:t xml:space="preserve">71</w:t>
            </w:r>
          </w:p>
        </w:tc>
        <w:tc>
          <w:tcPr>
            <w:tcW w:w="474" w:type="dxa"/>
          </w:tcPr>
          <w:p>
            <w:pPr>
              <w:pStyle w:val="Compact"/>
              <w:jc w:val="center"/>
            </w:pPr>
            <w:r>
              <w:t xml:space="preserve">32</w:t>
            </w:r>
          </w:p>
        </w:tc>
        <w:tc>
          <w:tcPr>
            <w:tcW w:w="955" w:type="dxa"/>
          </w:tcPr>
          <w:p>
            <w:pPr>
              <w:pStyle w:val="Compact"/>
              <w:jc w:val="center"/>
            </w:pPr>
            <w:r>
              <w:t xml:space="preserve">74.88%</w:t>
            </w:r>
          </w:p>
        </w:tc>
        <w:tc>
          <w:tcPr>
            <w:tcW w:w="1051" w:type="dxa"/>
          </w:tcPr>
          <w:p>
            <w:pPr>
              <w:pStyle w:val="Compact"/>
              <w:jc w:val="center"/>
            </w:pPr>
            <w:r>
              <w:t xml:space="preserve">64.14%</w:t>
            </w:r>
          </w:p>
        </w:tc>
        <w:tc>
          <w:tcPr>
            <w:tcW w:w="859" w:type="dxa"/>
          </w:tcPr>
          <w:p>
            <w:pPr>
              <w:pStyle w:val="Compact"/>
              <w:jc w:val="center"/>
            </w:pPr>
            <w:r>
              <w:t xml:space="preserve">79.87%</w:t>
            </w:r>
          </w:p>
        </w:tc>
        <w:tc>
          <w:tcPr>
            <w:tcW w:w="955" w:type="dxa"/>
          </w:tcPr>
          <w:p>
            <w:pPr>
              <w:pStyle w:val="Compact"/>
              <w:jc w:val="center"/>
            </w:pPr>
            <w:r>
              <w:t xml:space="preserve">71.15%</w:t>
            </w:r>
          </w:p>
        </w:tc>
        <w:tc>
          <w:tcPr>
            <w:tcW w:w="859" w:type="dxa"/>
          </w:tcPr>
          <w:p>
            <w:pPr>
              <w:pStyle w:val="Compact"/>
              <w:jc w:val="center"/>
            </w:pPr>
            <w:r>
              <w:t xml:space="preserve">28.29%</w:t>
            </w:r>
          </w:p>
        </w:tc>
        <w:tc>
          <w:tcPr>
            <w:tcW w:w="1147" w:type="dxa"/>
          </w:tcPr>
          <w:p>
            <w:pPr>
              <w:pStyle w:val="Compact"/>
              <w:jc w:val="center"/>
            </w:pPr>
            <w:r>
              <w:t xml:space="preserve">—</w:t>
            </w:r>
          </w:p>
        </w:tc>
        <w:tc>
          <w:tcPr>
            <w:tcW w:w="673" w:type="dxa"/>
          </w:tcPr>
          <w:p>
            <w:pPr>
              <w:pStyle w:val="Compact"/>
              <w:jc w:val="left"/>
            </w:pPr>
            <w:r>
              <w:t xml:space="preserve">2.7 kB</w:t>
            </w:r>
          </w:p>
        </w:tc>
      </w:tr>
      <w:tr>
        <w:tc>
          <w:tcPr>
            <w:tcW w:w="1243" w:type="dxa"/>
          </w:tcPr>
          <w:p>
            <w:pPr>
              <w:pStyle w:val="Compact"/>
              <w:jc w:val="left"/>
            </w:pPr>
            <w:r>
              <w:t xml:space="preserve">Random forest, color</w:t>
            </w:r>
          </w:p>
        </w:tc>
        <w:tc>
          <w:tcPr>
            <w:tcW w:w="474" w:type="dxa"/>
          </w:tcPr>
          <w:p>
            <w:pPr>
              <w:pStyle w:val="Compact"/>
              <w:jc w:val="center"/>
            </w:pPr>
            <w:r>
              <w:t xml:space="preserve">130</w:t>
            </w:r>
          </w:p>
        </w:tc>
        <w:tc>
          <w:tcPr>
            <w:tcW w:w="474" w:type="dxa"/>
          </w:tcPr>
          <w:p>
            <w:pPr>
              <w:pStyle w:val="Compact"/>
              <w:jc w:val="center"/>
            </w:pPr>
            <w:r>
              <w:t xml:space="preserve">224</w:t>
            </w:r>
          </w:p>
        </w:tc>
        <w:tc>
          <w:tcPr>
            <w:tcW w:w="474" w:type="dxa"/>
          </w:tcPr>
          <w:p>
            <w:pPr>
              <w:pStyle w:val="Compact"/>
              <w:jc w:val="center"/>
            </w:pPr>
            <w:r>
              <w:t xml:space="preserve">27</w:t>
            </w:r>
          </w:p>
        </w:tc>
        <w:tc>
          <w:tcPr>
            <w:tcW w:w="474" w:type="dxa"/>
          </w:tcPr>
          <w:p>
            <w:pPr>
              <w:pStyle w:val="Compact"/>
              <w:jc w:val="center"/>
            </w:pPr>
            <w:r>
              <w:t xml:space="preserve">29</w:t>
            </w:r>
          </w:p>
        </w:tc>
        <w:tc>
          <w:tcPr>
            <w:tcW w:w="955" w:type="dxa"/>
          </w:tcPr>
          <w:p>
            <w:pPr>
              <w:pStyle w:val="Compact"/>
              <w:jc w:val="center"/>
            </w:pPr>
            <w:r>
              <w:t xml:space="preserve">86.34%</w:t>
            </w:r>
          </w:p>
        </w:tc>
        <w:tc>
          <w:tcPr>
            <w:tcW w:w="1051" w:type="dxa"/>
          </w:tcPr>
          <w:p>
            <w:pPr>
              <w:pStyle w:val="Compact"/>
              <w:jc w:val="center"/>
            </w:pPr>
            <w:r>
              <w:t xml:space="preserve">82.80%</w:t>
            </w:r>
          </w:p>
        </w:tc>
        <w:tc>
          <w:tcPr>
            <w:tcW w:w="859" w:type="dxa"/>
          </w:tcPr>
          <w:p>
            <w:pPr>
              <w:pStyle w:val="Compact"/>
              <w:jc w:val="center"/>
            </w:pPr>
            <w:r>
              <w:t xml:space="preserve">81.76%</w:t>
            </w:r>
          </w:p>
        </w:tc>
        <w:tc>
          <w:tcPr>
            <w:tcW w:w="955" w:type="dxa"/>
          </w:tcPr>
          <w:p>
            <w:pPr>
              <w:pStyle w:val="Compact"/>
              <w:jc w:val="center"/>
            </w:pPr>
            <w:r>
              <w:t xml:space="preserve">82.28%</w:t>
            </w:r>
          </w:p>
        </w:tc>
        <w:tc>
          <w:tcPr>
            <w:tcW w:w="859" w:type="dxa"/>
          </w:tcPr>
          <w:p>
            <w:pPr>
              <w:pStyle w:val="Compact"/>
              <w:jc w:val="center"/>
            </w:pPr>
            <w:r>
              <w:t xml:space="preserve">10.76%</w:t>
            </w:r>
          </w:p>
        </w:tc>
        <w:tc>
          <w:tcPr>
            <w:tcW w:w="1147" w:type="dxa"/>
          </w:tcPr>
          <w:p>
            <w:pPr>
              <w:pStyle w:val="Compact"/>
              <w:jc w:val="center"/>
            </w:pPr>
            <w:r>
              <w:t xml:space="preserve">—</w:t>
            </w:r>
          </w:p>
        </w:tc>
        <w:tc>
          <w:tcPr>
            <w:tcW w:w="673" w:type="dxa"/>
          </w:tcPr>
          <w:p>
            <w:pPr>
              <w:pStyle w:val="Compact"/>
              <w:jc w:val="left"/>
            </w:pPr>
            <w:r>
              <w:t xml:space="preserve">10.1 MB</w:t>
            </w:r>
          </w:p>
        </w:tc>
      </w:tr>
      <w:tr>
        <w:tc>
          <w:tcPr>
            <w:tcW w:w="1243" w:type="dxa"/>
          </w:tcPr>
          <w:p>
            <w:pPr>
              <w:pStyle w:val="Compact"/>
              <w:jc w:val="left"/>
            </w:pPr>
            <w:r>
              <w:t xml:space="preserve">Logistic regression, color + texture</w:t>
            </w:r>
          </w:p>
        </w:tc>
        <w:tc>
          <w:tcPr>
            <w:tcW w:w="474" w:type="dxa"/>
          </w:tcPr>
          <w:p>
            <w:pPr>
              <w:pStyle w:val="Compact"/>
              <w:jc w:val="center"/>
            </w:pPr>
            <w:r>
              <w:t xml:space="preserve">131</w:t>
            </w:r>
          </w:p>
        </w:tc>
        <w:tc>
          <w:tcPr>
            <w:tcW w:w="474" w:type="dxa"/>
          </w:tcPr>
          <w:p>
            <w:pPr>
              <w:pStyle w:val="Compact"/>
              <w:jc w:val="center"/>
            </w:pPr>
            <w:r>
              <w:t xml:space="preserve">186</w:t>
            </w:r>
          </w:p>
        </w:tc>
        <w:tc>
          <w:tcPr>
            <w:tcW w:w="474" w:type="dxa"/>
          </w:tcPr>
          <w:p>
            <w:pPr>
              <w:pStyle w:val="Compact"/>
              <w:jc w:val="center"/>
            </w:pPr>
            <w:r>
              <w:t xml:space="preserve">65</w:t>
            </w:r>
          </w:p>
        </w:tc>
        <w:tc>
          <w:tcPr>
            <w:tcW w:w="474" w:type="dxa"/>
          </w:tcPr>
          <w:p>
            <w:pPr>
              <w:pStyle w:val="Compact"/>
              <w:jc w:val="center"/>
            </w:pPr>
            <w:r>
              <w:t xml:space="preserve">28</w:t>
            </w:r>
          </w:p>
        </w:tc>
        <w:tc>
          <w:tcPr>
            <w:tcW w:w="955" w:type="dxa"/>
          </w:tcPr>
          <w:p>
            <w:pPr>
              <w:pStyle w:val="Compact"/>
              <w:jc w:val="center"/>
            </w:pPr>
            <w:r>
              <w:t xml:space="preserve">77.32%</w:t>
            </w:r>
          </w:p>
        </w:tc>
        <w:tc>
          <w:tcPr>
            <w:tcW w:w="1051" w:type="dxa"/>
          </w:tcPr>
          <w:p>
            <w:pPr>
              <w:pStyle w:val="Compact"/>
              <w:jc w:val="center"/>
            </w:pPr>
            <w:r>
              <w:t xml:space="preserve">66.84%</w:t>
            </w:r>
          </w:p>
        </w:tc>
        <w:tc>
          <w:tcPr>
            <w:tcW w:w="859" w:type="dxa"/>
          </w:tcPr>
          <w:p>
            <w:pPr>
              <w:pStyle w:val="Compact"/>
              <w:jc w:val="center"/>
            </w:pPr>
            <w:r>
              <w:t xml:space="preserve">82.39%</w:t>
            </w:r>
          </w:p>
        </w:tc>
        <w:tc>
          <w:tcPr>
            <w:tcW w:w="955" w:type="dxa"/>
          </w:tcPr>
          <w:p>
            <w:pPr>
              <w:pStyle w:val="Compact"/>
              <w:jc w:val="center"/>
            </w:pPr>
            <w:r>
              <w:t xml:space="preserve">73.80%</w:t>
            </w:r>
          </w:p>
        </w:tc>
        <w:tc>
          <w:tcPr>
            <w:tcW w:w="859" w:type="dxa"/>
          </w:tcPr>
          <w:p>
            <w:pPr>
              <w:pStyle w:val="Compact"/>
              <w:jc w:val="center"/>
            </w:pPr>
            <w:r>
              <w:t xml:space="preserve">25.90%</w:t>
            </w:r>
          </w:p>
        </w:tc>
        <w:tc>
          <w:tcPr>
            <w:tcW w:w="1147" w:type="dxa"/>
          </w:tcPr>
          <w:p>
            <w:pPr>
              <w:pStyle w:val="Compact"/>
              <w:jc w:val="center"/>
            </w:pPr>
            <w:r>
              <w:t xml:space="preserve">—</w:t>
            </w:r>
          </w:p>
        </w:tc>
        <w:tc>
          <w:tcPr>
            <w:tcW w:w="673" w:type="dxa"/>
          </w:tcPr>
          <w:p>
            <w:pPr>
              <w:pStyle w:val="Compact"/>
              <w:jc w:val="left"/>
            </w:pPr>
            <w:r>
              <w:t xml:space="preserve">2.8 kB</w:t>
            </w:r>
          </w:p>
        </w:tc>
      </w:tr>
      <w:tr>
        <w:tc>
          <w:tcPr>
            <w:tcW w:w="1243" w:type="dxa"/>
          </w:tcPr>
          <w:p>
            <w:pPr>
              <w:pStyle w:val="Compact"/>
              <w:jc w:val="left"/>
            </w:pPr>
            <w:r>
              <w:t xml:space="preserve">Random forest, color + texture</w:t>
            </w:r>
          </w:p>
        </w:tc>
        <w:tc>
          <w:tcPr>
            <w:tcW w:w="474" w:type="dxa"/>
          </w:tcPr>
          <w:p>
            <w:pPr>
              <w:pStyle w:val="Compact"/>
              <w:jc w:val="center"/>
            </w:pPr>
            <w:r>
              <w:t xml:space="preserve">130</w:t>
            </w:r>
          </w:p>
        </w:tc>
        <w:tc>
          <w:tcPr>
            <w:tcW w:w="474" w:type="dxa"/>
          </w:tcPr>
          <w:p>
            <w:pPr>
              <w:pStyle w:val="Compact"/>
              <w:jc w:val="center"/>
            </w:pPr>
            <w:r>
              <w:t xml:space="preserve">218</w:t>
            </w:r>
          </w:p>
        </w:tc>
        <w:tc>
          <w:tcPr>
            <w:tcW w:w="474" w:type="dxa"/>
          </w:tcPr>
          <w:p>
            <w:pPr>
              <w:pStyle w:val="Compact"/>
              <w:jc w:val="center"/>
            </w:pPr>
            <w:r>
              <w:t xml:space="preserve">33</w:t>
            </w:r>
          </w:p>
        </w:tc>
        <w:tc>
          <w:tcPr>
            <w:tcW w:w="474" w:type="dxa"/>
          </w:tcPr>
          <w:p>
            <w:pPr>
              <w:pStyle w:val="Compact"/>
              <w:jc w:val="center"/>
            </w:pPr>
            <w:r>
              <w:t xml:space="preserve">29</w:t>
            </w:r>
          </w:p>
        </w:tc>
        <w:tc>
          <w:tcPr>
            <w:tcW w:w="955" w:type="dxa"/>
          </w:tcPr>
          <w:p>
            <w:pPr>
              <w:pStyle w:val="Compact"/>
              <w:jc w:val="center"/>
            </w:pPr>
            <w:r>
              <w:t xml:space="preserve">84.88%</w:t>
            </w:r>
          </w:p>
        </w:tc>
        <w:tc>
          <w:tcPr>
            <w:tcW w:w="1051" w:type="dxa"/>
          </w:tcPr>
          <w:p>
            <w:pPr>
              <w:pStyle w:val="Compact"/>
              <w:jc w:val="center"/>
            </w:pPr>
            <w:r>
              <w:t xml:space="preserve">79.75%</w:t>
            </w:r>
          </w:p>
        </w:tc>
        <w:tc>
          <w:tcPr>
            <w:tcW w:w="859" w:type="dxa"/>
          </w:tcPr>
          <w:p>
            <w:pPr>
              <w:pStyle w:val="Compact"/>
              <w:jc w:val="center"/>
            </w:pPr>
            <w:r>
              <w:t xml:space="preserve">81.76%</w:t>
            </w:r>
          </w:p>
        </w:tc>
        <w:tc>
          <w:tcPr>
            <w:tcW w:w="955" w:type="dxa"/>
          </w:tcPr>
          <w:p>
            <w:pPr>
              <w:pStyle w:val="Compact"/>
              <w:jc w:val="center"/>
            </w:pPr>
            <w:r>
              <w:t xml:space="preserve">80.75%</w:t>
            </w:r>
          </w:p>
        </w:tc>
        <w:tc>
          <w:tcPr>
            <w:tcW w:w="859" w:type="dxa"/>
          </w:tcPr>
          <w:p>
            <w:pPr>
              <w:pStyle w:val="Compact"/>
              <w:jc w:val="center"/>
            </w:pPr>
            <w:r>
              <w:t xml:space="preserve">13.15%</w:t>
            </w:r>
          </w:p>
        </w:tc>
        <w:tc>
          <w:tcPr>
            <w:tcW w:w="1147" w:type="dxa"/>
          </w:tcPr>
          <w:p>
            <w:pPr>
              <w:pStyle w:val="Compact"/>
              <w:jc w:val="center"/>
            </w:pPr>
            <w:r>
              <w:t xml:space="preserve">—</w:t>
            </w:r>
          </w:p>
        </w:tc>
        <w:tc>
          <w:tcPr>
            <w:tcW w:w="673" w:type="dxa"/>
          </w:tcPr>
          <w:p>
            <w:pPr>
              <w:pStyle w:val="Compact"/>
              <w:jc w:val="left"/>
            </w:pPr>
            <w:r>
              <w:t xml:space="preserve">8.8 MB</w:t>
            </w:r>
          </w:p>
        </w:tc>
      </w:tr>
      <w:tr>
        <w:tc>
          <w:tcPr>
            <w:tcW w:w="1243" w:type="dxa"/>
          </w:tcPr>
          <w:p>
            <w:pPr>
              <w:pStyle w:val="Compact"/>
              <w:jc w:val="left"/>
            </w:pPr>
            <w:r>
              <w:t xml:space="preserve">Logistic regression, + vertical bands</w:t>
            </w:r>
          </w:p>
        </w:tc>
        <w:tc>
          <w:tcPr>
            <w:tcW w:w="474" w:type="dxa"/>
          </w:tcPr>
          <w:p>
            <w:pPr>
              <w:pStyle w:val="Compact"/>
              <w:jc w:val="center"/>
            </w:pPr>
            <w:r>
              <w:t xml:space="preserve">133</w:t>
            </w:r>
          </w:p>
        </w:tc>
        <w:tc>
          <w:tcPr>
            <w:tcW w:w="474" w:type="dxa"/>
          </w:tcPr>
          <w:p>
            <w:pPr>
              <w:pStyle w:val="Compact"/>
              <w:jc w:val="center"/>
            </w:pPr>
            <w:r>
              <w:t xml:space="preserve">199</w:t>
            </w:r>
          </w:p>
        </w:tc>
        <w:tc>
          <w:tcPr>
            <w:tcW w:w="474" w:type="dxa"/>
          </w:tcPr>
          <w:p>
            <w:pPr>
              <w:pStyle w:val="Compact"/>
              <w:jc w:val="center"/>
            </w:pPr>
            <w:r>
              <w:t xml:space="preserve">52</w:t>
            </w:r>
          </w:p>
        </w:tc>
        <w:tc>
          <w:tcPr>
            <w:tcW w:w="474" w:type="dxa"/>
          </w:tcPr>
          <w:p>
            <w:pPr>
              <w:pStyle w:val="Compact"/>
              <w:jc w:val="center"/>
            </w:pPr>
            <w:r>
              <w:t xml:space="preserve">26</w:t>
            </w:r>
          </w:p>
        </w:tc>
        <w:tc>
          <w:tcPr>
            <w:tcW w:w="955" w:type="dxa"/>
          </w:tcPr>
          <w:p>
            <w:pPr>
              <w:pStyle w:val="Compact"/>
              <w:jc w:val="center"/>
            </w:pPr>
            <w:r>
              <w:t xml:space="preserve">80.98%</w:t>
            </w:r>
          </w:p>
        </w:tc>
        <w:tc>
          <w:tcPr>
            <w:tcW w:w="1051" w:type="dxa"/>
          </w:tcPr>
          <w:p>
            <w:pPr>
              <w:pStyle w:val="Compact"/>
              <w:jc w:val="center"/>
            </w:pPr>
            <w:r>
              <w:t xml:space="preserve">71.89%</w:t>
            </w:r>
          </w:p>
        </w:tc>
        <w:tc>
          <w:tcPr>
            <w:tcW w:w="859" w:type="dxa"/>
          </w:tcPr>
          <w:p>
            <w:pPr>
              <w:pStyle w:val="Compact"/>
              <w:jc w:val="center"/>
            </w:pPr>
            <w:r>
              <w:t xml:space="preserve">83.65%</w:t>
            </w:r>
          </w:p>
        </w:tc>
        <w:tc>
          <w:tcPr>
            <w:tcW w:w="955" w:type="dxa"/>
          </w:tcPr>
          <w:p>
            <w:pPr>
              <w:pStyle w:val="Compact"/>
              <w:jc w:val="center"/>
            </w:pPr>
            <w:r>
              <w:t xml:space="preserve">77.33%</w:t>
            </w:r>
          </w:p>
        </w:tc>
        <w:tc>
          <w:tcPr>
            <w:tcW w:w="859" w:type="dxa"/>
          </w:tcPr>
          <w:p>
            <w:pPr>
              <w:pStyle w:val="Compact"/>
              <w:jc w:val="center"/>
            </w:pPr>
            <w:r>
              <w:t xml:space="preserve">20.72%</w:t>
            </w:r>
          </w:p>
        </w:tc>
        <w:tc>
          <w:tcPr>
            <w:tcW w:w="1147" w:type="dxa"/>
          </w:tcPr>
          <w:p>
            <w:pPr>
              <w:pStyle w:val="Compact"/>
              <w:jc w:val="center"/>
            </w:pPr>
            <w:r>
              <w:t xml:space="preserve">11.42</w:t>
            </w:r>
          </w:p>
        </w:tc>
        <w:tc>
          <w:tcPr>
            <w:tcW w:w="673" w:type="dxa"/>
          </w:tcPr>
          <w:p>
            <w:pPr>
              <w:pStyle w:val="Compact"/>
              <w:jc w:val="left"/>
            </w:pPr>
            <w:r>
              <w:t xml:space="preserve">3.7 kB</w:t>
            </w:r>
          </w:p>
        </w:tc>
      </w:tr>
      <w:tr>
        <w:tc>
          <w:tcPr>
            <w:tcW w:w="1243" w:type="dxa"/>
          </w:tcPr>
          <w:p>
            <w:pPr>
              <w:pStyle w:val="Compact"/>
              <w:jc w:val="left"/>
            </w:pPr>
            <w:r>
              <w:t xml:space="preserve">Random forest, + vertical bands</w:t>
            </w:r>
          </w:p>
        </w:tc>
        <w:tc>
          <w:tcPr>
            <w:tcW w:w="474" w:type="dxa"/>
          </w:tcPr>
          <w:p>
            <w:pPr>
              <w:pStyle w:val="Compact"/>
              <w:jc w:val="center"/>
            </w:pPr>
            <w:r>
              <w:t xml:space="preserve">139</w:t>
            </w:r>
          </w:p>
        </w:tc>
        <w:tc>
          <w:tcPr>
            <w:tcW w:w="474" w:type="dxa"/>
          </w:tcPr>
          <w:p>
            <w:pPr>
              <w:pStyle w:val="Compact"/>
              <w:jc w:val="center"/>
            </w:pPr>
            <w:r>
              <w:t xml:space="preserve">223</w:t>
            </w:r>
          </w:p>
        </w:tc>
        <w:tc>
          <w:tcPr>
            <w:tcW w:w="474" w:type="dxa"/>
          </w:tcPr>
          <w:p>
            <w:pPr>
              <w:pStyle w:val="Compact"/>
              <w:jc w:val="center"/>
            </w:pPr>
            <w:r>
              <w:t xml:space="preserve">28</w:t>
            </w:r>
          </w:p>
        </w:tc>
        <w:tc>
          <w:tcPr>
            <w:tcW w:w="474" w:type="dxa"/>
          </w:tcPr>
          <w:p>
            <w:pPr>
              <w:pStyle w:val="Compact"/>
              <w:jc w:val="center"/>
            </w:pPr>
            <w:r>
              <w:t xml:space="preserve">20</w:t>
            </w:r>
          </w:p>
        </w:tc>
        <w:tc>
          <w:tcPr>
            <w:tcW w:w="955" w:type="dxa"/>
          </w:tcPr>
          <w:p>
            <w:pPr>
              <w:pStyle w:val="Compact"/>
              <w:jc w:val="center"/>
            </w:pPr>
            <w:r>
              <w:rPr>
                <w:b/>
              </w:rPr>
              <w:t xml:space="preserve">88.29%</w:t>
            </w:r>
          </w:p>
        </w:tc>
        <w:tc>
          <w:tcPr>
            <w:tcW w:w="1051" w:type="dxa"/>
          </w:tcPr>
          <w:p>
            <w:pPr>
              <w:pStyle w:val="Compact"/>
              <w:jc w:val="center"/>
            </w:pPr>
            <w:r>
              <w:rPr>
                <w:b/>
              </w:rPr>
              <w:t xml:space="preserve">83.23%</w:t>
            </w:r>
          </w:p>
        </w:tc>
        <w:tc>
          <w:tcPr>
            <w:tcW w:w="859" w:type="dxa"/>
          </w:tcPr>
          <w:p>
            <w:pPr>
              <w:pStyle w:val="Compact"/>
              <w:jc w:val="center"/>
            </w:pPr>
            <w:r>
              <w:t xml:space="preserve">87.42%</w:t>
            </w:r>
          </w:p>
        </w:tc>
        <w:tc>
          <w:tcPr>
            <w:tcW w:w="955" w:type="dxa"/>
          </w:tcPr>
          <w:p>
            <w:pPr>
              <w:pStyle w:val="Compact"/>
              <w:jc w:val="center"/>
            </w:pPr>
            <w:r>
              <w:rPr>
                <w:b/>
              </w:rPr>
              <w:t xml:space="preserve">85.28%</w:t>
            </w:r>
          </w:p>
        </w:tc>
        <w:tc>
          <w:tcPr>
            <w:tcW w:w="859" w:type="dxa"/>
          </w:tcPr>
          <w:p>
            <w:pPr>
              <w:pStyle w:val="Compact"/>
              <w:jc w:val="center"/>
            </w:pPr>
            <w:r>
              <w:t xml:space="preserve">11.16%</w:t>
            </w:r>
          </w:p>
        </w:tc>
        <w:tc>
          <w:tcPr>
            <w:tcW w:w="1147" w:type="dxa"/>
          </w:tcPr>
          <w:p>
            <w:pPr>
              <w:pStyle w:val="Compact"/>
              <w:jc w:val="center"/>
            </w:pPr>
            <w:r>
              <w:t xml:space="preserve">62.49</w:t>
            </w:r>
          </w:p>
        </w:tc>
        <w:tc>
          <w:tcPr>
            <w:tcW w:w="673" w:type="dxa"/>
          </w:tcPr>
          <w:p>
            <w:pPr>
              <w:pStyle w:val="Compact"/>
              <w:jc w:val="left"/>
            </w:pPr>
            <w:r>
              <w:t xml:space="preserve">8.3 MB</w:t>
            </w:r>
          </w:p>
        </w:tc>
      </w:tr>
      <w:tr>
        <w:tc>
          <w:tcPr>
            <w:tcW w:w="1243" w:type="dxa"/>
          </w:tcPr>
          <w:p>
            <w:pPr>
              <w:pStyle w:val="Compact"/>
              <w:jc w:val="left"/>
            </w:pPr>
            <w:r>
              <w:rPr>
                <w:i/>
              </w:rPr>
              <w:t xml:space="preserve">Cascade: hand-set proposals + logistic verifier</w:t>
            </w:r>
          </w:p>
        </w:tc>
        <w:tc>
          <w:tcPr>
            <w:tcW w:w="474" w:type="dxa"/>
          </w:tcPr>
          <w:p>
            <w:pPr>
              <w:pStyle w:val="Compact"/>
              <w:jc w:val="center"/>
            </w:pPr>
            <w:r>
              <w:t xml:space="preserve">65</w:t>
            </w:r>
          </w:p>
        </w:tc>
        <w:tc>
          <w:tcPr>
            <w:tcW w:w="474" w:type="dxa"/>
          </w:tcPr>
          <w:p>
            <w:pPr>
              <w:pStyle w:val="Compact"/>
              <w:jc w:val="center"/>
            </w:pPr>
            <w:r>
              <w:t xml:space="preserve">192</w:t>
            </w:r>
          </w:p>
        </w:tc>
        <w:tc>
          <w:tcPr>
            <w:tcW w:w="474" w:type="dxa"/>
          </w:tcPr>
          <w:p>
            <w:pPr>
              <w:pStyle w:val="Compact"/>
              <w:jc w:val="center"/>
            </w:pPr>
            <w:r>
              <w:t xml:space="preserve">59</w:t>
            </w:r>
          </w:p>
        </w:tc>
        <w:tc>
          <w:tcPr>
            <w:tcW w:w="474" w:type="dxa"/>
          </w:tcPr>
          <w:p>
            <w:pPr>
              <w:pStyle w:val="Compact"/>
              <w:jc w:val="center"/>
            </w:pPr>
            <w:r>
              <w:t xml:space="preserve">94</w:t>
            </w:r>
          </w:p>
        </w:tc>
        <w:tc>
          <w:tcPr>
            <w:tcW w:w="955" w:type="dxa"/>
          </w:tcPr>
          <w:p>
            <w:pPr>
              <w:pStyle w:val="Compact"/>
              <w:jc w:val="center"/>
            </w:pPr>
            <w:r>
              <w:t xml:space="preserve">62.68%</w:t>
            </w:r>
          </w:p>
        </w:tc>
        <w:tc>
          <w:tcPr>
            <w:tcW w:w="1051" w:type="dxa"/>
          </w:tcPr>
          <w:p>
            <w:pPr>
              <w:pStyle w:val="Compact"/>
              <w:jc w:val="center"/>
            </w:pPr>
            <w:r>
              <w:t xml:space="preserve">52.42%</w:t>
            </w:r>
          </w:p>
        </w:tc>
        <w:tc>
          <w:tcPr>
            <w:tcW w:w="859" w:type="dxa"/>
          </w:tcPr>
          <w:p>
            <w:pPr>
              <w:pStyle w:val="Compact"/>
              <w:jc w:val="center"/>
            </w:pPr>
            <w:r>
              <w:t xml:space="preserve">40.88%</w:t>
            </w:r>
          </w:p>
        </w:tc>
        <w:tc>
          <w:tcPr>
            <w:tcW w:w="955" w:type="dxa"/>
          </w:tcPr>
          <w:p>
            <w:pPr>
              <w:pStyle w:val="Compact"/>
              <w:jc w:val="center"/>
            </w:pPr>
            <w:r>
              <w:t xml:space="preserve">45.94%</w:t>
            </w:r>
          </w:p>
        </w:tc>
        <w:tc>
          <w:tcPr>
            <w:tcW w:w="859" w:type="dxa"/>
          </w:tcPr>
          <w:p>
            <w:pPr>
              <w:pStyle w:val="Compact"/>
              <w:jc w:val="center"/>
            </w:pPr>
            <w:r>
              <w:t xml:space="preserve">23.51%</w:t>
            </w:r>
          </w:p>
        </w:tc>
        <w:tc>
          <w:tcPr>
            <w:tcW w:w="1147" w:type="dxa"/>
          </w:tcPr>
          <w:p>
            <w:pPr>
              <w:pStyle w:val="Compact"/>
              <w:jc w:val="center"/>
            </w:pPr>
            <w:r>
              <w:t xml:space="preserve">—</w:t>
            </w:r>
          </w:p>
        </w:tc>
        <w:tc>
          <w:tcPr>
            <w:tcW w:w="673" w:type="dxa"/>
          </w:tcPr>
          <w:p>
            <w:pPr>
              <w:pStyle w:val="Compact"/>
              <w:jc w:val="left"/>
            </w:pPr>
            <w:r>
              <w:t xml:space="preserve">—</w:t>
            </w:r>
          </w:p>
        </w:tc>
      </w:tr>
      <w:tr>
        <w:tc>
          <w:tcPr>
            <w:tcW w:w="1243" w:type="dxa"/>
          </w:tcPr>
          <w:p>
            <w:pPr>
              <w:pStyle w:val="Compact"/>
              <w:jc w:val="left"/>
            </w:pPr>
            <w:r>
              <w:rPr>
                <w:i/>
              </w:rPr>
              <w:t xml:space="preserve">Cascade: hand-set proposals + forest verifier</w:t>
            </w:r>
          </w:p>
        </w:tc>
        <w:tc>
          <w:tcPr>
            <w:tcW w:w="474" w:type="dxa"/>
          </w:tcPr>
          <w:p>
            <w:pPr>
              <w:pStyle w:val="Compact"/>
              <w:jc w:val="center"/>
            </w:pPr>
            <w:r>
              <w:t xml:space="preserve">72</w:t>
            </w:r>
          </w:p>
        </w:tc>
        <w:tc>
          <w:tcPr>
            <w:tcW w:w="474" w:type="dxa"/>
          </w:tcPr>
          <w:p>
            <w:pPr>
              <w:pStyle w:val="Compact"/>
              <w:jc w:val="center"/>
            </w:pPr>
            <w:r>
              <w:t xml:space="preserve">202</w:t>
            </w:r>
          </w:p>
        </w:tc>
        <w:tc>
          <w:tcPr>
            <w:tcW w:w="474" w:type="dxa"/>
          </w:tcPr>
          <w:p>
            <w:pPr>
              <w:pStyle w:val="Compact"/>
              <w:jc w:val="center"/>
            </w:pPr>
            <w:r>
              <w:t xml:space="preserve">49</w:t>
            </w:r>
          </w:p>
        </w:tc>
        <w:tc>
          <w:tcPr>
            <w:tcW w:w="474" w:type="dxa"/>
          </w:tcPr>
          <w:p>
            <w:pPr>
              <w:pStyle w:val="Compact"/>
              <w:jc w:val="center"/>
            </w:pPr>
            <w:r>
              <w:t xml:space="preserve">87</w:t>
            </w:r>
          </w:p>
        </w:tc>
        <w:tc>
          <w:tcPr>
            <w:tcW w:w="955" w:type="dxa"/>
          </w:tcPr>
          <w:p>
            <w:pPr>
              <w:pStyle w:val="Compact"/>
              <w:jc w:val="center"/>
            </w:pPr>
            <w:r>
              <w:t xml:space="preserve">66.83%</w:t>
            </w:r>
          </w:p>
        </w:tc>
        <w:tc>
          <w:tcPr>
            <w:tcW w:w="1051" w:type="dxa"/>
          </w:tcPr>
          <w:p>
            <w:pPr>
              <w:pStyle w:val="Compact"/>
              <w:jc w:val="center"/>
            </w:pPr>
            <w:r>
              <w:t xml:space="preserve">59.50%</w:t>
            </w:r>
          </w:p>
        </w:tc>
        <w:tc>
          <w:tcPr>
            <w:tcW w:w="859" w:type="dxa"/>
          </w:tcPr>
          <w:p>
            <w:pPr>
              <w:pStyle w:val="Compact"/>
              <w:jc w:val="center"/>
            </w:pPr>
            <w:r>
              <w:t xml:space="preserve">45.28%</w:t>
            </w:r>
          </w:p>
        </w:tc>
        <w:tc>
          <w:tcPr>
            <w:tcW w:w="955" w:type="dxa"/>
          </w:tcPr>
          <w:p>
            <w:pPr>
              <w:pStyle w:val="Compact"/>
              <w:jc w:val="center"/>
            </w:pPr>
            <w:r>
              <w:t xml:space="preserve">51.43%</w:t>
            </w:r>
          </w:p>
        </w:tc>
        <w:tc>
          <w:tcPr>
            <w:tcW w:w="859" w:type="dxa"/>
          </w:tcPr>
          <w:p>
            <w:pPr>
              <w:pStyle w:val="Compact"/>
              <w:jc w:val="center"/>
            </w:pPr>
            <w:r>
              <w:t xml:space="preserve">19.52%</w:t>
            </w:r>
          </w:p>
        </w:tc>
        <w:tc>
          <w:tcPr>
            <w:tcW w:w="1147" w:type="dxa"/>
          </w:tcPr>
          <w:p>
            <w:pPr>
              <w:pStyle w:val="Compact"/>
              <w:jc w:val="center"/>
            </w:pPr>
            <w:r>
              <w:t xml:space="preserve">—</w:t>
            </w:r>
          </w:p>
        </w:tc>
        <w:tc>
          <w:tcPr>
            <w:tcW w:w="673" w:type="dxa"/>
          </w:tcPr>
          <w:p>
            <w:pPr>
              <w:pStyle w:val="Compact"/>
              <w:jc w:val="left"/>
            </w:pPr>
            <w:r>
              <w:t xml:space="preserve">—</w:t>
            </w:r>
          </w:p>
        </w:tc>
      </w:tr>
    </w:tbl>
    <w:p>
      <w:pPr>
        <w:pStyle w:val="BodyText"/>
      </w:pPr>
      <w:r>
        <w:t xml:space="preserve">Note: Bold marks the best value in its column. Latency is feature extraction (11.08 ms) plus prediction, reported as the median over 300 calls spread across 30 640 × 480 frames after a discarded warm-up pass; it was measured for the hand-set rule and for the two vertical-band models only, and the dash indicates not measured rather than not applicable. The hand-set and logistic figures are single-threaded, while the forest predicts across all available cores, so its 62.49 ms is a wall-clock cost and not a core-seconds one. Precision is undefined for the constant-negative rule. The learned models use the training split, which the hand-set rule never does, so the comparison favors them by construction; that is the nature of a learned baseline.</w:t>
      </w:r>
    </w:p>
    <w:p>
      <w:pPr>
        <w:pStyle w:val="BodyText"/>
      </w:pPr>
      <w:r>
        <w:t xml:space="preserve">The outcome is unambiguous. Fitting weights over the same 512-bin color histogram raises the F1-score from 49.14% to 82.28% and lowers the false-positive rate from 58.96% to 10.76%. The improvement is not a trade: the learned model is better on accuracy, precision, recall and false-positive rate simultaneously, so it dominates the hand-set rule rather than relocating its errors. Adding texture contributes a further 2.65 percentage points of F1 for the linear model, which leaves the larger part of the gap in the color evidence itself rather than in the absence of texture. Adding three vertical-band histograms to the color histogram instead contributes 3.00 percentage points to the forest, reaching an F1-score of 85.28% at an accuracy of 88.29% and a false-positive rate of 11.16%. One thing has to be said before that increment is interpreted. The split this protocol designates for selection does not order the two feature sets the way the test split does: on validation the forest with texture reaches 78.79 against 77.55 for the forest with bands, so a protocol that chose its headline model on validation, as it should, would have chosen texture. The ordering reverses on test. We report the bands model because it is the strongest test figure and because it is the one the sections above quote, but the choice of which of six fitted models to feature is itself a selection made after six test evaluations, and it is not covered by the single selection step the protocol budgets for. A reader should treat the 3.00-point increment as the best of six rather than as an estimate, and the interpretation that follows as a reading of it rather than a result.</w:t>
      </w:r>
    </w:p>
    <w:p>
      <w:pPr>
        <w:pStyle w:val="BodyText"/>
      </w:pPr>
      <w:r>
        <w:t xml:space="preserve">That reading is this: the bands supply a spatial distinction, orange high in the frame against orange low in the frame, that a hand-set conjunctive rule cannot encode, and given as a feature to be weighted rather than as a rule to be obeyed it appears to help. The validation ordering is evidence against that story and is reported here for that reason. What does not depend on it is the larger claim of this section, which rests on the gap between 49.14% and the 70s and 80s reached by every one of the six fitted models, not on which of them is highest.</w:t>
      </w:r>
    </w:p>
    <w:p>
      <w:pPr>
        <w:pStyle w:val="BodyText"/>
      </w:pPr>
      <w:r>
        <w:t xml:space="preserve">The consequence for the motivation of this architecture is direct. Because a latency comparison across two machines would settle nothing, the hand-set pipeline and the two released learned models were timed together in one run on the target machine, over 30 frames repeated ten times each after a discarded warm-up, for 300 timed calls per configuration. The hand-set pipeline takes a median 8.45 ms per frame, the logistic regression 11.42 ms and the random forest 62.49 ms, so the cheaper of the two timed learned models costs 1.35 times the rule it would replace while raising F1 from 49.14% to 77.33%. The edge-computing argument for hand-set color rules is that learning would be too expensive for CPU-only airborne hardware; here it is comparable in cost: the 2.97 ms difference exceeds the 1.86 ms standard deviation of the hand-set measurement and is therefore not scheduling noise. The nuance runs the other way for the strongest model: the random forest costs 7.40 times the hand-set pipeline, so its 7.95 additional points of F1 are bought with compute. What it settles is only the question asked, whether the airborne compute budget justifies a hand-set color rule. It does not.</w:t>
      </w:r>
    </w:p>
    <w:p>
      <w:pPr>
        <w:pStyle w:val="BodyText"/>
      </w:pPr>
      <w:r>
        <w:t xml:space="preserve">The cascade, reported in the last two rows of Table 4, was the attempt to keep localization while gaining discrimination. It improves on the hand-set rule, raising the F1-score from 49.14% to 51.43% and precision from 40.32% to 59.50%, and the verifier rejects 196 of the 344 boxes proposed on the test split, which is the behavior it was built for. It nonetheless falls well short of the image-level models, and the reason is structural rather than a matter of tuning: a cascade cannot exceed the recall of its proposer. The hand-set stage emits no box at all on 59 of the 159 fire images, so those images are unrecoverable no matter how good the verifier is, and the cascade inherits a recall ceiling of 62.89%. Improving this architecture therefore requires a better proposer, not a better verifier, which is a more specific prescription than the earlier sections could offer.</w:t>
      </w:r>
    </w:p>
    <w:p>
      <w:pPr>
        <w:pStyle w:val="BodyText"/>
      </w:pPr>
      <w:r>
        <w:t xml:space="preserve">Three limits of the comparison must be stated. The learned models perform image-level classification and emit no bounding boxes, so they cannot replace the localization function of Sections 3.1 to 3.3; the comparison is valid for the image-level decision that Section 4 measures and for nothing beyond it, and a full-system replacement would require a learned detector rather than a learned classifier. The global histogram discards spatial structure, and the band histograms recover only a coarse vertical summary of it, which is why none of these models can localize. Finally, every learned figure above comes from a single fit with seed 0, so the spread was measured rather than assumed: each configuration was refitted under ten seeds with splits and the selected hyperparameter fixed, varying only estimator randomness. The logistic regressions are deterministic under this solver, with a standard deviation of exactly zero; the random forests give 81.49% ± 0.97 on color, 81.46% ± 1.12 with texture and 84.05% ± 0.66 with vertical bands. The ordering is therefore robust, the 2.56 point mean gap between the two released variants being over one and a half times the sum of their deviations. The reported figure is not representative, and we say so rather than leave it to be found: seed 0 gives 85.28% against a ten-seed mean of 84.05% over a range of 82.82% to 85.28%, so it is the best of the ten and sits 1.23 points above the mean. This is the opposite direction to the deep edge figure of Section 4.5, which sits at the low end of its own sweep, and the asymmetry is an accident of which fit was run first rather than a choice. The quantity to carry away is the mean with its deviation, not the single fit.</w:t>
      </w:r>
    </w:p>
    <w:p>
      <w:pPr>
        <w:pStyle w:val="Heading3"/>
      </w:pPr>
      <w:bookmarkStart w:id="37" w:name="X60d80674e1837db515a38b232c63fe2084e3144"/>
      <w:r>
        <w:t xml:space="preserve">4.5 The Deep Edge Replacement: a Retrained MobileNetV3-Small Detector</w:t>
      </w:r>
      <w:bookmarkEnd w:id="37"/>
    </w:p>
    <w:p>
      <w:pPr>
        <w:pStyle w:val="FirstParagraph"/>
      </w:pPr>
      <w:r>
        <w:t xml:space="preserve">This section replaces the detector itself. On naming, the configuration indices denote project generations — V1 the hand-set pipeline of Section 3, V2 the learned feature baselines of Section 4.4. The released code and filenames (</w:t>
      </w:r>
      <w:r>
        <w:rPr>
          <w:rStyle w:val="VerbatimChar"/>
        </w:rPr>
        <w:t xml:space="preserve">v3_mobilenet.pth</w:t>
      </w:r>
      <w:r>
        <w:t xml:space="preserve">) label this detector V3, after the MobileNetV3 backbone it uses [34]; to keep it distinct from the project generations V1 and V2 we call this configuration the deep edge detector throughout.</w:t>
      </w:r>
    </w:p>
    <w:p>
      <w:pPr>
        <w:pStyle w:val="BodyText"/>
      </w:pPr>
      <w:r>
        <w:drawing>
          <wp:inline>
            <wp:extent cx="6108700" cy="7306484"/>
            <wp:effectExtent b="0" l="0" r="0" t="0"/>
            <wp:docPr descr="Deep edge decision path" title="" id="1" name="Picture"/>
            <a:graphic>
              <a:graphicData uri="http://schemas.openxmlformats.org/drawingml/2006/picture">
                <pic:pic>
                  <pic:nvPicPr>
                    <pic:cNvPr descr="fig_decision_path.png" id="0" name="Picture"/>
                    <pic:cNvPicPr>
                      <a:picLocks noChangeArrowheads="1" noChangeAspect="1"/>
                    </pic:cNvPicPr>
                  </pic:nvPicPr>
                  <pic:blipFill>
                    <a:blip r:embed="rId38"/>
                    <a:stretch>
                      <a:fillRect/>
                    </a:stretch>
                  </pic:blipFill>
                  <pic:spPr bwMode="auto">
                    <a:xfrm>
                      <a:off x="0" y="0"/>
                      <a:ext cx="6108700" cy="7306484"/>
                    </a:xfrm>
                    <a:prstGeom prst="rect">
                      <a:avLst/>
                    </a:prstGeom>
                    <a:noFill/>
                    <a:ln w="9525">
                      <a:noFill/>
                      <a:headEnd/>
                      <a:tailEnd/>
                    </a:ln>
                  </pic:spPr>
                </pic:pic>
              </a:graphicData>
            </a:graphic>
          </wp:inline>
        </w:drawing>
      </w:r>
    </w:p>
    <w:p>
      <w:pPr>
        <w:pStyle w:val="BodyText"/>
      </w:pPr>
      <w:r>
        <w:t xml:space="preserve">Figure 5: The deep edge decision path. The alarm is a plain argmax over the two-class head followed by the three-consecutive-sample smoothing filter; there is no confidence gate. Only the shaded path from the camera feed to the alarm was evaluated in Section 4.5. The Grad-CAM branch, drawn dashed, is an operator-facing interpretability output that does not participate in the alarm decision and is scored by no metric in this paper.</w:t>
      </w:r>
    </w:p>
    <w:p>
      <w:pPr>
        <w:pStyle w:val="BodyText"/>
      </w:pPr>
      <w:r>
        <w:t xml:space="preserve">Algorithm 2: Clip-level alarm procedure of the deep edge detector. It is stated at the same level of detail as Algorithm 1 because the replacement is held to the standard applied to the method it replaces; every constant below is the literal value used by the released evaluator.</w:t>
      </w:r>
    </w:p>
    <w:tbl>
      <w:tblPr>
        <w:tblStyle w:val="Table"/>
        <w:tblW w:w="9638" w:type="dxa"/>
        <w:tblBorders>
          <w:top w:val="single" w:sz="12" w:space="0" w:color="000000"/>
          <w:bottom w:val="single" w:sz="12" w:space="0" w:color="000000"/>
          <w:insideH w:val="none" w:sz="0" w:space="0" w:color="auto"/>
        </w:tblBorders>
        <w:tblLayout w:type="fixed"/>
        <w:tblLook w:firstRow="0"/>
      </w:tblPr>
      <w:tblGrid>
        <w:gridCol w:w="1242"/>
        <w:gridCol w:w="8396"/>
      </w:tblGrid>
      <w:tr>
        <w:tc>
          <w:tcPr>
            <w:tcW w:w="1242" w:type="dxa"/>
          </w:tcPr>
          <w:p>
            <w:pPr>
              <w:pStyle w:val="Compact"/>
              <w:jc w:val="left"/>
            </w:pPr>
            <w:r>
              <w:rPr>
                <w:b/>
              </w:rPr>
              <w:t xml:space="preserve">Input</w:t>
            </w:r>
          </w:p>
        </w:tc>
        <w:tc>
          <w:tcPr>
            <w:tcW w:w="8396" w:type="dxa"/>
          </w:tcPr>
          <w:p>
            <w:pPr>
              <w:pStyle w:val="Compact"/>
              <w:jc w:val="left"/>
            </w:pPr>
            <w:r>
              <w:t xml:space="preserve">clip</w:t>
            </w:r>
            <w:r>
              <w:t xml:space="preserve"> </w:t>
            </w:r>
            <w:r>
              <w:rPr>
                <w:i/>
              </w:rPr>
              <w:t xml:space="preserve">V</w:t>
            </w:r>
            <w:r>
              <w:t xml:space="preserve">, fitted two-class network</w:t>
            </w:r>
            <w:r>
              <w:t xml:space="preserve"> </w:t>
            </w:r>
            <w:r>
              <w:rPr>
                <w:i/>
              </w:rPr>
              <w:t xml:space="preserve">f</w:t>
            </w:r>
            <w:r>
              <w:t xml:space="preserve">, container frame rate</w:t>
            </w:r>
            <w:r>
              <w:t xml:space="preserve"> </w:t>
            </w:r>
            <w:r>
              <w:rPr>
                <w:i/>
              </w:rPr>
              <w:t xml:space="preserve">r</w:t>
            </w:r>
          </w:p>
        </w:tc>
      </w:tr>
      <w:tr>
        <w:tc>
          <w:tcPr>
            <w:tcW w:w="1242" w:type="dxa"/>
          </w:tcPr>
          <w:p>
            <w:pPr>
              <w:pStyle w:val="Compact"/>
              <w:jc w:val="left"/>
            </w:pPr>
            <w:r>
              <w:rPr>
                <w:b/>
              </w:rPr>
              <w:t xml:space="preserve">Output</w:t>
            </w:r>
          </w:p>
        </w:tc>
        <w:tc>
          <w:tcPr>
            <w:tcW w:w="8396" w:type="dxa"/>
          </w:tcPr>
          <w:p>
            <w:pPr>
              <w:pStyle w:val="Compact"/>
              <w:jc w:val="left"/>
            </w:pPr>
            <w:r>
              <w:t xml:space="preserve">clip verdict alarm ∈ {true, false} and the number of inferences performed</w:t>
            </w:r>
          </w:p>
        </w:tc>
      </w:tr>
      <w:tr>
        <w:tc>
          <w:tcPr>
            <w:tcW w:w="1242" w:type="dxa"/>
          </w:tcPr>
          <w:p>
            <w:pPr>
              <w:pStyle w:val="Compact"/>
              <w:jc w:val="left"/>
            </w:pPr>
            <w:r>
              <w:t xml:space="preserve">1</w:t>
            </w:r>
          </w:p>
        </w:tc>
        <w:tc>
          <w:tcPr>
            <w:tcW w:w="8396" w:type="dxa"/>
          </w:tcPr>
          <w:p>
            <w:pPr>
              <w:pStyle w:val="Compact"/>
              <w:jc w:val="left"/>
            </w:pPr>
            <w:r>
              <w:rPr>
                <w:b/>
              </w:rPr>
              <w:t xml:space="preserve">if</w:t>
            </w:r>
            <w:r>
              <w:t xml:space="preserve"> </w:t>
            </w:r>
            <w:r>
              <w:t xml:space="preserve">the container reports no frame rate</w:t>
            </w:r>
            <w:r>
              <w:t xml:space="preserve"> </w:t>
            </w:r>
            <w:r>
              <w:rPr>
                <w:b/>
              </w:rPr>
              <w:t xml:space="preserve">then</w:t>
            </w:r>
            <w:r>
              <w:t xml:space="preserve"> </w:t>
            </w:r>
            <m:oMath>
              <m:r>
                <m:t>r</m:t>
              </m:r>
              <m:r>
                <m:t>←</m:t>
              </m:r>
              <m:r>
                <m:t>24</m:t>
              </m:r>
            </m:oMath>
            <w:r>
              <w:t xml:space="preserve"> </w:t>
            </w:r>
            <w:r>
              <w:t xml:space="preserve"> (fallback, Section 4.5)</w:t>
            </w:r>
          </w:p>
        </w:tc>
      </w:tr>
      <w:tr>
        <w:tc>
          <w:tcPr>
            <w:tcW w:w="1242" w:type="dxa"/>
          </w:tcPr>
          <w:p>
            <w:pPr>
              <w:pStyle w:val="Compact"/>
              <w:jc w:val="left"/>
            </w:pPr>
            <w:r>
              <w:t xml:space="preserve">2</w:t>
            </w:r>
          </w:p>
        </w:tc>
        <w:tc>
          <w:tcPr>
            <w:tcW w:w="8396" w:type="dxa"/>
          </w:tcPr>
          <w:p>
            <w:pPr>
              <w:pStyle w:val="Compact"/>
              <w:jc w:val="left"/>
            </w:pPr>
            <m:oMath>
              <m:r>
                <m:rPr>
                  <m:sty m:val="p"/>
                </m:rPr>
                <m:t>s</m:t>
              </m:r>
              <m:r>
                <m:rPr>
                  <m:sty m:val="p"/>
                </m:rPr>
                <m:t>t</m:t>
              </m:r>
              <m:r>
                <m:rPr>
                  <m:sty m:val="p"/>
                </m:rPr>
                <m:t>e</m:t>
              </m:r>
              <m:r>
                <m:rPr>
                  <m:sty m:val="p"/>
                </m:rPr>
                <m:t>p</m:t>
              </m:r>
              <m:r>
                <m:t>←</m:t>
              </m:r>
              <m:r>
                <m:rPr>
                  <m:nor/>
                </m:rPr>
                <m:t>max</m:t>
              </m:r>
              <m:r>
                <m:t>​</m:t>
              </m:r>
              <m:r>
                <m:t>(</m:t>
              </m:r>
              <m:r>
                <m:t>1</m:t>
              </m:r>
              <m:r>
                <m:t>,</m:t>
              </m:r>
              <m:r>
                <m:t>⌊</m:t>
              </m:r>
              <m:r>
                <m:t>r</m:t>
              </m:r>
              <m:r>
                <m:t>/</m:t>
              </m:r>
              <m:r>
                <m:t>2</m:t>
              </m:r>
              <m:r>
                <m:t>⌋</m:t>
              </m:r>
              <m:r>
                <m:t>)</m:t>
              </m:r>
            </m:oMath>
            <w:r>
              <w:t xml:space="preserve"> </w:t>
            </w:r>
            <w:r>
              <w:t xml:space="preserve"> (two samples per second; exact only when</w:t>
            </w:r>
            <w:r>
              <w:t xml:space="preserve"> </w:t>
            </w:r>
            <w:r>
              <w:rPr>
                <w:i/>
              </w:rPr>
              <w:t xml:space="preserve">r</w:t>
            </w:r>
            <w:r>
              <w:t xml:space="preserve"> </w:t>
            </w:r>
            <w:r>
              <w:t xml:space="preserve">is an even integer)</w:t>
            </w:r>
          </w:p>
        </w:tc>
      </w:tr>
      <w:tr>
        <w:tc>
          <w:tcPr>
            <w:tcW w:w="1242" w:type="dxa"/>
          </w:tcPr>
          <w:p>
            <w:pPr>
              <w:pStyle w:val="Compact"/>
              <w:jc w:val="left"/>
            </w:pPr>
            <w:r>
              <w:t xml:space="preserve">3</w:t>
            </w:r>
          </w:p>
        </w:tc>
        <w:tc>
          <w:tcPr>
            <w:tcW w:w="8396" w:type="dxa"/>
          </w:tcPr>
          <w:p>
            <w:pPr>
              <w:pStyle w:val="Compact"/>
              <w:jc w:val="left"/>
            </w:pPr>
            <m:oMath>
              <m:r>
                <m:t>k</m:t>
              </m:r>
              <m:r>
                <m:t>←</m:t>
              </m:r>
              <m:r>
                <m:t>0</m:t>
              </m:r>
            </m:oMath>
            <w:r>
              <w:t xml:space="preserve"> </w:t>
            </w:r>
            <w:r>
              <w:t xml:space="preserve"> (consecutive positive samples);   alarm</w:t>
            </w:r>
            <w:r>
              <w:t xml:space="preserve"> </w:t>
            </w:r>
            <m:oMath>
              <m:r>
                <m:t>←</m:t>
              </m:r>
            </m:oMath>
            <w:r>
              <w:t xml:space="preserve"> </w:t>
            </w:r>
            <w:r>
              <w:t xml:space="preserve">false</w:t>
            </w:r>
          </w:p>
        </w:tc>
      </w:tr>
      <w:tr>
        <w:tc>
          <w:tcPr>
            <w:tcW w:w="1242" w:type="dxa"/>
          </w:tcPr>
          <w:p>
            <w:pPr>
              <w:pStyle w:val="Compact"/>
              <w:jc w:val="left"/>
            </w:pPr>
            <w:r>
              <w:t xml:space="preserve">4</w:t>
            </w:r>
          </w:p>
        </w:tc>
        <w:tc>
          <w:tcPr>
            <w:tcW w:w="8396" w:type="dxa"/>
          </w:tcPr>
          <w:p>
            <w:pPr>
              <w:pStyle w:val="Compact"/>
              <w:jc w:val="left"/>
            </w:pPr>
            <w:r>
              <w:rPr>
                <w:b/>
              </w:rPr>
              <w:t xml:space="preserve">for</w:t>
            </w:r>
            <w:r>
              <w:t xml:space="preserve"> </w:t>
            </w:r>
            <w:r>
              <w:t xml:space="preserve">each frame</w:t>
            </w:r>
            <w:r>
              <w:t xml:space="preserve"> </w:t>
            </w:r>
            <w:r>
              <w:rPr>
                <w:i/>
              </w:rPr>
              <w:t xml:space="preserve">F</w:t>
            </w:r>
            <w:r>
              <w:rPr>
                <w:vertAlign w:val="subscript"/>
                <w:i/>
              </w:rPr>
              <w:t xml:space="preserve">i</w:t>
            </w:r>
            <w:r>
              <w:t xml:space="preserve"> </w:t>
            </w:r>
            <w:r>
              <w:t xml:space="preserve">of</w:t>
            </w:r>
            <w:r>
              <w:t xml:space="preserve"> </w:t>
            </w:r>
            <w:r>
              <w:rPr>
                <w:i/>
              </w:rPr>
              <w:t xml:space="preserve">V</w:t>
            </w:r>
            <w:r>
              <w:t xml:space="preserve"> </w:t>
            </w:r>
            <w:r>
              <w:t xml:space="preserve">with</w:t>
            </w:r>
            <w:r>
              <w:t xml:space="preserve"> </w:t>
            </w:r>
            <m:oMath>
              <m:r>
                <m:t>i</m:t>
              </m:r>
              <m:box>
                <m:boxPr>
                  <m:opEmu m:val="1"/>
                </m:boxPr>
                <m:e>
                  <m:r>
                    <m:t>mod</m:t>
                  </m:r>
                </m:e>
              </m:box>
              <m:r>
                <m:rPr>
                  <m:sty m:val="p"/>
                </m:rPr>
                <m:t>s</m:t>
              </m:r>
              <m:r>
                <m:rPr>
                  <m:sty m:val="p"/>
                </m:rPr>
                <m:t>t</m:t>
              </m:r>
              <m:r>
                <m:rPr>
                  <m:sty m:val="p"/>
                </m:rPr>
                <m:t>e</m:t>
              </m:r>
              <m:r>
                <m:rPr>
                  <m:sty m:val="p"/>
                </m:rPr>
                <m:t>p</m:t>
              </m:r>
              <m:r>
                <m:t>=</m:t>
              </m:r>
              <m:r>
                <m:t>0</m:t>
              </m:r>
            </m:oMath>
            <w:r>
              <w:t xml:space="preserve"> </w:t>
            </w:r>
            <w:r>
              <w:rPr>
                <w:b/>
              </w:rPr>
              <w:t xml:space="preserve">do</w:t>
            </w:r>
          </w:p>
        </w:tc>
      </w:tr>
      <w:tr>
        <w:tc>
          <w:tcPr>
            <w:tcW w:w="1242" w:type="dxa"/>
          </w:tcPr>
          <w:p>
            <w:pPr>
              <w:pStyle w:val="Compact"/>
              <w:jc w:val="left"/>
            </w:pPr>
            <w:r>
              <w:t xml:space="preserve">5</w:t>
            </w:r>
          </w:p>
        </w:tc>
        <w:tc>
          <w:tcPr>
            <w:tcW w:w="8396" w:type="dxa"/>
          </w:tcPr>
          <w:p>
            <w:pPr>
              <w:pStyle w:val="Compact"/>
              <w:jc w:val="left"/>
            </w:pPr>
            <w:r>
              <w:t xml:space="preserve">  </w:t>
            </w:r>
            <m:oMath>
              <m:r>
                <m:t>x</m:t>
              </m:r>
              <m:r>
                <m:t>←</m:t>
              </m:r>
            </m:oMath>
            <w:r>
              <w:t xml:space="preserve"> </w:t>
            </w:r>
            <w:r>
              <w:t xml:space="preserve">resize</w:t>
            </w:r>
            <w:r>
              <w:t xml:space="preserve"> </w:t>
            </w:r>
            <w:r>
              <w:rPr>
                <w:i/>
              </w:rPr>
              <w:t xml:space="preserve">F</w:t>
            </w:r>
            <w:r>
              <w:rPr>
                <w:vertAlign w:val="subscript"/>
                <w:i/>
              </w:rPr>
              <w:t xml:space="preserve">i</w:t>
            </w:r>
            <w:r>
              <w:t xml:space="preserve"> </w:t>
            </w:r>
            <w:r>
              <w:t xml:space="preserve">to</w:t>
            </w:r>
            <w:r>
              <w:t xml:space="preserve"> </w:t>
            </w:r>
            <m:oMath>
              <m:r>
                <m:t>224</m:t>
              </m:r>
              <m:r>
                <m:t>×</m:t>
              </m:r>
              <m:r>
                <m:t>224</m:t>
              </m:r>
            </m:oMath>
            <w:r>
              <w:t xml:space="preserve"> </w:t>
            </w:r>
            <w:r>
              <w:t xml:space="preserve">(bilinear), scale to [0,1], normalize by the ImageNet channel statistics</w:t>
            </w:r>
          </w:p>
        </w:tc>
      </w:tr>
      <w:tr>
        <w:tc>
          <w:tcPr>
            <w:tcW w:w="1242" w:type="dxa"/>
          </w:tcPr>
          <w:p>
            <w:pPr>
              <w:pStyle w:val="Compact"/>
              <w:jc w:val="left"/>
            </w:pPr>
            <w:r>
              <w:t xml:space="preserve">6</w:t>
            </w:r>
          </w:p>
        </w:tc>
        <w:tc>
          <w:tcPr>
            <w:tcW w:w="8396" w:type="dxa"/>
          </w:tcPr>
          <w:p>
            <w:pPr>
              <w:pStyle w:val="Compact"/>
              <w:jc w:val="left"/>
            </w:pPr>
            <w:r>
              <w:t xml:space="preserve">  </w:t>
            </w:r>
            <w:r>
              <w:rPr>
                <w:b/>
              </w:rPr>
              <w:t xml:space="preserve">if</w:t>
            </w:r>
            <w:r>
              <w:t xml:space="preserve"> </w:t>
            </w:r>
            <m:oMath>
              <m:r>
                <m:rPr>
                  <m:nor/>
                </m:rPr>
                <m:t>arg</m:t>
              </m:r>
              <m:r>
                <m:rPr>
                  <m:nor/>
                </m:rPr>
                <m:t>max</m:t>
              </m:r>
              <m:r>
                <m:t>f</m:t>
              </m:r>
              <m:r>
                <m:t>(</m:t>
              </m:r>
              <m:r>
                <m:t>x</m:t>
              </m:r>
              <m:r>
                <m:t>)</m:t>
              </m:r>
              <m:r>
                <m:t>=</m:t>
              </m:r>
            </m:oMath>
            <w:r>
              <w:t xml:space="preserve"> </w:t>
            </w:r>
            <w:r>
              <w:t xml:space="preserve">fire</w:t>
            </w:r>
            <w:r>
              <w:t xml:space="preserve"> </w:t>
            </w:r>
            <w:r>
              <w:rPr>
                <w:b/>
              </w:rPr>
              <w:t xml:space="preserve">then</w:t>
            </w:r>
            <w:r>
              <w:t xml:space="preserve"> </w:t>
            </w:r>
            <m:oMath>
              <m:r>
                <m:t>k</m:t>
              </m:r>
              <m:r>
                <m:t>←</m:t>
              </m:r>
              <m:r>
                <m:t>k</m:t>
              </m:r>
              <m:r>
                <m:t>+</m:t>
              </m:r>
              <m:r>
                <m:t>1</m:t>
              </m:r>
            </m:oMath>
            <w:r>
              <w:t xml:space="preserve"> </w:t>
            </w:r>
            <w:r>
              <w:rPr>
                <w:b/>
              </w:rPr>
              <w:t xml:space="preserve">else</w:t>
            </w:r>
            <w:r>
              <w:t xml:space="preserve"> </w:t>
            </w:r>
            <m:oMath>
              <m:r>
                <m:t>k</m:t>
              </m:r>
              <m:r>
                <m:t>←</m:t>
              </m:r>
              <m:r>
                <m:t>0</m:t>
              </m:r>
            </m:oMath>
            <w:r>
              <w:t xml:space="preserve"> </w:t>
            </w:r>
            <w:r>
              <w:t xml:space="preserve"> (plain argmax; no confidence gate)</w:t>
            </w:r>
          </w:p>
        </w:tc>
      </w:tr>
      <w:tr>
        <w:tc>
          <w:tcPr>
            <w:tcW w:w="1242" w:type="dxa"/>
          </w:tcPr>
          <w:p>
            <w:pPr>
              <w:pStyle w:val="Compact"/>
              <w:jc w:val="left"/>
            </w:pPr>
            <w:r>
              <w:t xml:space="preserve">7</w:t>
            </w:r>
          </w:p>
        </w:tc>
        <w:tc>
          <w:tcPr>
            <w:tcW w:w="8396" w:type="dxa"/>
          </w:tcPr>
          <w:p>
            <w:pPr>
              <w:pStyle w:val="Compact"/>
              <w:jc w:val="left"/>
            </w:pPr>
            <w:r>
              <w:t xml:space="preserve">  </w:t>
            </w:r>
            <w:r>
              <w:rPr>
                <w:b/>
              </w:rPr>
              <w:t xml:space="preserve">if</w:t>
            </w:r>
            <w:r>
              <w:t xml:space="preserve"> </w:t>
            </w:r>
            <m:oMath>
              <m:r>
                <m:t>k</m:t>
              </m:r>
              <m:r>
                <m:t>≥</m:t>
              </m:r>
              <m:r>
                <m:t>3</m:t>
              </m:r>
            </m:oMath>
            <w:r>
              <w:t xml:space="preserve"> </w:t>
            </w:r>
            <w:r>
              <w:rPr>
                <w:b/>
              </w:rPr>
              <w:t xml:space="preserve">then</w:t>
            </w:r>
            <w:r>
              <w:t xml:space="preserve"> </w:t>
            </w:r>
            <w:r>
              <w:t xml:space="preserve">alarm</w:t>
            </w:r>
            <w:r>
              <w:t xml:space="preserve"> </w:t>
            </w:r>
            <m:oMath>
              <m:r>
                <m:t>←</m:t>
              </m:r>
            </m:oMath>
            <w:r>
              <w:t xml:space="preserve"> </w:t>
            </w:r>
            <w:r>
              <w:t xml:space="preserve">true;</w:t>
            </w:r>
            <w:r>
              <w:t xml:space="preserve"> </w:t>
            </w:r>
            <w:r>
              <w:rPr>
                <w:b/>
              </w:rPr>
              <w:t xml:space="preserve">break</w:t>
            </w:r>
            <w:r>
              <w:t xml:space="preserve"> </w:t>
            </w:r>
            <w:r>
              <w:t xml:space="preserve"> (the verdict cannot change afterwards)</w:t>
            </w:r>
          </w:p>
        </w:tc>
      </w:tr>
      <w:tr>
        <w:tc>
          <w:tcPr>
            <w:tcW w:w="1242" w:type="dxa"/>
          </w:tcPr>
          <w:p>
            <w:pPr>
              <w:pStyle w:val="Compact"/>
              <w:jc w:val="left"/>
            </w:pPr>
            <w:r>
              <w:t xml:space="preserve">8</w:t>
            </w:r>
          </w:p>
        </w:tc>
        <w:tc>
          <w:tcPr>
            <w:tcW w:w="8396" w:type="dxa"/>
          </w:tcPr>
          <w:p>
            <w:pPr>
              <w:pStyle w:val="Compact"/>
              <w:jc w:val="left"/>
            </w:pPr>
            <w:r>
              <w:rPr>
                <w:b/>
              </w:rPr>
              <w:t xml:space="preserve">return</w:t>
            </w:r>
            <w:r>
              <w:t xml:space="preserve"> </w:t>
            </w:r>
            <w:r>
              <w:t xml:space="preserve">alarm</w:t>
            </w:r>
          </w:p>
        </w:tc>
      </w:tr>
    </w:tbl>
    <w:p>
      <w:pPr>
        <w:pStyle w:val="BodyText"/>
      </w:pPr>
      <w:r>
        <w:t xml:space="preserve">The early exit at line 7 is why the number of inferences recorded per clip varies and is not a fixed function of clip length. Because line 6 admits no threshold, the procedure exposes a single operating point rather than a family of them; Section 4.5 recovers the family it implies and sweeps it in Fig. 7.</w:t>
      </w:r>
    </w:p>
    <w:p>
      <w:pPr>
        <w:pStyle w:val="BodyText"/>
      </w:pPr>
      <w:r>
        <w:t xml:space="preserve">The detector is replaced by an ImageNet-pretrained MobileNetV3-Small [34] whose final classifier layer is replaced by a two-class head, after which the whole network is fine-tuned with no layer frozen; the heuristic stages are discarded as decision mechanisms. Fig. 5 gives the decision path and Algorithm 2 states the clip-level procedure with the same constants the evaluator uses, so that the replacement is specified as completely as the method it replaces. In place of bounding boxes from connected-component analysis over the chromatic mask, the detector exposes Grad-CAM [35] over the final convolutional block, so the region shown to the operator is the region the classifier used. This is an interpretability output, not a localization result: these clips carry no box or mask annotations, so heatmap quality is scored nowhere in this paper and no localization claim should be read into it. One qualitative observation is nonetheless worth recording against our own narrative, because it bears on what the network learned: on the clip shown in Fig. 2 the activation falls on the smoke plume rather than on the flame front. Smoke is a legitimate and often earlier wildfire cue, and a detector that keys on it is not thereby wrong; but it is a different detector from the one the chromatic stage of Section 3 was designed to be, and it would not transfer to a flaming source that produces little smoke. Establishing which cue the network actually relies on needs an ablation over smoke-free and smoke-dominated clips that this corpus cannot support, and we list it in Section 5 rather than claiming either reading. The project codebase supplements this with a visualization HUD to display the Grad-CAM heatmap alongside CLAHE-based night-vision enhancement, and provides a NumPy-only runtime to execute the trained model without PyTorch dependencies.</w:t>
      </w:r>
    </w:p>
    <w:p>
      <w:pPr>
        <w:pStyle w:val="BodyText"/>
      </w:pPr>
      <w:r>
        <w:t xml:space="preserve">The training protocol is stated in full, and in particular the exact role of every clip, because the evaluation below depends on it. The 483-clip manifest is partitioned at the clip level into three disjoint parts. Frames from 289 clips drive the weight updates; frames from 98 clips are used only as the per-epoch validation monitor and never enter a gradient; and 96 clips are read by no stage of training at all, entering the study only at evaluation time. Approximately ten frames are sampled uniformly from each clip in the first two parts, yielding 2906 training images and 980 monitor images; the count is not exactly ten per clip because two early clips contributed eighteen frames each under a previous extraction and were not regenerated. No clip contributes frames to more than one part. Frames enter the network at 224 × 224, resized by bilinear interpolation and normalized with the standard ImageNet channel statistics, means of 0.485, 0.456 and 0.406 and standard deviations of 0.229, 0.224 and 0.225, since the backbone is initialized from ImageNet weights and these are the statistics under which they were learned. The two-class head is read by an argmax over its logits, and the class index that denotes fire is zero, which follows from the alphabetical ordering the image-folder loader imposes on the directory names</w:t>
      </w:r>
      <w:r>
        <w:t xml:space="preserve"> </w:t>
      </w:r>
      <w:r>
        <w:rPr>
          <w:rStyle w:val="VerbatimChar"/>
        </w:rPr>
        <w:t xml:space="preserve">fire</w:t>
      </w:r>
      <w:r>
        <w:t xml:space="preserve"> </w:t>
      </w:r>
      <w:r>
        <w:t xml:space="preserve">and</w:t>
      </w:r>
      <w:r>
        <w:t xml:space="preserve"> </w:t>
      </w:r>
      <w:r>
        <w:rPr>
          <w:rStyle w:val="VerbatimChar"/>
        </w:rPr>
        <w:t xml:space="preserve">no_fire</w:t>
      </w:r>
      <w:r>
        <w:t xml:space="preserve">; we state this because a reader who reproduces the pipeline with differently named directories will silently invert the decision. The network is optimized with Adam at a learning rate of 1×10</w:t>
      </w:r>
      <w:r>
        <w:rPr>
          <w:vertAlign w:val="superscript"/>
        </w:rPr>
        <w:t xml:space="preserve">−4</w:t>
      </w:r>
      <w:r>
        <w:t xml:space="preserve">, batch size 32, cross-entropy loss, for three epochs on CPU, with random horizontal flips and brightness and contrast jitter of 0.2 as the only augmentation. Weights are written after every epoch and the last epoch is kept, so no checkpoint is selected on the monitor; the number of epochs, however, is a hyperparameter that a reader may reasonably regard as informed by it, which is why the monitor clips and the untouched clips are reported separately below. The released trainer fixes seed 0 across the loader shuffle, the augmentation and the initialization of the two-class head, and the seed argument is reported here because reproducibility of the fit depends on it; an earlier build set no seed at all. Variance across seeds is measured by refitting the same protocol under seeds 0 to 4 with</w:t>
      </w:r>
      <w:r>
        <w:t xml:space="preserve"> </w:t>
      </w:r>
      <w:r>
        <w:rPr>
          <w:rStyle w:val="VerbatimChar"/>
        </w:rPr>
        <w:t xml:space="preserve">tools/multiseed_v3.py</w:t>
      </w:r>
      <w:r>
        <w:t xml:space="preserve">, which holds every other setting fixed. A refit with seed 0 is not bit-identical to the released weights, so the record does not show that those weights can be regenerated exactly; the sweep is therefore reported as a distribution, and every per-clip analysis below, namely the split by clip role, the contaminated control, the decoder comparison, the source and event controls, the Wilson intervals and Fig. 6, is computed from the released weights.</w:t>
      </w:r>
    </w:p>
    <w:p>
      <w:pPr>
        <w:pStyle w:val="BodyText"/>
      </w:pPr>
      <w:r>
        <w:t xml:space="preserve">Two details of the frame path are separated from the protocol above because they are easy to leave implicit and hard to recover afterwards. The extraction step samples ten frames per clip at a stride of the clip's frame count divided by ten, resizes each to 224 × 224 and writes it to disk as a JPEG, so the network is fitted on frames that have been resized once and recompressed once. Evaluation does not use that path: the clip evaluators decode each sampled frame at the clip's native resolution and resize it to 224 × 224 in memory. Training and evaluation therefore differ by one JPEG generation and by the resampling kernel, a mild train-test mismatch that works against the reported figure rather than for it, and it is stated here because it is invisible in the hyperparameter list. The Grad-CAM branch weights the final convolutional activations by the spatial mean of the gradient of the fire logit with respect to them, rectifies the weighted sum and divides by its maximum, returning a zero map when that maximum underflows. The Wilson intervals quoted in this section and in Section 5 use</w:t>
      </w:r>
      <w:r>
        <w:t xml:space="preserve"> </w:t>
      </w:r>
      <w:r>
        <w:rPr>
          <w:i/>
        </w:rPr>
        <w:t xml:space="preserve">z</w:t>
      </w:r>
      <w:r>
        <w:t xml:space="preserve"> </w:t>
      </w:r>
      <w:r>
        <w:t xml:space="preserve">= 1.96.</w:t>
      </w:r>
    </w:p>
    <w:p>
      <w:pPr>
        <w:pStyle w:val="BodyText"/>
      </w:pPr>
      <w:r>
        <w:t xml:space="preserve">The backbone was selected on published cost figures, not by in-house comparison: no competing backbone was trained or timed here. MobileNetV3-Small requires roughly 0.06 GFLOPs per 224 × 224 inference at 2.5 M parameters [34], against approximately 0.39 GFLOPs at 5.3 M for EfficientNet-B0 and 1.8 GFLOPs at 11.7 M for ResNet-18, and a detection head such as YOLOv8-Nano carries a localization branch this task does not need, the output being a clip-level alarm. That a heavier edge detector is affordable but slow is documented directly: about 8 frames per second for a distilled YOLOv8 in flight [26], and about 1.7 s per image for an edge YOLOv8 plus recognition stage on an unaccelerated Raspberry Pi [29]. Whether this ordering holds on the target airframe is not settled here; Section 5 lists the same-hardware comparison as required future work.</w:t>
      </w:r>
    </w:p>
    <w:p>
      <w:pPr>
        <w:pStyle w:val="BodyText"/>
      </w:pPr>
      <w:r>
        <w:t xml:space="preserve">The clip corpus contains 483 aerial clips, 170 labelled fire and 313 labelled no-fire, assembled from two public sources: the ERA aerial event corpus [36] and the Boreal Forest Fire drone survey of Finnish prescribed burns [37]. The negatives are not neutral background: they are aerial event clips comprising boating (56), traffic congestion (44), basketball (41), soccer (30), baseball (28), swimming (18), running (17), traffic collision (15), car racing (15), cycling (14), non-event scenes (10), harvesting (5), construction (5), post-earthquake (4), police chase (3), flood (3), party (2), and one each of religious activity, ploughing and parade-protest. This composition matters for the interpretation of the false-positive rate below. The traffic, racing and collision categories do supply the red-vehicle distractor named in Section 1, and the collision and post-earthquake categories supply some smoke; but the corpus contains no dedicated hard-negative category for autumnal foliage, low-sun glare or red-roofed settlement, so the false-positive rate reported here is measured against the distractors that are present and is not evidence about the ones that are not.</w:t>
      </w:r>
    </w:p>
    <w:p>
      <w:pPr>
        <w:pStyle w:val="BodyText"/>
      </w:pPr>
      <w:r>
        <w:t xml:space="preserve">Because frames are drawn from clips, the partition must be respected at the clip level or the detector is scored on clips whose own frames produced its weights. We therefore report as the result the 194 clips that contributed no training gradient (68 fire, 126 no-fire), and report the contaminated whole-corpus figure alongside it so that the size of the contamination is visible. Across five independent initializations (varying seed, loader shuffle, augmentation, and head initialization), the deep edge detector reaches an average true positive rate of</w:t>
      </w:r>
      <w:r>
        <w:t xml:space="preserve"> </w:t>
      </w:r>
      <w:r>
        <w:rPr>
          <w:b/>
        </w:rPr>
        <w:t xml:space="preserve">93.83%</w:t>
      </w:r>
      <w:r>
        <w:t xml:space="preserve"> </w:t>
      </w:r>
      <w:r>
        <w:t xml:space="preserve">± 0.59, a false positive rate of</w:t>
      </w:r>
      <w:r>
        <w:t xml:space="preserve"> </w:t>
      </w:r>
      <w:r>
        <w:rPr>
          <w:b/>
        </w:rPr>
        <w:t xml:space="preserve">0.32%</w:t>
      </w:r>
      <w:r>
        <w:t xml:space="preserve"> </w:t>
      </w:r>
      <w:r>
        <w:t xml:space="preserve">± 0.64, and an F1-score of 96.52% ± 0.59 on those 194 clips, where ± denotes the population standard deviation over the five seeds. The intervals are wide at this sample size: the released weights detect 63 of the 68 fires (92.65%) and alarm on 1 of the 126 no-fire clips (0.79%), and the 95% Wilson interval on that recall is [83.91%, 96.82%]. The null baselines are cleared on this cohort as well: a constant-positive rule reaches an F1-score of 51.91% against the detector's five-seed mean of 96.52% (95.45% for the released weights), and a constant-negative rule an accuracy of 64.95%.</w:t>
      </w:r>
    </w:p>
    <w:p>
      <w:pPr>
        <w:pStyle w:val="BodyText"/>
      </w:pPr>
      <w:r>
        <w:t xml:space="preserve">Splitting the released weights' result by how each clip was used gives the sharper statement. On the 96 clips that no stage of training ever read, recall is 94.12% at a 1.61% false-positive rate; on the 98 clips that were held out of the gradient but watched during training, recall is 91.18% at 0.00%. The two agree within their intervals. On the 289 clips whose own frames produced the weights, the detector is perfect: 102 of 102 fires, 100.00% recall at 0.00%. Scoring the full 483-clip manifest without regard to the partition yields an inflated 97.06% recall.</w:t>
      </w:r>
    </w:p>
    <w:p>
      <w:pPr>
        <w:pStyle w:val="BodyText"/>
      </w:pPr>
      <w:r>
        <w:t xml:space="preserve">For the released weights, the distance between the memorized clips and the unseen ones, 7.35 points of recall, is the optimism that a clip-level partition removes; a naive whole-corpus evaluation retains most of it and reports a difference of 4.41 points. We report this explicitly to distinguish between memorization capacity and actual generalization, as frame-level contamination can inflate reported metrics. Contamination flatters the false-positive rate as well: it is lower on the contaminated corpus (0.32%) than on the held-out clips (0.79%), because the memorized negatives are all classified correctly and dilute the rate.</w:t>
      </w:r>
    </w:p>
    <w:p>
      <w:pPr>
        <w:pStyle w:val="BodyText"/>
      </w:pPr>
      <w:r>
        <w:t xml:space="preserve">A second source of variation appeared when the evaluator was re-run on a different machine, and it is recorded here for completeness. Under OpenCV 5.0 on Windows the evaluator reproduces all but 2 of the 483 verdicts recorded under OpenCV 4.13 on Linux, those of VID048, a fire clip, and VID211, a no-fire clip, both in the untouched part of the held-out set. Both differences happen to favor the detector, moving the recall of the released weights on the held-out cohort from 92.65% to 94.12% and the false-positive rate from 0.79% to 0.00%. For the released weights we report the lower pair, corresponding to the released artifacts, to keep that evaluation conservative; the five-seed sweep and the operating curve were run under OpenCV 5.0.0, the build that yields the higher pair for these weights. The effect is small at 0.41% of the corpus, but it is not negligible at this cohort size, where a single clip is worth 1.47 points of recall. A third pass, by the PyTorch reference evaluator</w:t>
      </w:r>
      <w:r>
        <w:t xml:space="preserve"> </w:t>
      </w:r>
      <w:r>
        <w:rPr>
          <w:rStyle w:val="VerbatimChar"/>
        </w:rPr>
        <w:t xml:space="preserve">evaluate_v3_videos.py</w:t>
      </w:r>
      <w:r>
        <w:t xml:space="preserve">, differs from the released verdicts on five clips, two fire and three no-fire, and gives 95.59% recall at a 3.17% false-positive rate on the held-out cohort; its verdicts are released as</w:t>
      </w:r>
      <w:r>
        <w:t xml:space="preserve"> </w:t>
      </w:r>
      <w:r>
        <w:rPr>
          <w:rStyle w:val="VerbatimChar"/>
        </w:rPr>
        <w:t xml:space="preserve">_clip_verdicts_torch.json</w:t>
      </w:r>
      <w:r>
        <w:t xml:space="preserve">, and the reported verdicts remain those of the NumPy path. The source of this difference has not been isolated: the check of the NumPy network against torchvision by</w:t>
      </w:r>
      <w:r>
        <w:t xml:space="preserve"> </w:t>
      </w:r>
      <w:r>
        <w:rPr>
          <w:rStyle w:val="VerbatimChar"/>
        </w:rPr>
        <w:t xml:space="preserve">tools/verify_numpy_model.py</w:t>
      </w:r>
      <w:r>
        <w:t xml:space="preserve"> </w:t>
      </w:r>
      <w:r>
        <w:t xml:space="preserve">covers the 224 × 224 training frames but not the native-resolution resize used at evaluation.</w:t>
      </w:r>
    </w:p>
    <w:p>
      <w:pPr>
        <w:pStyle w:val="BodyText"/>
      </w:pPr>
      <w:r>
        <w:t xml:space="preserve">The alarm rule of Algorithm 2 exposes no threshold, so it yields one operating point, and a reader who asks for a curve is asking for something the rule does not define. It does define one implicitly. Writing</w:t>
      </w:r>
      <w:r>
        <w:t xml:space="preserve"> </w:t>
      </w:r>
      <w:r>
        <w:rPr>
          <w:i/>
        </w:rPr>
        <w:t xml:space="preserve">p</w:t>
      </w:r>
      <w:r>
        <w:rPr>
          <w:vertAlign w:val="subscript"/>
          <w:i/>
        </w:rPr>
        <w:t xml:space="preserve">i</w:t>
      </w:r>
      <w:r>
        <w:t xml:space="preserve"> </w:t>
      </w:r>
      <w:r>
        <w:t xml:space="preserve">for the fire probability of the</w:t>
      </w:r>
      <w:r>
        <w:t xml:space="preserve"> </w:t>
      </w:r>
      <w:r>
        <w:rPr>
          <w:i/>
        </w:rPr>
        <w:t xml:space="preserve">i</w:t>
      </w:r>
      <w:r>
        <w:t xml:space="preserve">-th sample of a clip, the clip alarms at decision threshold</w:t>
      </w:r>
      <w:r>
        <w:t xml:space="preserve"> </w:t>
      </w:r>
      <w:r>
        <w:rPr>
          <w:i/>
        </w:rPr>
        <w:t xml:space="preserve">t</w:t>
      </w:r>
      <w:r>
        <w:t xml:space="preserve"> </w:t>
      </w:r>
      <w:r>
        <w:t xml:space="preserve">exactly when some window of three successive samples has every</w:t>
      </w:r>
      <w:r>
        <w:t xml:space="preserve"> </w:t>
      </w:r>
      <w:r>
        <w:rPr>
          <w:i/>
        </w:rPr>
        <w:t xml:space="preserve">p</w:t>
      </w:r>
      <w:r>
        <w:rPr>
          <w:vertAlign w:val="subscript"/>
          <w:i/>
        </w:rPr>
        <w:t xml:space="preserve">i</w:t>
      </w:r>
      <w:r>
        <w:t xml:space="preserve"> </w:t>
      </w:r>
      <w:r>
        <w:t xml:space="preserve">above</w:t>
      </w:r>
      <w:r>
        <w:t xml:space="preserve"> </w:t>
      </w:r>
      <w:r>
        <w:rPr>
          <w:i/>
        </w:rPr>
        <w:t xml:space="preserve">t</w:t>
      </w:r>
      <w:r>
        <w:t xml:space="preserve">, so the largest threshold at which the clip still alarms is the maximum over windows</w:t>
      </w:r>
      <w:r>
        <w:t xml:space="preserve"> </w:t>
      </w:r>
      <w:r>
        <w:rPr>
          <w:i/>
        </w:rPr>
        <w:t xml:space="preserve">w</w:t>
      </w:r>
      <w:r>
        <w:t xml:space="preserve"> </w:t>
      </w:r>
      <w:r>
        <w:t xml:space="preserve">of the minimum of</w:t>
      </w:r>
      <w:r>
        <w:t xml:space="preserve"> </w:t>
      </w:r>
      <w:r>
        <w:rPr>
          <w:i/>
        </w:rPr>
        <w:t xml:space="preserve">p</w:t>
      </w:r>
      <w:r>
        <w:rPr>
          <w:vertAlign w:val="subscript"/>
          <w:i/>
        </w:rPr>
        <w:t xml:space="preserve">i</w:t>
      </w:r>
      <w:r>
        <w:t xml:space="preserve"> </w:t>
      </w:r>
      <w:r>
        <w:t xml:space="preserve">within</w:t>
      </w:r>
      <w:r>
        <w:t xml:space="preserve"> </w:t>
      </w:r>
      <w:r>
        <w:rPr>
          <w:i/>
        </w:rPr>
        <w:t xml:space="preserve">w</w:t>
      </w:r>
      <w:r>
        <w:t xml:space="preserve">. Sweeping</w:t>
      </w:r>
      <w:r>
        <w:t xml:space="preserve"> </w:t>
      </w:r>
      <w:r>
        <w:rPr>
          <w:i/>
        </w:rPr>
        <w:t xml:space="preserve">t</w:t>
      </w:r>
      <w:r>
        <w:t xml:space="preserve"> </w:t>
      </w:r>
      <w:r>
        <w:t xml:space="preserve">over that score traverses the deployed rule at every operating point rather than approximating it, and at</w:t>
      </w:r>
      <w:r>
        <w:t xml:space="preserve"> </w:t>
      </w:r>
      <w:r>
        <w:rPr>
          <w:i/>
        </w:rPr>
        <w:t xml:space="preserve">t</w:t>
      </w:r>
      <w:r>
        <w:t xml:space="preserve"> </w:t>
      </w:r>
      <w:r>
        <w:t xml:space="preserve">= 0.50 it must reproduce the recorded verdict of every clip, since an argmax over two logits is exactly the test</w:t>
      </w:r>
      <w:r>
        <w:t xml:space="preserve"> </w:t>
      </w:r>
      <w:r>
        <w:rPr>
          <w:i/>
        </w:rPr>
        <w:t xml:space="preserve">p</w:t>
      </w:r>
      <w:r>
        <w:t xml:space="preserve"> </w:t>
      </w:r>
      <w:r>
        <w:t xml:space="preserve">&gt; 0.50. The program that computes the curve asserts that agreement across the whole corpus and refuses to emit a curve if any clip disagrees.</w:t>
      </w:r>
    </w:p>
    <w:p>
      <w:pPr>
        <w:pStyle w:val="BodyText"/>
      </w:pPr>
      <w:r>
        <w:t xml:space="preserve">Fig. 7 gives the result on the 194 clips that contributed no training gradient. The area under the receiver operating characteristic is 0.995 and the average precision is 0.9923 against a class prior of 35.05%. The curve therefore says something the single operating point cannot: the ordering the network induces over clips is nearly separable, and the deployed rule is not sitting at a lucky point on a poor ranking. It was computed under the OpenCV 5.0 build discussed two paragraphs above, so the point it passes through is that build's 94.12% recall at a 0.00% false-positive rate rather than the pair reported above; the two differ by exactly the two clips named there, VID048 and VID211, and by nothing else.</w:t>
      </w:r>
    </w:p>
    <w:p>
      <w:pPr>
        <w:pStyle w:val="BodyText"/>
      </w:pPr>
      <w:r>
        <w:t xml:space="preserve">Two properties of the corpus give a classifier a route to the right answer that has nothing to do with fire, and neither is neutralised by the clip-level partition. Both are measured here rather than left for a reader to suspect. The first is the source. Every negative clip is an ERA event, whereas the positives are split 86 to 84 between the Boreal wildfire corpus and ERA, the ERA positives being 83 clips of its fire event class and one clip of its conflict class that is labeled fire, so a network that learned to recognize the Boreal source rather than fire would score perfectly on the Boreal positives and still post a high recall. It very nearly does: on the held-out clips the Boreal positives are detected at 100.0% against 85.29% for the ERA positives. Restricting the held-out set to ERA alone holds the source constant, and there the detector reaches a recall of 85.29% at a false-positive rate of 0.79% on 160 clips, for an F1-score of 90.62%. The result therefore survives the removal of the source cue, but 7.36 points of the released weights' held-out recall of 92.65% are attributable to a cohort the model never sees as a negative, and the honest figure for a deployment facing one sensor is the ERA-only one.</w:t>
      </w:r>
    </w:p>
    <w:p>
      <w:pPr>
        <w:pStyle w:val="BodyText"/>
      </w:pPr>
      <w:r>
        <w:t xml:space="preserve">The second is the event. The 483 clips are cut from 395 source events, and 56 of those events contributed clips to more than one partition, so two clips of the same fire, filmed in the same flight by the same camera, can land one in training and one in the held-out set. This is the same class of optimism as the frame-level contamination this section is built to expose, one level up, and the paper would be inconsistent to measure the one and not the other. Restricting the held-out set to the 141 clips whose event contributed nothing to training gives a recall of 91.67% at a false-positive rate of 1.08%, against 92.65% for the same weights on the full held-out set, a difference of 0.98 points. An event is identified by the clip filename with its trailing clip index removed, which can only undercount shared events: the Boreal clips carry one name per clip, so clips from one Boreal flight count as separate events, and this control may understate the event effect. The event effect is therefore small, well inside the interval quoted above, which is the evidence that the clip-level partition was close to sufficient on this corpus; the source effect is the larger of the two and is the one a successor corpus must design out.</w:t>
      </w:r>
    </w:p>
    <w:p>
      <w:pPr>
        <w:pStyle w:val="BodyText"/>
      </w:pPr>
      <w:r>
        <w:t xml:space="preserve">The conclusion these numbers support is narrower than the one the progression invites. A retrained lightweight CNN clears the null baselines that Section 4.1 showed the hand-set rule could not, on this corpus and against these distractors; it does not establish that deep networks are necessary in general, and an evaluation bounded by a modest test set does not establish a broadly deployable operating point.</w:t>
      </w:r>
    </w:p>
    <w:p>
      <w:pPr>
        <w:pStyle w:val="BodyText"/>
      </w:pPr>
      <w:r>
        <w:t xml:space="preserve">Table 5: The deep edge replacement in context. The evaluation set is named in each row, because the rows do not share one. V1 and V2 were never run on the 483-clip corpus; their figures are the results of Sections 4.1 and 4.4 reproduced here for orientation. The deep edge weights were applied to the still-image cohort as well, which is the fourth row and is a transfer measurement rather than a second in-domain result; the fifth and sixth rows are the clip-level results, the fifth covering the 194 clips that contributed no training gradient, as the mean over five seeds under OpenCV 5.0.0, and the sixth all 483 clips with the partition ignored, also as the five-seed mean; for the released weights under OpenCV 4.13.0 the corresponding recalls are 92.65% and 97.06%, the 4.41-point gap discussed in Section 4.5. Latency is the median per-frame cost of the Table 4 timing run for V1 and for the strongest learned baseline, and the mean of the 300 timed calls of</w:t>
      </w:r>
      <w:r>
        <w:t xml:space="preserve"> </w:t>
      </w:r>
      <w:r>
        <w:rPr>
          <w:rStyle w:val="VerbatimChar"/>
        </w:rPr>
        <w:t xml:space="preserve">tools/benchmark_latency.py</w:t>
      </w:r>
      <w:r>
        <w:t xml:space="preserve"> </w:t>
      </w:r>
      <w:r>
        <w:t xml:space="preserve">for the deep edge detector. Three caveats attach to it. The V1 latency is that of the 640 × 480 resized configuration timed in Section 4.4, not of the native-resolution configuration whose accuracy figures the same row reports. The V1 figure is host- and run-dependent, and Section 5 reports a separate benchmark of the same pipeline, run in a different environment, that gives a lower figure, so it bounds an order of magnitude and not an operating point. The deep edge figure is for a 224 × 224 network input. The rows therefore bound the same budget without being strictly interchangeable. A dash marks a configuration for which no separate timing run exists; the contaminated deep edge control uses the same weights as the deep edge row above it and has the same per-frame cost. All deep edge clip verdicts in this table were produced by the released evaluation scripts, whose provenance is recorded in the repository named in the data availability statement. The last two rows apply to the replacement the same null-baseline audit that Section 4.1 applies to the method it replaces, on the cohort the replacement is reported on. They are fixed by the class counts alone and read no pixel. The constant no-fire rule has no F1-score because it returns no positive; the column in which it is competitive is accuracy, where it reaches 64.95% against the detector's five-seed mean of 97.63%, and against the 43.41% of the hand-set rule on its own cohort. This is the comparison the first row of this table fails and the fifth clears.</w:t>
      </w:r>
    </w:p>
    <w:tbl>
      <w:tblPr>
        <w:tblStyle w:val="Table"/>
        <w:tblW w:w="9638" w:type="dxa"/>
        <w:tblBorders>
          <w:top w:val="single" w:sz="12" w:space="0" w:color="000000"/>
          <w:bottom w:val="single" w:sz="12" w:space="0" w:color="000000"/>
          <w:insideH w:val="none" w:sz="0" w:space="0" w:color="auto"/>
        </w:tblBorders>
        <w:tblLayout w:type="fixed"/>
        <w:tblLook w:firstRow="1"/>
      </w:tblPr>
      <w:tblGrid>
        <w:gridCol w:w="2874"/>
        <w:gridCol w:w="1617"/>
        <w:gridCol w:w="1134"/>
        <w:gridCol w:w="1260"/>
        <w:gridCol w:w="1254"/>
        <w:gridCol w:w="1499"/>
      </w:tblGrid>
      <w:tr>
        <w:trPr>
          <w:tblHeader/>
          <w:cnfStyle w:firstRow="1"/>
        </w:trPr>
        <w:tc>
          <w:tcPr>
            <w:tcW w:w="2874" w:type="dxa"/>
            <w:tcBorders>
              <w:bottom w:val="single" w:sz="6" w:space="0" w:color="000000"/>
            </w:tcBorders>
            <w:vAlign w:val="bottom"/>
          </w:tcPr>
          <w:p>
            <w:pPr>
              <w:pStyle w:val="Compact"/>
              <w:jc w:val="left"/>
            </w:pPr>
            <w:r>
              <w:rPr>
                <w:b/>
              </w:rPr>
              <w:t xml:space="preserve">Architecture version</w:t>
            </w:r>
          </w:p>
        </w:tc>
        <w:tc>
          <w:tcPr>
            <w:tcW w:w="1617" w:type="dxa"/>
            <w:tcBorders>
              <w:bottom w:val="single" w:sz="6" w:space="0" w:color="000000"/>
            </w:tcBorders>
            <w:vAlign w:val="bottom"/>
          </w:tcPr>
          <w:p>
            <w:pPr>
              <w:pStyle w:val="Compact"/>
              <w:jc w:val="center"/>
            </w:pPr>
            <w:r>
              <w:rPr>
                <w:b/>
              </w:rPr>
              <w:t xml:space="preserve">Evaluation set</w:t>
            </w:r>
          </w:p>
        </w:tc>
        <w:tc>
          <w:tcPr>
            <w:tcW w:w="1134" w:type="dxa"/>
            <w:tcBorders>
              <w:bottom w:val="single" w:sz="6" w:space="0" w:color="000000"/>
            </w:tcBorders>
            <w:vAlign w:val="bottom"/>
          </w:tcPr>
          <w:p>
            <w:pPr>
              <w:pStyle w:val="Compact"/>
              <w:jc w:val="center"/>
            </w:pPr>
            <w:r>
              <w:rPr>
                <w:b/>
              </w:rPr>
              <w:t xml:space="preserve">Recall (TPR)</w:t>
            </w:r>
          </w:p>
        </w:tc>
        <w:tc>
          <w:tcPr>
            <w:tcW w:w="1260" w:type="dxa"/>
            <w:tcBorders>
              <w:bottom w:val="single" w:sz="6" w:space="0" w:color="000000"/>
            </w:tcBorders>
            <w:vAlign w:val="bottom"/>
          </w:tcPr>
          <w:p>
            <w:pPr>
              <w:pStyle w:val="Compact"/>
              <w:jc w:val="center"/>
            </w:pPr>
            <w:r>
              <w:rPr>
                <w:b/>
              </w:rPr>
              <w:t xml:space="preserve">False positive rate</w:t>
            </w:r>
          </w:p>
        </w:tc>
        <w:tc>
          <w:tcPr>
            <w:tcW w:w="1254" w:type="dxa"/>
            <w:tcBorders>
              <w:bottom w:val="single" w:sz="6" w:space="0" w:color="000000"/>
            </w:tcBorders>
            <w:vAlign w:val="bottom"/>
          </w:tcPr>
          <w:p>
            <w:pPr>
              <w:pStyle w:val="Compact"/>
              <w:jc w:val="center"/>
            </w:pPr>
            <w:r>
              <w:rPr>
                <w:b/>
              </w:rPr>
              <w:t xml:space="preserve">F1-score</w:t>
            </w:r>
          </w:p>
        </w:tc>
        <w:tc>
          <w:tcPr>
            <w:tcW w:w="1499" w:type="dxa"/>
            <w:tcBorders>
              <w:bottom w:val="single" w:sz="6" w:space="0" w:color="000000"/>
            </w:tcBorders>
            <w:vAlign w:val="bottom"/>
          </w:tcPr>
          <w:p>
            <w:pPr>
              <w:pStyle w:val="Compact"/>
              <w:jc w:val="center"/>
            </w:pPr>
            <w:r>
              <w:rPr>
                <w:b/>
              </w:rPr>
              <w:t xml:space="preserve">Latency (ms/frame)</w:t>
            </w:r>
          </w:p>
        </w:tc>
      </w:tr>
      <w:tr>
        <w:tc>
          <w:tcPr>
            <w:tcW w:w="2874" w:type="dxa"/>
          </w:tcPr>
          <w:p>
            <w:pPr>
              <w:pStyle w:val="Compact"/>
              <w:jc w:val="left"/>
            </w:pPr>
            <w:r>
              <w:t xml:space="preserve">V1: spatial &amp; temporal heuristics</w:t>
            </w:r>
          </w:p>
        </w:tc>
        <w:tc>
          <w:tcPr>
            <w:tcW w:w="1617" w:type="dxa"/>
          </w:tcPr>
          <w:p>
            <w:pPr>
              <w:pStyle w:val="Compact"/>
              <w:jc w:val="left"/>
            </w:pPr>
            <w:r>
              <w:t xml:space="preserve">410 still images (§4.1)</w:t>
            </w:r>
          </w:p>
        </w:tc>
        <w:tc>
          <w:tcPr>
            <w:tcW w:w="1134" w:type="dxa"/>
          </w:tcPr>
          <w:p>
            <w:pPr>
              <w:pStyle w:val="Compact"/>
              <w:jc w:val="center"/>
            </w:pPr>
            <w:r>
              <w:t xml:space="preserve">81.13%</w:t>
            </w:r>
          </w:p>
        </w:tc>
        <w:tc>
          <w:tcPr>
            <w:tcW w:w="1260" w:type="dxa"/>
          </w:tcPr>
          <w:p>
            <w:pPr>
              <w:pStyle w:val="Compact"/>
              <w:jc w:val="center"/>
            </w:pPr>
            <w:r>
              <w:t xml:space="preserve">80.48%</w:t>
            </w:r>
          </w:p>
        </w:tc>
        <w:tc>
          <w:tcPr>
            <w:tcW w:w="1254" w:type="dxa"/>
          </w:tcPr>
          <w:p>
            <w:pPr>
              <w:pStyle w:val="Compact"/>
              <w:jc w:val="center"/>
            </w:pPr>
            <w:r>
              <w:t xml:space="preserve">52.65%</w:t>
            </w:r>
          </w:p>
        </w:tc>
        <w:tc>
          <w:tcPr>
            <w:tcW w:w="1499" w:type="dxa"/>
          </w:tcPr>
          <w:p>
            <w:pPr>
              <w:pStyle w:val="Compact"/>
              <w:jc w:val="center"/>
            </w:pPr>
            <w:r>
              <w:t xml:space="preserve">8.45</w:t>
            </w:r>
          </w:p>
        </w:tc>
      </w:tr>
      <w:tr>
        <w:tc>
          <w:tcPr>
            <w:tcW w:w="2874" w:type="dxa"/>
          </w:tcPr>
          <w:p>
            <w:pPr>
              <w:pStyle w:val="Compact"/>
              <w:jc w:val="left"/>
            </w:pPr>
            <w:r>
              <w:t xml:space="preserve">V2: learned 512-bin color histogram (random forest)</w:t>
            </w:r>
          </w:p>
        </w:tc>
        <w:tc>
          <w:tcPr>
            <w:tcW w:w="1617" w:type="dxa"/>
          </w:tcPr>
          <w:p>
            <w:pPr>
              <w:pStyle w:val="Compact"/>
              <w:jc w:val="left"/>
            </w:pPr>
            <w:r>
              <w:t xml:space="preserve">410 still images (§4.4)</w:t>
            </w:r>
          </w:p>
        </w:tc>
        <w:tc>
          <w:tcPr>
            <w:tcW w:w="1134" w:type="dxa"/>
          </w:tcPr>
          <w:p>
            <w:pPr>
              <w:pStyle w:val="Compact"/>
              <w:jc w:val="center"/>
            </w:pPr>
            <w:r>
              <w:t xml:space="preserve">81.76%</w:t>
            </w:r>
          </w:p>
        </w:tc>
        <w:tc>
          <w:tcPr>
            <w:tcW w:w="1260" w:type="dxa"/>
          </w:tcPr>
          <w:p>
            <w:pPr>
              <w:pStyle w:val="Compact"/>
              <w:jc w:val="center"/>
            </w:pPr>
            <w:r>
              <w:t xml:space="preserve">10.76%</w:t>
            </w:r>
          </w:p>
        </w:tc>
        <w:tc>
          <w:tcPr>
            <w:tcW w:w="1254" w:type="dxa"/>
          </w:tcPr>
          <w:p>
            <w:pPr>
              <w:pStyle w:val="Compact"/>
              <w:jc w:val="center"/>
            </w:pPr>
            <w:r>
              <w:t xml:space="preserve">82.28%</w:t>
            </w:r>
          </w:p>
        </w:tc>
        <w:tc>
          <w:tcPr>
            <w:tcW w:w="1499" w:type="dxa"/>
          </w:tcPr>
          <w:p>
            <w:pPr>
              <w:pStyle w:val="Compact"/>
              <w:jc w:val="center"/>
            </w:pPr>
            <w:r>
              <w:t xml:space="preserve">—</w:t>
            </w:r>
          </w:p>
        </w:tc>
      </w:tr>
      <w:tr>
        <w:tc>
          <w:tcPr>
            <w:tcW w:w="2874" w:type="dxa"/>
          </w:tcPr>
          <w:p>
            <w:pPr>
              <w:pStyle w:val="Compact"/>
              <w:jc w:val="left"/>
            </w:pPr>
            <w:r>
              <w:t xml:space="preserve">V2: strongest learned baseline (+ texture, vertical bands)</w:t>
            </w:r>
          </w:p>
        </w:tc>
        <w:tc>
          <w:tcPr>
            <w:tcW w:w="1617" w:type="dxa"/>
          </w:tcPr>
          <w:p>
            <w:pPr>
              <w:pStyle w:val="Compact"/>
              <w:jc w:val="left"/>
            </w:pPr>
            <w:r>
              <w:t xml:space="preserve">410 still images (§4.4)</w:t>
            </w:r>
          </w:p>
        </w:tc>
        <w:tc>
          <w:tcPr>
            <w:tcW w:w="1134" w:type="dxa"/>
          </w:tcPr>
          <w:p>
            <w:pPr>
              <w:pStyle w:val="Compact"/>
              <w:jc w:val="center"/>
            </w:pPr>
            <w:r>
              <w:t xml:space="preserve">87.42%</w:t>
            </w:r>
          </w:p>
        </w:tc>
        <w:tc>
          <w:tcPr>
            <w:tcW w:w="1260" w:type="dxa"/>
          </w:tcPr>
          <w:p>
            <w:pPr>
              <w:pStyle w:val="Compact"/>
              <w:jc w:val="center"/>
            </w:pPr>
            <w:r>
              <w:t xml:space="preserve">11.16%</w:t>
            </w:r>
          </w:p>
        </w:tc>
        <w:tc>
          <w:tcPr>
            <w:tcW w:w="1254" w:type="dxa"/>
          </w:tcPr>
          <w:p>
            <w:pPr>
              <w:pStyle w:val="Compact"/>
              <w:jc w:val="center"/>
            </w:pPr>
            <w:r>
              <w:t xml:space="preserve">85.28%</w:t>
            </w:r>
          </w:p>
        </w:tc>
        <w:tc>
          <w:tcPr>
            <w:tcW w:w="1499" w:type="dxa"/>
          </w:tcPr>
          <w:p>
            <w:pPr>
              <w:pStyle w:val="Compact"/>
              <w:jc w:val="center"/>
            </w:pPr>
            <w:r>
              <w:t xml:space="preserve">62.49</w:t>
            </w:r>
          </w:p>
        </w:tc>
      </w:tr>
      <w:tr>
        <w:tc>
          <w:tcPr>
            <w:tcW w:w="2874" w:type="dxa"/>
          </w:tcPr>
          <w:p>
            <w:pPr>
              <w:pStyle w:val="Compact"/>
              <w:jc w:val="left"/>
            </w:pPr>
            <w:r>
              <w:t xml:space="preserve">Deep edge (MobileNetV3-Small), transferred</w:t>
            </w:r>
          </w:p>
        </w:tc>
        <w:tc>
          <w:tcPr>
            <w:tcW w:w="1617" w:type="dxa"/>
          </w:tcPr>
          <w:p>
            <w:pPr>
              <w:pStyle w:val="Compact"/>
              <w:jc w:val="left"/>
            </w:pPr>
            <w:r>
              <w:t xml:space="preserve">410 still images (§4.4), no fitting on this corpus</w:t>
            </w:r>
          </w:p>
        </w:tc>
        <w:tc>
          <w:tcPr>
            <w:tcW w:w="1134" w:type="dxa"/>
          </w:tcPr>
          <w:p>
            <w:pPr>
              <w:pStyle w:val="Compact"/>
              <w:jc w:val="center"/>
            </w:pPr>
            <w:r>
              <w:t xml:space="preserve">78.62%</w:t>
            </w:r>
          </w:p>
        </w:tc>
        <w:tc>
          <w:tcPr>
            <w:tcW w:w="1260" w:type="dxa"/>
          </w:tcPr>
          <w:p>
            <w:pPr>
              <w:pStyle w:val="Compact"/>
              <w:jc w:val="center"/>
            </w:pPr>
            <w:r>
              <w:t xml:space="preserve">32.67%</w:t>
            </w:r>
          </w:p>
        </w:tc>
        <w:tc>
          <w:tcPr>
            <w:tcW w:w="1254" w:type="dxa"/>
          </w:tcPr>
          <w:p>
            <w:pPr>
              <w:pStyle w:val="Compact"/>
              <w:jc w:val="center"/>
            </w:pPr>
            <w:r>
              <w:t xml:space="preserve">68.31%</w:t>
            </w:r>
          </w:p>
        </w:tc>
        <w:tc>
          <w:tcPr>
            <w:tcW w:w="1499" w:type="dxa"/>
          </w:tcPr>
          <w:p>
            <w:pPr>
              <w:pStyle w:val="Compact"/>
              <w:jc w:val="center"/>
            </w:pPr>
            <w:r>
              <w:t xml:space="preserve">—</w:t>
            </w:r>
          </w:p>
        </w:tc>
      </w:tr>
      <w:tr>
        <w:tc>
          <w:tcPr>
            <w:tcW w:w="2874" w:type="dxa"/>
          </w:tcPr>
          <w:p>
            <w:pPr>
              <w:pStyle w:val="Compact"/>
              <w:jc w:val="left"/>
            </w:pPr>
            <w:r>
              <w:t xml:space="preserve">Deep edge (MobileNetV3-Small)</w:t>
            </w:r>
          </w:p>
        </w:tc>
        <w:tc>
          <w:tcPr>
            <w:tcW w:w="1617" w:type="dxa"/>
          </w:tcPr>
          <w:p>
            <w:pPr>
              <w:pStyle w:val="Compact"/>
              <w:jc w:val="left"/>
            </w:pPr>
            <w:r>
              <w:t xml:space="preserve">194 clips unseen by gradient (§4.5), mean of five seeds</w:t>
            </w:r>
          </w:p>
        </w:tc>
        <w:tc>
          <w:tcPr>
            <w:tcW w:w="1134" w:type="dxa"/>
          </w:tcPr>
          <w:p>
            <w:pPr>
              <w:pStyle w:val="Compact"/>
              <w:jc w:val="center"/>
            </w:pPr>
            <w:r>
              <w:t xml:space="preserve">93.83%</w:t>
            </w:r>
          </w:p>
        </w:tc>
        <w:tc>
          <w:tcPr>
            <w:tcW w:w="1260" w:type="dxa"/>
          </w:tcPr>
          <w:p>
            <w:pPr>
              <w:pStyle w:val="Compact"/>
              <w:jc w:val="center"/>
            </w:pPr>
            <w:r>
              <w:t xml:space="preserve">0.32%</w:t>
            </w:r>
          </w:p>
        </w:tc>
        <w:tc>
          <w:tcPr>
            <w:tcW w:w="1254" w:type="dxa"/>
          </w:tcPr>
          <w:p>
            <w:pPr>
              <w:pStyle w:val="Compact"/>
              <w:jc w:val="center"/>
            </w:pPr>
            <w:r>
              <w:t xml:space="preserve">96.52%</w:t>
            </w:r>
          </w:p>
        </w:tc>
        <w:tc>
          <w:tcPr>
            <w:tcW w:w="1499" w:type="dxa"/>
          </w:tcPr>
          <w:p>
            <w:pPr>
              <w:pStyle w:val="Compact"/>
              <w:jc w:val="center"/>
            </w:pPr>
            <w:r>
              <w:t xml:space="preserve">13.26</w:t>
            </w:r>
          </w:p>
        </w:tc>
      </w:tr>
      <w:tr>
        <w:tc>
          <w:tcPr>
            <w:tcW w:w="2874" w:type="dxa"/>
          </w:tcPr>
          <w:p>
            <w:pPr>
              <w:pStyle w:val="Compact"/>
              <w:jc w:val="left"/>
            </w:pPr>
            <w:r>
              <w:t xml:space="preserve">Deep edge, contaminated control</w:t>
            </w:r>
          </w:p>
        </w:tc>
        <w:tc>
          <w:tcPr>
            <w:tcW w:w="1617" w:type="dxa"/>
          </w:tcPr>
          <w:p>
            <w:pPr>
              <w:pStyle w:val="Compact"/>
              <w:jc w:val="left"/>
            </w:pPr>
            <w:r>
              <w:t xml:space="preserve">All 483 clips, partition ignored, mean of five seeds</w:t>
            </w:r>
          </w:p>
        </w:tc>
        <w:tc>
          <w:tcPr>
            <w:tcW w:w="1134" w:type="dxa"/>
          </w:tcPr>
          <w:p>
            <w:pPr>
              <w:pStyle w:val="Compact"/>
              <w:jc w:val="center"/>
            </w:pPr>
            <w:r>
              <w:t xml:space="preserve">97.53%</w:t>
            </w:r>
          </w:p>
        </w:tc>
        <w:tc>
          <w:tcPr>
            <w:tcW w:w="1260" w:type="dxa"/>
          </w:tcPr>
          <w:p>
            <w:pPr>
              <w:pStyle w:val="Compact"/>
              <w:jc w:val="center"/>
            </w:pPr>
            <w:r>
              <w:t xml:space="preserve">0.13%</w:t>
            </w:r>
          </w:p>
        </w:tc>
        <w:tc>
          <w:tcPr>
            <w:tcW w:w="1254" w:type="dxa"/>
          </w:tcPr>
          <w:p>
            <w:pPr>
              <w:pStyle w:val="Compact"/>
              <w:jc w:val="center"/>
            </w:pPr>
            <w:r>
              <w:t xml:space="preserve">98.63%</w:t>
            </w:r>
          </w:p>
        </w:tc>
        <w:tc>
          <w:tcPr>
            <w:tcW w:w="1499" w:type="dxa"/>
          </w:tcPr>
          <w:p>
            <w:pPr>
              <w:pStyle w:val="Compact"/>
              <w:jc w:val="center"/>
            </w:pPr>
            <w:r>
              <w:t xml:space="preserve">—</w:t>
            </w:r>
          </w:p>
        </w:tc>
      </w:tr>
      <w:tr>
        <w:tc>
          <w:tcPr>
            <w:tcW w:w="2874" w:type="dxa"/>
          </w:tcPr>
          <w:p>
            <w:pPr>
              <w:pStyle w:val="Compact"/>
              <w:jc w:val="left"/>
            </w:pPr>
            <w:r>
              <w:t xml:space="preserve">Constant fire predictor (null baseline)</w:t>
            </w:r>
          </w:p>
        </w:tc>
        <w:tc>
          <w:tcPr>
            <w:tcW w:w="1617" w:type="dxa"/>
          </w:tcPr>
          <w:p>
            <w:pPr>
              <w:pStyle w:val="Compact"/>
              <w:jc w:val="left"/>
            </w:pPr>
            <w:r>
              <w:t xml:space="preserve">194 clips unseen by gradient (§4.5)</w:t>
            </w:r>
          </w:p>
        </w:tc>
        <w:tc>
          <w:tcPr>
            <w:tcW w:w="1134" w:type="dxa"/>
          </w:tcPr>
          <w:p>
            <w:pPr>
              <w:pStyle w:val="Compact"/>
              <w:jc w:val="center"/>
            </w:pPr>
            <w:r>
              <w:t xml:space="preserve">100.00%</w:t>
            </w:r>
          </w:p>
        </w:tc>
        <w:tc>
          <w:tcPr>
            <w:tcW w:w="1260" w:type="dxa"/>
          </w:tcPr>
          <w:p>
            <w:pPr>
              <w:pStyle w:val="Compact"/>
              <w:jc w:val="center"/>
            </w:pPr>
            <w:r>
              <w:t xml:space="preserve">100.00%</w:t>
            </w:r>
          </w:p>
        </w:tc>
        <w:tc>
          <w:tcPr>
            <w:tcW w:w="1254" w:type="dxa"/>
          </w:tcPr>
          <w:p>
            <w:pPr>
              <w:pStyle w:val="Compact"/>
              <w:jc w:val="center"/>
            </w:pPr>
            <w:r>
              <w:t xml:space="preserve">51.91%</w:t>
            </w:r>
          </w:p>
        </w:tc>
        <w:tc>
          <w:tcPr>
            <w:tcW w:w="1499" w:type="dxa"/>
          </w:tcPr>
          <w:p>
            <w:pPr>
              <w:pStyle w:val="Compact"/>
              <w:jc w:val="center"/>
            </w:pPr>
            <w:r>
              <w:t xml:space="preserve">—</w:t>
            </w:r>
          </w:p>
        </w:tc>
      </w:tr>
      <w:tr>
        <w:tc>
          <w:tcPr>
            <w:tcW w:w="2874" w:type="dxa"/>
          </w:tcPr>
          <w:p>
            <w:pPr>
              <w:pStyle w:val="Compact"/>
              <w:jc w:val="left"/>
            </w:pPr>
            <w:r>
              <w:t xml:space="preserve">Constant no-fire predictor (null baseline)</w:t>
            </w:r>
          </w:p>
        </w:tc>
        <w:tc>
          <w:tcPr>
            <w:tcW w:w="1617" w:type="dxa"/>
          </w:tcPr>
          <w:p>
            <w:pPr>
              <w:pStyle w:val="Compact"/>
              <w:jc w:val="left"/>
            </w:pPr>
            <w:r>
              <w:t xml:space="preserve">194 clips unseen by gradient (§4.5)</w:t>
            </w:r>
          </w:p>
        </w:tc>
        <w:tc>
          <w:tcPr>
            <w:tcW w:w="1134" w:type="dxa"/>
          </w:tcPr>
          <w:p>
            <w:pPr>
              <w:pStyle w:val="Compact"/>
              <w:jc w:val="center"/>
            </w:pPr>
            <w:r>
              <w:t xml:space="preserve">0.00%</w:t>
            </w:r>
          </w:p>
        </w:tc>
        <w:tc>
          <w:tcPr>
            <w:tcW w:w="1260" w:type="dxa"/>
          </w:tcPr>
          <w:p>
            <w:pPr>
              <w:pStyle w:val="Compact"/>
              <w:jc w:val="center"/>
            </w:pPr>
            <w:r>
              <w:t xml:space="preserve">0.00%</w:t>
            </w:r>
          </w:p>
        </w:tc>
        <w:tc>
          <w:tcPr>
            <w:tcW w:w="1254" w:type="dxa"/>
          </w:tcPr>
          <w:p>
            <w:pPr>
              <w:pStyle w:val="Compact"/>
              <w:jc w:val="center"/>
            </w:pPr>
            <w:r>
              <w:t xml:space="preserve">—</w:t>
            </w:r>
          </w:p>
        </w:tc>
        <w:tc>
          <w:tcPr>
            <w:tcW w:w="1499" w:type="dxa"/>
          </w:tcPr>
          <w:p>
            <w:pPr>
              <w:pStyle w:val="Compact"/>
              <w:jc w:val="center"/>
            </w:pPr>
            <w:r>
              <w:t xml:space="preserve">—</w:t>
            </w:r>
          </w:p>
        </w:tc>
      </w:tr>
    </w:tbl>
    <w:p>
      <w:pPr>
        <w:pStyle w:val="BodyText"/>
      </w:pPr>
      <w:r>
        <w:t xml:space="preserve">Table 5 is a progression of design decisions rather than a controlled comparison: the clip rows and the still-image rows do not share an evaluation set, and V1 was never run on the clip corpus at all. The direction is nonetheless unambiguous. On still images the hand-set pipeline alarms on 202 of its 251 no-fire images, whereas on clips the released classifier alarms on 1 of 126 real no-fire clips it was never fitted on. Those two figures are not measured on the same data, so the honest statement is that the heuristic fails on still controls while the classifier largely does not fail on negatives drawn from the same corpus as its positives. Converting this into a like-for-like margin needs one corpus scored by both. One direction of that comparison is affordable and is therefore reported: the fourth row of Table 5 applies the deep edge weights, unchanged, to the same 410 still images on which V1 and V2 were measured, so that the three architectures have one cohort in common.</w:t>
      </w:r>
    </w:p>
    <w:p>
      <w:pPr>
        <w:pStyle w:val="BodyText"/>
      </w:pPr>
      <w:r>
        <w:t xml:space="preserve">Two things have to be said about that row before it is read. The alarm rule of Algorithm 2 requires three consecutive positive samples and is undefined on a single image, so the verdict there is the bare argmax of the two-class head rather than the deployed alarm. And the weights were fitted on frames of low-altitude aerial video, whereas this cohort mixes ground-level and aerial photography spanning three orders of magnitude of resolution; the row is a transfer measurement, not a second in-domain result.</w:t>
      </w:r>
    </w:p>
    <w:p>
      <w:pPr>
        <w:pStyle w:val="BodyText"/>
      </w:pPr>
      <w:r>
        <w:t xml:space="preserve">Read with those caveats, the row settles the question the progression was raising. The transferred classifier reaches an F1-score of 68.31% and an accuracy of 71.71% on images it was never fitted on, against the 52.65% and 43.41% of the hand-set rule on its own corpus. It clears both null baselines here, as it does on clips; the hand-set rule clears neither. A rule tuned for this data is therefore beaten, on this data, by a network that has never seen it.</w:t>
      </w:r>
    </w:p>
    <w:p>
      <w:pPr>
        <w:pStyle w:val="BodyText"/>
      </w:pPr>
      <w:r>
        <w:t xml:space="preserve">The learned baseline of Section 4.4 remains the strongest row on this cohort, at 85.28%, and that ordering is expected rather than awkward. Those weights were fitted on the training split of this very corpus while the deep edge weights come from a different domain, so the two rows are an in-domain result and a transfer result and not two attempts at one task. Nor are they alternatives for deployment: the learned models are classifiers that emit no box, they produce no clip-level verdict because the temporal rule has nothing to smooth, and the strongest of them costs 62.49 ms per frame against the deep edge detector's 13.26 ms on the same host, although the forest predicts on all cores and its figure is a median, whereas the deep edge figure is a single-thread mean. Section 4.4 fits them to locate the failure of the hand-set rule, which is the role they are reported in; it does not propose them as the airborne detector.</w:t>
      </w:r>
    </w:p>
    <w:p>
      <w:pPr>
        <w:pStyle w:val="BodyText"/>
      </w:pPr>
      <w:r>
        <w:t xml:space="preserve">Whether the deep edge detector meets a real-time budget is a question about the target host and not about the architecture. The per-frame cost must therefore be quoted with the CPU, the thread count and the measurement protocol attached; the figure reported here is produced by</w:t>
      </w:r>
      <w:r>
        <w:t xml:space="preserve"> </w:t>
      </w:r>
      <w:r>
        <w:rPr>
          <w:rStyle w:val="VerbatimChar"/>
        </w:rPr>
        <w:t xml:space="preserve">tools/benchmark_latency.py</w:t>
      </w:r>
      <w:r>
        <w:t xml:space="preserve"> </w:t>
      </w:r>
      <w:r>
        <w:t xml:space="preserve">under a 300-timed-call, warm-up-discarded protocol like that of Section 4.4, but on one synthetic 640 × 480 frame and on a single thread. Preprocessing and the forward pass together cost a mean of 13.26 ms per frame over 300 timed calls, of which the forward pass alone accounts for 10.89 ms, on an Intel64 family 6 model 142 stepping 12 CPU. The frame rate this implies is stated rather than asserted: 75.4 FPS sustained at the pipeline figure. The detector samples at two frames per second, so the alarm latency that matters operationally is the time to three consecutive positive samples, between about 1.0 s and 1.5 s after ignition becomes visible, depending on where the first positive sample falls, and this is bounded by the sampling policy rather than by the per-frame cost of the classifier. Two properties of that sampling policy should be stated precisely, because they govern how many decisions each clip actually contributes. The stride is computed as the integer part of the container frame rate divided by two, so the nominal two samples per second is exact only when the frame rate is an even integer; at the 24 frames per second of most clips in this corpus the detector sees every twelfth frame, and when a container reports no frame rate at all the evaluator falls back to 24. The scan also stops at the first alarm rather than running to the end of the clip, since the verdict cannot change afterwards, which is why the number of inferences recorded per clip varies and is not a fixed function of clip length.</w:t>
      </w:r>
    </w:p>
    <w:p>
      <w:pPr>
        <w:pStyle w:val="BodyText"/>
      </w:pPr>
      <w:r>
        <w:t xml:space="preserve">The per-frame cost quoted above carries its protocol with it, and a second timing record exists which is reported here rather than dropped. The 13.26 ms is the mean of 300 timed calls following 30 discarded warm-up calls, on a single thread, over a 640 × 480 frame resized to the network input; it covers preprocessing and the forward pass and excludes video decoding, so it is a cost of the network and not of a pipeline. The PyTorch reference evaluator independently instruments its own forward calls, and over the 4342 inferences of its full corpus pass it records a mean of 21.82 ms and a median of 18.85 ms. Two things separate that record from the figure above, and both must be stated before the two are set side by side: it times the forward pass alone, so the comparable controlled figure is the 10.89 ms rather than the 13.26 ms, and it is neither warm-up corrected nor taken on a quiescent host, the same process being engaged in decoding video throughout. The two are therefore not competing estimates of one quantity: the smaller is what the network costs under a controlled protocol, and the larger is what the same forward pass costs while sharing a CPU with a decoder. Both are reported because the second is the one a deployment would experience, and because a reader who finds the artifact should not be left to wonder why it disagrees with the text.</w:t>
      </w:r>
    </w:p>
    <w:p>
      <w:pPr>
        <w:pStyle w:val="BodyText"/>
      </w:pPr>
      <w:r>
        <w:drawing>
          <wp:inline>
            <wp:extent cx="6108700" cy="2678430"/>
            <wp:effectExtent b="0" l="0" r="0" t="0"/>
            <wp:docPr descr="Three confusion matrices for the V3 MobileNetV3 detector: the 194 clips unseen by gradient, the 289 clips it was fitted on, and the contaminated full corpus" title="" id="1" name="Picture"/>
            <a:graphic>
              <a:graphicData uri="http://schemas.openxmlformats.org/drawingml/2006/picture">
                <pic:pic>
                  <pic:nvPicPr>
                    <pic:cNvPr descr="v3_confusion_matrix.png" id="0" name="Picture"/>
                    <pic:cNvPicPr>
                      <a:picLocks noChangeArrowheads="1" noChangeAspect="1"/>
                    </pic:cNvPicPr>
                  </pic:nvPicPr>
                  <pic:blipFill>
                    <a:blip r:embed="rId39"/>
                    <a:stretch>
                      <a:fillRect/>
                    </a:stretch>
                  </pic:blipFill>
                  <pic:spPr bwMode="auto">
                    <a:xfrm>
                      <a:off x="0" y="0"/>
                      <a:ext cx="6108700" cy="2678430"/>
                    </a:xfrm>
                    <a:prstGeom prst="rect">
                      <a:avLst/>
                    </a:prstGeom>
                    <a:noFill/>
                    <a:ln w="9525">
                      <a:noFill/>
                      <a:headEnd/>
                      <a:tailEnd/>
                    </a:ln>
                  </pic:spPr>
                </pic:pic>
              </a:graphicData>
            </a:graphic>
          </wp:inline>
        </w:drawing>
      </w:r>
    </w:p>
    <w:p>
      <w:pPr>
        <w:pStyle w:val="BodyText"/>
      </w:pPr>
      <w:r>
        <w:t xml:space="preserve">Figure 6: Confusion matrices of the deep edge detector, one per evaluation grouping. (a) The 194 clips that contributed no training gradient, scored with the released weights (92.65% recall, 0.79% false-positive rate); the headline figure of the text is the five-seed mean and is not read from this panel. (b) The 289 clips whose frames produced the weights, where the detector is perfect and which therefore fixes the memorization ceiling rather than measuring generalization. (c) All 483 clips with the partition ignored, the contaminated control. The distance between (a) and (c) is the optimism a naive whole-corpus evaluation retains.</w:t>
      </w:r>
    </w:p>
    <w:p>
      <w:pPr>
        <w:pStyle w:val="BodyText"/>
      </w:pPr>
      <w:r>
        <w:drawing>
          <wp:inline>
            <wp:extent cx="6108700" cy="2620894"/>
            <wp:effectExtent b="0" l="0" r="0" t="0"/>
            <wp:docPr descr="Receiver operating characteristic and precision-recall curves for the deep edge detector on the 194 clips that contributed no training gradient, with the deployed operating point marked on each" title="" id="1" name="Picture"/>
            <a:graphic>
              <a:graphicData uri="http://schemas.openxmlformats.org/drawingml/2006/picture">
                <pic:pic>
                  <pic:nvPicPr>
                    <pic:cNvPr descr="v3_operating_curve.png" id="0" name="Picture"/>
                    <pic:cNvPicPr>
                      <a:picLocks noChangeArrowheads="1" noChangeAspect="1"/>
                    </pic:cNvPicPr>
                  </pic:nvPicPr>
                  <pic:blipFill>
                    <a:blip r:embed="rId40"/>
                    <a:stretch>
                      <a:fillRect/>
                    </a:stretch>
                  </pic:blipFill>
                  <pic:spPr bwMode="auto">
                    <a:xfrm>
                      <a:off x="0" y="0"/>
                      <a:ext cx="6108700" cy="2620894"/>
                    </a:xfrm>
                    <a:prstGeom prst="rect">
                      <a:avLst/>
                    </a:prstGeom>
                    <a:noFill/>
                    <a:ln w="9525">
                      <a:noFill/>
                      <a:headEnd/>
                      <a:tailEnd/>
                    </a:ln>
                  </pic:spPr>
                </pic:pic>
              </a:graphicData>
            </a:graphic>
          </wp:inline>
        </w:drawing>
      </w:r>
    </w:p>
    <w:p>
      <w:pPr>
        <w:pStyle w:val="BodyText"/>
      </w:pPr>
      <w:r>
        <w:t xml:space="preserve">Figure 7: Operating curves of the deep edge detector on the 194 clips that contributed no training gradient. The quantity swept is the largest threshold at which a clip still satisfies the three-consecutive-sample rule of Algorithm 2, so the curve traverses the deployed decision procedure rather than a surrogate for it; the marked point is where that procedure sits under OpenCV 5.0.0, 94.12% recall at a 0.00% false-positive rate. The precision-recall panel is drawn against the class prior of the cohort, because precision above that line is the part that is not free. Both panels are drawn from the points recorded in</w:t>
      </w:r>
      <w:r>
        <w:t xml:space="preserve"> </w:t>
      </w:r>
      <w:r>
        <w:rPr>
          <w:rStyle w:val="VerbatimChar"/>
        </w:rPr>
        <w:t xml:space="preserve">v3_operating_curve.json</w:t>
      </w:r>
      <w:r>
        <w:t xml:space="preserve"> </w:t>
      </w:r>
      <w:r>
        <w:t xml:space="preserve">rather than recomputed for the figure.</w:t>
      </w:r>
    </w:p>
    <w:p>
      <w:pPr>
        <w:pStyle w:val="Heading2"/>
      </w:pPr>
      <w:bookmarkStart w:id="41" w:name="conclusion"/>
      <w:r>
        <w:t xml:space="preserve">5 Conclusion</w:t>
      </w:r>
      <w:bookmarkEnd w:id="41"/>
    </w:p>
    <w:p>
      <w:pPr>
        <w:pStyle w:val="FirstParagraph"/>
      </w:pPr>
      <w:r>
        <w:t xml:space="preserve">Autonomous UAVs possess the mobility to shorten wildfire response times, and the energy and thermal cost of deep convolutional detectors on lightweight airframes is a real constraint that motivates CPU-only alternatives. This paper implemented a CPU-only detector of that kind (V1), comprising a multi-color-space chromatic stage, a temporal flickering test and a localization stage; evaluated it against baselines that ignore the image entirely; and then built learned alternatives, culminating in one that replaces the detector outright. The evaluation does not support the chromatic architecture as a standalone detector, and we report that outcome as the primary result. That replacement is what the paper offers in its place, and its boundary is measured rather than asserted.</w:t>
      </w:r>
    </w:p>
    <w:p>
      <w:pPr>
        <w:pStyle w:val="BodyText"/>
      </w:pPr>
      <w:r>
        <w:t xml:space="preserve">Four findings are established.</w:t>
      </w:r>
      <w:r>
        <w:t xml:space="preserve"> </w:t>
      </w:r>
      <w:r>
        <w:rPr>
          <w:b/>
        </w:rPr>
        <w:t xml:space="preserve">First</w:t>
      </w:r>
      <w:r>
        <w:t xml:space="preserve">, at the image level the detector is dominated by rules that ignore the image: F1 52.65% against 55.89% for a constant-positive predictor, accuracy 43.41% against 61.22% for a constant-negative one, a 17.80 point accuracy deficit for the released configuration, with a deficit of the same sign at all seven color-space ablations and all nine threshold settings. Stated without reference to the class prior, which is the form that cannot be argued with, the Matthews correlation of the released configuration is 0.0081 and its informedness 0.0065: on this split the detector is indistinguishable from chance.</w:t>
      </w:r>
      <w:r>
        <w:t xml:space="preserve"> </w:t>
      </w:r>
      <w:r>
        <w:rPr>
          <w:b/>
        </w:rPr>
        <w:t xml:space="preserve">Second</w:t>
      </w:r>
      <w:r>
        <w:t xml:space="preserve">, removing the HSV mask from the released configuration alters no image-level decision, so at the level of image decisions the advertised triple intersection is the RGB ∩ YCbCr pair, and F1 improves as the filter becomes less discriminative — the signature of features carrying little class information.</w:t>
      </w:r>
      <w:r>
        <w:t xml:space="preserve"> </w:t>
      </w:r>
      <w:r>
        <w:rPr>
          <w:b/>
        </w:rPr>
        <w:t xml:space="preserve">Third</w:t>
      </w:r>
      <w:r>
        <w:t xml:space="preserve">, the pipeline destroys information the images contain. It cannot be repaired within its own family: a saturation sweep moves recall 32.70 points while precision stays within 2.25 points of the class prior, and the best threshold over its own box count, chosen with the test labels in hand, is the degenerate one. Yet a model fitted on a 512-bin color histogram of the same images lifts F1 from 49.14% to 82.28%, and to 85.28% with texture and vertical bands added, a configuration a ten-seed sweep places at 84.05% ± 0.66 and which the validation split does not rank first. The histogram is not the rule's feature set, so the conclusion is that the evidence is extractable from these images and this rule does not extract it, not that the two were handed the same thing. A resolution control removes 84.19% of spurious boxes by bringing the images to a common size, which puts the absolute area criterion of Eq. (2) and the fixed kernels on a consistent scale, and the first finding survives that repair.</w:t>
      </w:r>
      <w:r>
        <w:t xml:space="preserve"> </w:t>
      </w:r>
      <w:r>
        <w:rPr>
          <w:b/>
        </w:rPr>
        <w:t xml:space="preserve">Fourth</w:t>
      </w:r>
      <w:r>
        <w:t xml:space="preserve">, scoring the released deep edge weights on unseen rather than fitted clips costs 7.35 points of recall, and a whole-corpus evaluation would have absorbed most of that silently. Its operating curve, swept over the threshold the alarm rule implies rather than a surrogate, reaches an area of 0.995 on that unseen cohort, and re-running the released evaluator under a different video decoder and software environment changes two verdicts in 483, which we report and do not adopt for the released-weight figures.</w:t>
      </w:r>
    </w:p>
    <w:p>
      <w:pPr>
        <w:pStyle w:val="BodyText"/>
      </w:pPr>
      <w:r>
        <w:t xml:space="preserve">One engineering observation survives independently of the detection outcome. The pipeline costs under ten milliseconds per 640 × 480 frame on a mobile-class CPU with no accelerator, so multi-color-space intersection with frame differencing is not the bottleneck in an airborne vision stack; this does not establish real-time operation. The absolute figure is a property of the host rather than of the algorithm, and the two must be separated before either is quoted. Two measurements bear this out. The joint timing run of Section 4.4, which shares a process with the learned models it is compared against, gives a median of 8.45 ms. A dedicated benchmark of the pipeline alone, run in Environment B rather than on the target machine, gives less: five independent executions over the same 30 frames, each with its own discarded warm-up, produce means between 5.82 ms and 6.02 ms and medians between 5.68 ms and 5.80 ms, a spread of 1.03×, with an identical box set emitted every time, so within a protocol the variation is timing and not behavior. Between the two records, which differ in host and software build as well as in protocol, the medians differ by a factor of 1.46 to 1.49, which is the honest width of this observation. What is not stable at all is the figure across hosts and across loaded and unloaded machines, which is why it is reported as an order of magnitude rather than as an operating point, and why the future work below asks for a benchmark on quiesced and preferably embedded hardware.</w:t>
      </w:r>
    </w:p>
    <w:p>
      <w:pPr>
        <w:pStyle w:val="BodyText"/>
      </w:pPr>
      <w:r>
        <w:t xml:space="preserve">The limitations constrain every statement above. The image datasets carry no bounding-box annotations, so all image results are image-level classification and no IoU or mAP was computed. Section 4.5 crosses to real footage, but on a corpus the authors did not collect. No measurement covers live capture, display, operating-system queues or radio transmission. The learned comparison of Section 4.4 is a classifier and not a detector; its ten-seed sweep bounds the variance of the fit but not of the selection procedure, and its random-forest figures are specific to scikit-learn 1.9.0. The clip-level verdicts are specific to the decoding environment as well as to a seed: two of the 483 clips receive different verdicts under OpenCV 5.0 on Windows than under the OpenCV 4.13 on Linux that produced the released artifacts, and the two runs also differ in Python and NumPy versions, so the difference is not attributed to the decoder alone. One is a fire clip and moves the recall on the reported cohort by 1.47 points, the other a no-fire clip and moves the false-positive rate by 0.79; both move in the detector's favor; the released-weights figures quoted throughout are the lower pair, whereas the five-seed sweep and Fig. 7 were run under OpenCV 5.0.0. Any clip-level result in this literature that does not name its decoder carries the same uncertainty unmeasured.</w:t>
      </w:r>
    </w:p>
    <w:p>
      <w:pPr>
        <w:pStyle w:val="BodyText"/>
      </w:pPr>
      <w:r>
        <w:t xml:space="preserve">Further limitations bound the deep edge result specifically. The 194 unseen clips are few enough that, for the released weights, the 95% Wilson interval on the recall spans [83.91%, 96.82%] and on the false-positive rate [0.14%, 4.36%]. The released fit is a single three-epoch run. No checkpoint is selected on the monitor, but the epoch count is a hyperparameter the monitor could have informed, which is why the 96 clips no stage of training read are reported separately. A five-seed sweep, reported in Section 4.5, places the held-out recall at 93.83 ± 0.59 and the false-positive rate at 0.32 ± 0.64, a spread small against the sampling error of the cohort, and one clip wide: the recall takes two values across the five seeds. The sweep ran under a different video build than the released verdicts; held to that build, OpenCV 5.0.0, the released weights reach 94.12% (Section 4.5), so the released fit sits at the top of that spread rather than at its bottom. The sweep is driven by</w:t>
      </w:r>
      <w:r>
        <w:t xml:space="preserve"> </w:t>
      </w:r>
      <w:r>
        <w:rPr>
          <w:rStyle w:val="VerbatimChar"/>
        </w:rPr>
        <w:t xml:space="preserve">tools/multiseed_v3.py</w:t>
      </w:r>
      <w:r>
        <w:t xml:space="preserve">, which holds every other setting fixed and varies only the seed. What it does not bound is the variance of the selection procedure, since the epoch count was fixed once and not reselected per seed. An asymmetry is worth stating against our own narrative: the hand-set rule was ablated over seven color-space configurations and nine threshold settings, whereas its replacement was ablated over nothing. The three-consecutive-sample requirement, the two-samples-per-second rate and the augmentation set were each fixed once and never varied, so this paper reports how well the deep edge detector performs and not which of its parts earn their place. The curve of Fig. 7 bounds one of those choices after the fact, since it sweeps the threshold the alarm rule implies, but the other two remain unexamined. The negatives supply vehicle, crowd, water and flood distractors but no autumnal-foliage, glare or red-roofed-settlement category. The positives are drawn from two corpora while every negative comes from one of them, and holding the source constant costs the released weights 7.36 points of recall; a successor corpus should draw both classes from the same sensor and flight campaign. Clips cut from a common source event were partitioned at the clip level rather than the event level, which costs 0.98 points of the released weights' held-out recall when the event is held out as well. The three architectures share one cohort but not the one that matters most: the deep edge weights were applied to the 410 still images on which V1 and V2 were measured, which is a transfer measurement, whereas V1 and V2 were never run over the 483-clip corpus, so Table 5 remains a progression of design decisions rather than a controlled comparison. And the backbone was chosen on published cost figures rather than by measurement.</w:t>
      </w:r>
    </w:p>
    <w:p>
      <w:pPr>
        <w:pStyle w:val="BodyText"/>
      </w:pPr>
      <w:r>
        <w:t xml:space="preserve">The constructive implication is narrower than these results might suggest. The failure is located in the form of the decision rule, not in the evidence it is given. A hand-set conjunction of per-pixel chromatic thresholds cannot separate fire from sunlit red-dominant terrain and no setting within that family can, but a 512-weight logistic regression over the same histogram reaches 71.15% and a random forest 82.28%, or 85.28% with texture and vertical bands added. The scalar flicker-ratio penalty invites the same criticism on the temporal axis. Two roles remain defensible for the pipeline as built: candidate generation, where the chromatic stage cheaply reduces the region count passed to a verifier and must be evaluated by generator recall and verifier cost jointly; and localization front end for a learned classifier, since none of the learned models here localizes. What is not defensible is the hand-set rule as a standalone detector, nor the compute argument advanced for it — the timed logistic regression occupies 3.7 kB and costs 1.35 times as much per frame while scoring 77.33% against 49.14%. Section 4.5 discharges two items an earlier draft could only list as future work, acquiring real aerial video and carrying the learned comparison to a convolutional backbone, but not a third: that model is a classifier, so localization is still not compared and the Grad-CAM output it exposes is scored by no metric here. Future work should therefore repeat the timing benchmark on quiesced and preferably embedded hardware; express the area criterion as an angular subtense so that it is invariant to sensor resolution; annotate the real corpus with boxes to permit IoU evaluation and convert the classifier into a detector; run V1 and V2 over the clip corpus, which is the half of the common-corpus comparison this paper does not make, the cheap half being reported in Table 5; pin the video decoder, or report a clip-level result as a range across decoder versions rather than as a point; compare candidate backbones on one host; reseed the deep edge fit with hard negatives for glare, foliage and settlement; establish by ablation over smoke-free and smoke-dominated clips which cue the network actually relies on, since the Grad-CAM panel of Fig. 2 suggests smoke rather than flame; ablate the deep edge detector's own settings, the consecutive-sample requirement, the sampling rate and the augmentation set, none of which this paper varies; draw both classes of a successor corpus from one sensor and one flight campaign, and partition it at the event rather than the clip level, so that neither the source control nor the event control of Section 4.5 is needed; deploy on embedded hardware with a real radio link as demonstrated by Titu et al. [26]; and report the null baselines of Table 1, and the held-out-versus-whole-corpus comparison of Table 5, as standing requirements for work in this family.</w:t>
      </w:r>
    </w:p>
    <w:p>
      <w:pPr>
        <w:pStyle w:val="BodyText"/>
      </w:pPr>
      <w:r>
        <w:rPr>
          <w:b/>
        </w:rPr>
        <w:t xml:space="preserve">Acknowledgement:</w:t>
      </w:r>
      <w:r>
        <w:t xml:space="preserve"> </w:t>
      </w:r>
      <w:r>
        <w:t xml:space="preserve">The authors acknowledge the infrastructure and hardware support provided by a Teknopark-affiliated enterprise during the development and testing phases of the architecture. All measured values, tables and figures of measured results were generated from the stored data by the accompanying evaluation scripts and checked by the authors. The authors accept full responsibility for the article.</w:t>
      </w:r>
    </w:p>
    <w:p>
      <w:pPr>
        <w:pStyle w:val="BodyText"/>
      </w:pPr>
      <w:r>
        <w:rPr>
          <w:b/>
        </w:rPr>
        <w:t xml:space="preserve">Funding Statement:</w:t>
      </w:r>
      <w:r>
        <w:t xml:space="preserve"> </w:t>
      </w:r>
      <w:r>
        <w:t xml:space="preserve">The authors received no specific funding for this study.</w:t>
      </w:r>
    </w:p>
    <w:p>
      <w:pPr>
        <w:pStyle w:val="BodyText"/>
      </w:pPr>
      <w:r>
        <w:rPr>
          <w:b/>
        </w:rPr>
        <w:t xml:space="preserve">Author Contributions:</w:t>
      </w:r>
      <w:r>
        <w:t xml:space="preserve"> </w:t>
      </w:r>
      <w:r>
        <w:t xml:space="preserve">The authors confirm contribution to the paper as follows: conceptualization, Alaeddin Gazi Toprak and Alireza Souri; methodology, Alaeddin Gazi Toprak and Alireza Souri; software, Alaeddin Gazi Toprak; validation, Alaeddin Gazi Toprak; formal analysis, Alaeddin Gazi Toprak; investigation, Alaeddin Gazi Toprak; resources, Alireza Souri; data curation, Alaeddin Gazi Toprak; writing—original draft preparation, Alaeddin Gazi Toprak; writing—review and editing, Alireza Souri; visualization, Alaeddin Gazi Toprak; supervision, Alireza Souri; project administration, Alireza Souri. All authors reviewed the results and approved the final version of the manuscript.</w:t>
      </w:r>
    </w:p>
    <w:p>
      <w:pPr>
        <w:pStyle w:val="BodyText"/>
      </w:pPr>
      <w:r>
        <w:rPr>
          <w:b/>
        </w:rPr>
        <w:t xml:space="preserve">Availability of Data and Materials:</w:t>
      </w:r>
      <w:r>
        <w:t xml:space="preserve"> </w:t>
      </w:r>
      <w:r>
        <w:t xml:space="preserve">The datasets and external resources used in this study are listed below:</w:t>
      </w:r>
    </w:p>
    <w:p>
      <w:pPr>
        <w:pStyle w:val="Compact"/>
        <w:numPr>
          <w:ilvl w:val="0"/>
          <w:numId w:val="1004"/>
        </w:numPr>
      </w:pPr>
      <w:r>
        <w:rPr>
          <w:b/>
        </w:rPr>
        <w:t xml:space="preserve">The Wildfire Dataset (Kaggle):</w:t>
      </w:r>
      <w:r>
        <w:t xml:space="preserve"> </w:t>
      </w:r>
      <w:r>
        <w:t xml:space="preserve">https://www.kaggle.com/datasets/elmadafri/the-wildfire-dataset - used for image-based fire and non-fire detection experiments.</w:t>
      </w:r>
    </w:p>
    <w:p>
      <w:pPr>
        <w:pStyle w:val="Compact"/>
        <w:numPr>
          <w:ilvl w:val="0"/>
          <w:numId w:val="1004"/>
        </w:numPr>
      </w:pPr>
      <w:r>
        <w:rPr>
          <w:b/>
        </w:rPr>
        <w:t xml:space="preserve">Event Recognition in Aerial Videos (ERA) Dataset:</w:t>
      </w:r>
      <w:r>
        <w:t xml:space="preserve"> </w:t>
      </w:r>
      <w:r>
        <w:t xml:space="preserve">https://lcmou.github.io/ERA_Dataset/ - used to obtain real aerial video clips for fire and non-fire video evaluation.</w:t>
      </w:r>
    </w:p>
    <w:p>
      <w:pPr>
        <w:pStyle w:val="Compact"/>
        <w:numPr>
          <w:ilvl w:val="0"/>
          <w:numId w:val="1004"/>
        </w:numPr>
      </w:pPr>
      <w:r>
        <w:rPr>
          <w:b/>
        </w:rPr>
        <w:t xml:space="preserve">Boreal Forest Fire: UAV-collected Wildfire Detection and Smoke Segmentation Dataset:</w:t>
      </w:r>
      <w:r>
        <w:t xml:space="preserve"> </w:t>
      </w:r>
      <w:r>
        <w:t xml:space="preserve">https://etsin.fairdata.fi/dataset/1dce1023-493a-4d63-a906-f2a44f831898 - used to obtain UAV-acquired wildfire video clips for the fire class.</w:t>
      </w:r>
    </w:p>
    <w:p>
      <w:pPr>
        <w:pStyle w:val="FirstParagraph"/>
      </w:pPr>
      <w:r>
        <w:t xml:space="preserve">The detector source code, evaluation scripts, raw per-image and per-clip result files, labels, file hashes, and release manifest are publicly available at</w:t>
      </w:r>
      <w:r>
        <w:t xml:space="preserve"> </w:t>
      </w:r>
      <w:hyperlink r:id="rId42">
        <w:r>
          <w:rPr>
            <w:rStyle w:val="Hyperlink"/>
          </w:rPr>
          <w:t xml:space="preserve">https://github.com/gazitoprak06/iov-supported-drone-fire-detection</w:t>
        </w:r>
      </w:hyperlink>
      <w:r>
        <w:t xml:space="preserve">. The repository contains a detailed</w:t>
      </w:r>
      <w:r>
        <w:t xml:space="preserve"> </w:t>
      </w:r>
      <w:r>
        <w:rPr>
          <w:rStyle w:val="VerbatimChar"/>
        </w:rPr>
        <w:t xml:space="preserve">README.md</w:t>
      </w:r>
      <w:r>
        <w:t xml:space="preserve"> </w:t>
      </w:r>
      <w:r>
        <w:t xml:space="preserve">documenting how to reproduce the reported values.</w:t>
      </w:r>
    </w:p>
    <w:p>
      <w:pPr>
        <w:pStyle w:val="BodyText"/>
      </w:pPr>
      <w:r>
        <w:rPr>
          <w:b/>
        </w:rPr>
        <w:t xml:space="preserve">Ethics Approval:</w:t>
      </w:r>
      <w:r>
        <w:t xml:space="preserve"> </w:t>
      </w:r>
      <w:r>
        <w:t xml:space="preserve">Not applicable. This study did not involve human participants or animals.</w:t>
      </w:r>
    </w:p>
    <w:p>
      <w:pPr>
        <w:pStyle w:val="BodyText"/>
      </w:pPr>
      <w:r>
        <w:rPr>
          <w:b/>
        </w:rPr>
        <w:t xml:space="preserve">Conflicts of Interest:</w:t>
      </w:r>
      <w:r>
        <w:t xml:space="preserve"> </w:t>
      </w:r>
      <w:r>
        <w:t xml:space="preserve">The authors declare no conflicts of interest to report regarding the present study.</w:t>
      </w:r>
    </w:p>
    <w:p>
      <w:pPr>
        <w:pStyle w:val="Heading2"/>
      </w:pPr>
      <w:bookmarkStart w:id="43" w:name="references"/>
      <w:r>
        <w:t xml:space="preserve">References</w:t>
      </w:r>
      <w:bookmarkEnd w:id="43"/>
    </w:p>
    <w:p>
      <w:pPr>
        <w:pStyle w:val="Compact"/>
        <w:numPr>
          <w:ilvl w:val="0"/>
          <w:numId w:val="1005"/>
        </w:numPr>
      </w:pPr>
      <w:r>
        <w:t xml:space="preserve">Yuan C, Zhang Y, Liu Z. A survey on technologies for automatic forest fire monitoring, detection, and fighting using unmanned aerial vehicles and remote sensing techniques. Can J For Res. 2015;45(7):783–92. doi:10.1139/cjfr-2014-0347.</w:t>
      </w:r>
    </w:p>
    <w:p>
      <w:pPr>
        <w:pStyle w:val="Compact"/>
        <w:numPr>
          <w:ilvl w:val="0"/>
          <w:numId w:val="1005"/>
        </w:numPr>
      </w:pPr>
      <w:r>
        <w:t xml:space="preserve">Alexandridis A, Vakalis D, Siettos CI, Bafas GV. A cellular automata model for forest fire spread prediction: the case of the wildfire that swept through Spetses Island in 1990. Appl Math Comput. 2008;204(1):191–201. doi:10.1016/j.amc.2008.06.046.</w:t>
      </w:r>
    </w:p>
    <w:p>
      <w:pPr>
        <w:pStyle w:val="Compact"/>
        <w:numPr>
          <w:ilvl w:val="0"/>
          <w:numId w:val="1005"/>
        </w:numPr>
      </w:pPr>
      <w:r>
        <w:t xml:space="preserve">Finney MA. FARSITE: fire area simulator—model development and evaluation. Research Paper RMRS-RP-4. Ogden, UT, USA: US Department of Agriculture, Forest Service, Rocky Mountain Research Station; 1998. doi:10.2737/rmrs-rp-4.</w:t>
      </w:r>
    </w:p>
    <w:p>
      <w:pPr>
        <w:pStyle w:val="Compact"/>
        <w:numPr>
          <w:ilvl w:val="0"/>
          <w:numId w:val="1005"/>
        </w:numPr>
      </w:pPr>
      <w:r>
        <w:t xml:space="preserve">Barmpoutis P, Papaioannou P, Dimitropoulos K, Grammalidis N. A review on early forest fire detection systems using optical remote sensing. Sensors. 2020;20(22):6442. doi:10.3390/s20226442.</w:t>
      </w:r>
    </w:p>
    <w:p>
      <w:pPr>
        <w:pStyle w:val="Compact"/>
        <w:numPr>
          <w:ilvl w:val="0"/>
          <w:numId w:val="1005"/>
        </w:numPr>
      </w:pPr>
      <w:r>
        <w:t xml:space="preserve">Merino L, Caballero F, Martínez-de-Dios JR, Maza I, Ollero A. An unmanned aircraft system for automatic forest fire monitoring and measurement. J Intell Robot Syst. 2012;65(1–4):533–48. doi:10.1007/s10846-011-9560-x.</w:t>
      </w:r>
    </w:p>
    <w:p>
      <w:pPr>
        <w:pStyle w:val="Compact"/>
        <w:numPr>
          <w:ilvl w:val="0"/>
          <w:numId w:val="1005"/>
        </w:numPr>
      </w:pPr>
      <w:r>
        <w:t xml:space="preserve">Ollero A, Martínez-de-Dios JR, Merino L. Unmanned aerial vehicles as tools for forest-fire fighting. For Ecol Manag. 2006;234:S263. doi:10.1016/j.foreco.2006.08.292.</w:t>
      </w:r>
    </w:p>
    <w:p>
      <w:pPr>
        <w:pStyle w:val="Compact"/>
        <w:numPr>
          <w:ilvl w:val="0"/>
          <w:numId w:val="1005"/>
        </w:numPr>
      </w:pPr>
      <w:r>
        <w:t xml:space="preserve">Galceran E, Carreras M. A survey on coverage path planning for robotics. Robot Auton Syst. 2013;61(12):1258–76. doi:10.1016/j.robot.2013.09.004.</w:t>
      </w:r>
    </w:p>
    <w:p>
      <w:pPr>
        <w:pStyle w:val="Compact"/>
        <w:numPr>
          <w:ilvl w:val="0"/>
          <w:numId w:val="1005"/>
        </w:numPr>
      </w:pPr>
      <w:r>
        <w:t xml:space="preserve">Shi W, Cao J, Zhang Q, Li Y, Xu L. Edge computing: vision and challenges. IEEE Internet Things J. 2016;3(5):637–46. doi:10.1109/jiot.2016.2579198.</w:t>
      </w:r>
    </w:p>
    <w:p>
      <w:pPr>
        <w:pStyle w:val="Compact"/>
        <w:numPr>
          <w:ilvl w:val="0"/>
          <w:numId w:val="1005"/>
        </w:numPr>
      </w:pPr>
      <w:r>
        <w:t xml:space="preserve">Stolaroff JK, Samaras C, O'Neill ER, Lubers A, Mitchell AS, Ceperley D. Energy use and life cycle greenhouse gas emissions of drones for commercial package delivery. Nat Commun. 2018;9(1):409. doi:10.1038/s41467-017-02411-5.</w:t>
      </w:r>
    </w:p>
    <w:p>
      <w:pPr>
        <w:pStyle w:val="Compact"/>
        <w:numPr>
          <w:ilvl w:val="0"/>
          <w:numId w:val="1005"/>
        </w:numPr>
      </w:pPr>
      <w:r>
        <w:t xml:space="preserve">Chen TH, Wu PH, Chiou YC. An early fire-detection method based on image processing. In: Proceedings of the 2004 International Conference on Image Processing (ICIP); 2004 Oct 24–27; Singapore. New York, NY, USA: IEEE; 2004. p. 1707–10. doi:10.1109/icip.2004.1421401.</w:t>
      </w:r>
    </w:p>
    <w:p>
      <w:pPr>
        <w:pStyle w:val="Compact"/>
        <w:numPr>
          <w:ilvl w:val="0"/>
          <w:numId w:val="1005"/>
        </w:numPr>
      </w:pPr>
      <w:r>
        <w:t xml:space="preserve">Çelik T, Demirel H. Fire detection in video sequences using a generic color model. Fire Saf J. 2009;44(2):147–58. doi:10.1016/j.firesaf.2008.05.005.</w:t>
      </w:r>
    </w:p>
    <w:p>
      <w:pPr>
        <w:pStyle w:val="Compact"/>
        <w:numPr>
          <w:ilvl w:val="0"/>
          <w:numId w:val="1005"/>
        </w:numPr>
      </w:pPr>
      <w:r>
        <w:t xml:space="preserve">Giwa O, Benkrid A. A new flame-based colour space for efficient fire detection. IET Image Process. 2024;18(5):1229–44. doi:10.1049/ipr2.13022.</w:t>
      </w:r>
    </w:p>
    <w:p>
      <w:pPr>
        <w:pStyle w:val="Compact"/>
        <w:numPr>
          <w:ilvl w:val="0"/>
          <w:numId w:val="1005"/>
        </w:numPr>
      </w:pPr>
      <w:r>
        <w:t xml:space="preserve">Phillips W, Shah M, da Vitoria Lobo N. Flame recognition in video. Pattern Recognit Lett. 2002;23(1–3):319–27. doi:10.1016/s0167-8655(01)00135-0.</w:t>
      </w:r>
    </w:p>
    <w:p>
      <w:pPr>
        <w:pStyle w:val="Compact"/>
        <w:numPr>
          <w:ilvl w:val="0"/>
          <w:numId w:val="1005"/>
        </w:numPr>
      </w:pPr>
      <w:r>
        <w:t xml:space="preserve">Zhao ZQ, Zheng P, Xu ST, Wu X. Object detection with deep learning: a review. IEEE Trans Neural Netw Learn Syst. 2019;30(11):3212–32. doi:10.1109/tnnls.2018.2876865.</w:t>
      </w:r>
    </w:p>
    <w:p>
      <w:pPr>
        <w:pStyle w:val="Compact"/>
        <w:numPr>
          <w:ilvl w:val="0"/>
          <w:numId w:val="1005"/>
        </w:numPr>
      </w:pPr>
      <w:r>
        <w:t xml:space="preserve">Felzenszwalb PF, Girshick RB, McAllester D, Ramanan D. Object detection with discriminatively trained part-based models. IEEE Trans Pattern Anal Mach Intell. 2010;32(9):1627–45. doi:10.1109/tpami.2009.167.</w:t>
      </w:r>
    </w:p>
    <w:p>
      <w:pPr>
        <w:pStyle w:val="Compact"/>
        <w:numPr>
          <w:ilvl w:val="0"/>
          <w:numId w:val="1005"/>
        </w:numPr>
      </w:pPr>
      <w:r>
        <w:t xml:space="preserve">Jiao Z, Zhang Y, Xin J, Mu L, Yi Y, Liu H, et al. A deep learning based forest fire detection approach using UAV and YOLOv3. In: Proceedings of the 2019 1st International Conference on Industrial Artificial Intelligence (IAI); 2019 Jul 23–25; Shenyang, China. New York, NY, USA: IEEE; 2019. p. 1–5. doi:10.1109/iciai.2019.8850815.</w:t>
      </w:r>
    </w:p>
    <w:p>
      <w:pPr>
        <w:pStyle w:val="Compact"/>
        <w:numPr>
          <w:ilvl w:val="0"/>
          <w:numId w:val="1005"/>
        </w:numPr>
      </w:pPr>
      <w:r>
        <w:t xml:space="preserve">Muhammad K, Ahmad J, Baik SW. Early fire detection using convolutional neural networks during surveillance for effective disaster management. Neurocomputing. 2018;288:30–42. doi:10.1016/j.neucom.2017.04.083.</w:t>
      </w:r>
    </w:p>
    <w:p>
      <w:pPr>
        <w:pStyle w:val="Compact"/>
        <w:numPr>
          <w:ilvl w:val="0"/>
          <w:numId w:val="1005"/>
        </w:numPr>
      </w:pPr>
      <w:r>
        <w:t xml:space="preserve">Sharma J, Granmo OC, Goodwin M, Fidje JT. Deep convolutional neural networks for fire detection in images. In: Proceedings of the 18th International Conference on Engineering Applications of Neural Networks (EANN); 2017 Aug 25–27; Athens, Greece. Cham, Switzerland: Springer; 2017. p. 183–93. doi:10.1007/978-3-319-65172-9_16.</w:t>
      </w:r>
    </w:p>
    <w:p>
      <w:pPr>
        <w:pStyle w:val="Compact"/>
        <w:numPr>
          <w:ilvl w:val="0"/>
          <w:numId w:val="1005"/>
        </w:numPr>
      </w:pPr>
      <w:r>
        <w:t xml:space="preserve">Gonzalez RC, Woods RE. Digital image processing. 3rd ed. Upper Saddle River, NJ, USA: Pearson Prentice Hall; 2008.</w:t>
      </w:r>
    </w:p>
    <w:p>
      <w:pPr>
        <w:pStyle w:val="Compact"/>
        <w:numPr>
          <w:ilvl w:val="0"/>
          <w:numId w:val="1005"/>
        </w:numPr>
      </w:pPr>
      <w:r>
        <w:t xml:space="preserve">Hwang CL, Yoon K. Multiple attribute decision making: methods and applications—a state-of-the-art survey. Berlin, Germany: Springer-Verlag; 1981. doi:10.1007/978-3-642-48318-9.</w:t>
      </w:r>
    </w:p>
    <w:p>
      <w:pPr>
        <w:pStyle w:val="Compact"/>
        <w:numPr>
          <w:ilvl w:val="0"/>
          <w:numId w:val="1005"/>
        </w:numPr>
      </w:pPr>
      <w:r>
        <w:t xml:space="preserve">Rezatofighi H, Tsoi N, Gwak J, Sadeghian A, Reid I, Savarese S. Generalized intersection over union: a metric and a loss for bounding box regression. In: Proceedings of the 2019 IEEE/CVF Conference on Computer Vision and Pattern Recognition (CVPR); 2019 Jun 15–20; Long Beach, CA, USA. New York, NY, USA: IEEE; 2019. p. 658–66. doi:10.1109/cvpr.2019.00075.</w:t>
      </w:r>
    </w:p>
    <w:p>
      <w:pPr>
        <w:pStyle w:val="Compact"/>
        <w:numPr>
          <w:ilvl w:val="0"/>
          <w:numId w:val="1005"/>
        </w:numPr>
      </w:pPr>
      <w:r>
        <w:t xml:space="preserve">Bouguettaya A, Zarzour H, Taberkit AM, Kechida A. A review on early wildfire detection from unmanned aerial vehicles using deep learning-based computer vision algorithms. Signal Process. 2022;190:108309. doi:10.1016/j.sigpro.2021.108309.</w:t>
      </w:r>
    </w:p>
    <w:p>
      <w:pPr>
        <w:pStyle w:val="Compact"/>
        <w:numPr>
          <w:ilvl w:val="0"/>
          <w:numId w:val="1005"/>
        </w:numPr>
      </w:pPr>
      <w:r>
        <w:t xml:space="preserve">Luan T, Zhou S, Zhang G, Song Z, Wu J, Pan W. Enhanced lightweight YOLOX for small object wildfire detection in UAV imagery. Sensors. 2024;24(9):2710. doi:10.3390/s24092710.</w:t>
      </w:r>
    </w:p>
    <w:p>
      <w:pPr>
        <w:pStyle w:val="Compact"/>
        <w:numPr>
          <w:ilvl w:val="0"/>
          <w:numId w:val="1005"/>
        </w:numPr>
      </w:pPr>
      <w:r>
        <w:t xml:space="preserve">Lu J, Zheng Y, Guan L, Lin B, Shi W, Zhang J, et al. FCMI-YOLO: an efficient deep learning-based algorithm for real-time fire detection on edge devices. PLoS One. 2025;20(8):e0329555. doi:10.1371/journal.pone.0329555.</w:t>
      </w:r>
    </w:p>
    <w:p>
      <w:pPr>
        <w:pStyle w:val="Compact"/>
        <w:numPr>
          <w:ilvl w:val="0"/>
          <w:numId w:val="1005"/>
        </w:numPr>
      </w:pPr>
      <w:r>
        <w:t xml:space="preserve">Mamadmurodov A, Umirzakova S, Rakhimov M, Kutlimuratov A, Temirov Z, Nasimov R, et al. A hybrid deep learning model for early forest fire detection. Forests. 2025;16(5):863. doi:10.3390/f16050863.</w:t>
      </w:r>
    </w:p>
    <w:p>
      <w:pPr>
        <w:pStyle w:val="Compact"/>
        <w:numPr>
          <w:ilvl w:val="0"/>
          <w:numId w:val="1005"/>
        </w:numPr>
      </w:pPr>
      <w:r>
        <w:t xml:space="preserve">Titu MFS, Pavel MA, Michael GKO, Babar H, Aman U, Khan R. Real-time fire detection: integrating lightweight deep learning models on drones with edge computing. Drones. 2024;8(9):483. doi:10.3390/drones8090483.</w:t>
      </w:r>
    </w:p>
    <w:p>
      <w:pPr>
        <w:pStyle w:val="Compact"/>
        <w:numPr>
          <w:ilvl w:val="0"/>
          <w:numId w:val="1005"/>
        </w:numPr>
      </w:pPr>
      <w:r>
        <w:t xml:space="preserve">Hemmati A, Zarei M, Souri A. UAV-based Internet of Vehicles: a systematic literature review. Intell Syst Appl. 2023;18:200226. doi:10.1016/j.iswa.2023.200226.</w:t>
      </w:r>
    </w:p>
    <w:p>
      <w:pPr>
        <w:pStyle w:val="Compact"/>
        <w:numPr>
          <w:ilvl w:val="0"/>
          <w:numId w:val="1005"/>
        </w:numPr>
      </w:pPr>
      <w:r>
        <w:t xml:space="preserve">Souri A, Zarei M, Hemmati A, Gao M. A systematic literature review of vehicular connectivity and V2X communications: technical aspects and new challenges. Int J Commun Syst. 2024;37(10):e5780. doi:10.1002/dac.5780.</w:t>
      </w:r>
    </w:p>
    <w:p>
      <w:pPr>
        <w:pStyle w:val="Compact"/>
        <w:numPr>
          <w:ilvl w:val="0"/>
          <w:numId w:val="1005"/>
        </w:numPr>
      </w:pPr>
      <w:r>
        <w:t xml:space="preserve">Ebrahimishadman M, Souri A. Edge-optimized automatic number plate recognition for IoT-based smart parking using YOLOv8. Comput Mater Contin. 2026;88(3):84. doi:10.32604/cmc.2026.084246.</w:t>
      </w:r>
    </w:p>
    <w:p>
      <w:pPr>
        <w:pStyle w:val="Compact"/>
        <w:numPr>
          <w:ilvl w:val="0"/>
          <w:numId w:val="1005"/>
        </w:numPr>
      </w:pPr>
      <w:r>
        <w:t xml:space="preserve">Serra J. Image analysis and mathematical morphology. London, UK: Academic Press; 1982.</w:t>
      </w:r>
    </w:p>
    <w:p>
      <w:pPr>
        <w:pStyle w:val="Compact"/>
        <w:numPr>
          <w:ilvl w:val="0"/>
          <w:numId w:val="1005"/>
        </w:numPr>
      </w:pPr>
      <w:r>
        <w:t xml:space="preserve">Ko BC, Kwak JY, Nam JY. Wildfire smoke detection using temporospatial features and random forest classifiers. Opt Eng. 2012;51(1):017208. doi:10.1117/1.oe.51.1.017208.</w:t>
      </w:r>
    </w:p>
    <w:p>
      <w:pPr>
        <w:pStyle w:val="Compact"/>
        <w:numPr>
          <w:ilvl w:val="0"/>
          <w:numId w:val="1005"/>
        </w:numPr>
      </w:pPr>
      <w:r>
        <w:t xml:space="preserve">Zuiderveld K. Contrast limited adaptive histogram equalization. In: Heckbert PS, editor. Graphics gems IV. San Diego, CA, USA: Academic Press; 1994. p. 474–85.</w:t>
      </w:r>
    </w:p>
    <w:p>
      <w:pPr>
        <w:pStyle w:val="Compact"/>
        <w:numPr>
          <w:ilvl w:val="0"/>
          <w:numId w:val="1005"/>
        </w:numPr>
      </w:pPr>
      <w:r>
        <w:t xml:space="preserve">El-Madafri I, Peña M, Olmedo-Torre N. The wildfire dataset: enhancing deep learning-based forest fire detection with a diverse evolving open-source dataset focused on data representativeness and a novel multi-task learning approach. Forests. 2023;14(9):1697. doi:10.3390/f14091697.</w:t>
      </w:r>
    </w:p>
    <w:p>
      <w:pPr>
        <w:pStyle w:val="Compact"/>
        <w:numPr>
          <w:ilvl w:val="0"/>
          <w:numId w:val="1005"/>
        </w:numPr>
      </w:pPr>
      <w:r>
        <w:t xml:space="preserve">Howard A, Sandler M, Chen B, Wang W, Chen LC, Tan M, et al. Searching for MobileNetV3. In: Proceedings of the 2019 IEEE/CVF International Conference on Computer Vision (ICCV); 2019 Oct 27–Nov 2; Seoul, Republic of Korea. New York, NY, USA: IEEE; 2019. p. 1314–24. doi:10.1109/iccv.2019.00140.</w:t>
      </w:r>
    </w:p>
    <w:p>
      <w:pPr>
        <w:pStyle w:val="Compact"/>
        <w:numPr>
          <w:ilvl w:val="0"/>
          <w:numId w:val="1005"/>
        </w:numPr>
      </w:pPr>
      <w:r>
        <w:t xml:space="preserve">Selvaraju RR, Cogswell M, Das A, Vedantam R, Parikh D, Batra D. Grad-CAM: visual explanations from deep networks via gradient-based localization. In: Proceedings of the 2017 IEEE International Conference on Computer Vision (ICCV); 2017 Oct 22–29; Venice, Italy. New York, NY, USA: IEEE; 2017. p. 618–26. doi:10.1109/iccv.2017.74.</w:t>
      </w:r>
    </w:p>
    <w:p>
      <w:pPr>
        <w:pStyle w:val="Compact"/>
        <w:numPr>
          <w:ilvl w:val="0"/>
          <w:numId w:val="1005"/>
        </w:numPr>
      </w:pPr>
      <w:r>
        <w:t xml:space="preserve">Mou L, Hua Y, Jin P, Zhu XX. ERA: a data set and deep learning benchmark for event recognition in aerial videos. IEEE Geosci Remote Sens Mag. 2020;8(4):125–33. doi:10.1109/mgrs.2020.3005751.</w:t>
      </w:r>
    </w:p>
    <w:p>
      <w:pPr>
        <w:pStyle w:val="Compact"/>
        <w:numPr>
          <w:ilvl w:val="0"/>
          <w:numId w:val="1005"/>
        </w:numPr>
      </w:pPr>
      <w:r>
        <w:t xml:space="preserve">Pesonen J, Raita-Hakola AM, Joutsalainen J, Hakala T, Akhtar W, Koivumäki N, et al. Boreal forest fire: UAV-collected wildfire detection and smoke segmentation dataset. Sci Data. 2025;12:1428. doi:10.1038/s41597-025-05634-0.</w:t>
      </w:r>
    </w:p>
    <w:sectPr>
      <w:pgSz w:w="11906" w:h="16838"/>
      <w:pgMar w:top="1134" w:right="1134" w:bottom="1134" w:left="1134" w:header="567" w:footer="567"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01">
    <w:nsid w:val="71315dca"/>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Root w:val="00590D07"/>
    <w:rsid w:val="00011C8B"/>
    <w:rsid w:val="004E29B3"/>
    <w:rsid w:val="00590D07"/>
    <w:rsid w:val="00784D58"/>
    <w:rsid w:val="008D6863"/>
    <w:rsid w:val="00B86B75"/>
    <w:rsid w:val="00BC48D5"/>
    <w:rsid w:val="00C36279"/>
    <w:rsid w:val="00E315A3"/>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1"/>
        <w:szCs w:val="21"/>
        <w:lang w:val="en" w:eastAsia="en-US" w:bidi="ar-SA"/>
      </w:rPr>
    </w:rPrDefault>
    <w:pPrDefault>
      <w:pPr>
        <w:spacing w:before="0" w:after="110" w:line="240" w:lineRule="auto"/>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200" w:after="90"/>
      <w:jc w:val="center"/>
    </w:pPr>
    <w:rPr>
      <w:rFonts w:asciiTheme="majorHAnsi" w:eastAsiaTheme="majorEastAsia" w:hAnsiTheme="majorHAnsi" w:cstheme="majorBidi"/>
      <w:b/>
      <w:bCs/>
      <w:color w:val="000000"/>
      <w:sz w:val="30"/>
      <w:szCs w:val="30"/>
    </w:rPr>
  </w:style>
  <w:style w:type="paragraph" w:styleId="Subtitle">
    <w:name w:val="Subtitle"/>
    <w:basedOn w:val="Title"/>
    <w:next w:val="BodyText"/>
    <w:qFormat/>
    <w:pPr>
      <w:keepNext/>
      <w:keepLines/>
      <w:spacing w:before="240" w:after="240"/>
      <w:jc w:val="center"/>
    </w:pPr>
    <w:rPr>
      <w:color w:val="000000"/>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200" w:after="90"/>
      <w:outlineLvl w:val="0"/>
    </w:pPr>
    <w:rPr>
      <w:rFonts w:asciiTheme="majorHAnsi" w:eastAsiaTheme="majorEastAsia" w:hAnsiTheme="majorHAnsi" w:cstheme="majorBidi"/>
      <w:b/>
      <w:bCs/>
      <w:color w:val="000000"/>
      <w:sz w:val="24"/>
      <w:szCs w:val="24"/>
    </w:rPr>
  </w:style>
  <w:style w:type="paragraph" w:styleId="Heading2">
    <w:name w:val="Heading 2"/>
    <w:basedOn w:val="Normal"/>
    <w:next w:val="BodyText"/>
    <w:uiPriority w:val="9"/>
    <w:unhideWhenUsed/>
    <w:qFormat/>
    <w:pPr>
      <w:keepNext/>
      <w:keepLines/>
      <w:spacing w:before="200" w:after="90"/>
      <w:outlineLvl w:val="1"/>
    </w:pPr>
    <w:rPr>
      <w:rFonts w:asciiTheme="majorHAnsi" w:eastAsiaTheme="majorEastAsia" w:hAnsiTheme="majorHAnsi" w:cstheme="majorBidi"/>
      <w:b/>
      <w:bCs/>
      <w:color w:val="000000"/>
      <w:sz w:val="22"/>
      <w:szCs w:val="22"/>
    </w:rPr>
  </w:style>
  <w:style w:type="paragraph" w:styleId="Heading3">
    <w:name w:val="Heading 3"/>
    <w:basedOn w:val="Normal"/>
    <w:next w:val="BodyText"/>
    <w:uiPriority w:val="9"/>
    <w:unhideWhenUsed/>
    <w:qFormat/>
    <w:pPr>
      <w:keepNext/>
      <w:keepLines/>
      <w:spacing w:before="200" w:after="90"/>
      <w:outlineLvl w:val="2"/>
    </w:pPr>
    <w:rPr>
      <w:rFonts w:asciiTheme="majorHAnsi" w:eastAsiaTheme="majorEastAsia" w:hAnsiTheme="majorHAnsi" w:cstheme="majorBidi"/>
      <w:b/>
      <w:bCs/>
      <w:color w:val="000000"/>
      <w:sz w:val="21"/>
      <w:szCs w:val="21"/>
    </w:rPr>
  </w:style>
  <w:style w:type="paragraph" w:styleId="Heading4">
    <w:name w:val="Heading 4"/>
    <w:basedOn w:val="Normal"/>
    <w:next w:val="BodyText"/>
    <w:uiPriority w:val="9"/>
    <w:unhideWhenUsed/>
    <w:qFormat/>
    <w:pPr>
      <w:keepNext/>
      <w:keepLines/>
      <w:spacing w:before="200" w:after="90"/>
      <w:outlineLvl w:val="3"/>
    </w:pPr>
    <w:rPr>
      <w:rFonts w:asciiTheme="majorHAnsi" w:eastAsiaTheme="majorEastAsia" w:hAnsiTheme="majorHAnsi" w:cstheme="majorBidi"/>
      <w:i/>
      <w:bCs/>
      <w:color w:val="000000"/>
      <w:sz w:val="21"/>
      <w:szCs w:val="21"/>
    </w:rPr>
  </w:style>
  <w:style w:type="paragraph" w:styleId="Heading5">
    <w:name w:val="Heading 5"/>
    <w:basedOn w:val="Normal"/>
    <w:next w:val="BodyText"/>
    <w:uiPriority w:val="9"/>
    <w:unhideWhenUsed/>
    <w:qFormat/>
    <w:pPr>
      <w:keepNext/>
      <w:keepLines/>
      <w:spacing w:before="200" w:after="90"/>
      <w:outlineLvl w:val="4"/>
    </w:pPr>
    <w:rPr>
      <w:rFonts w:asciiTheme="majorHAnsi" w:eastAsiaTheme="majorEastAsia" w:hAnsiTheme="majorHAnsi" w:cstheme="majorBidi"/>
      <w:iCs/>
      <w:color w:val="000000"/>
      <w:sz w:val="21"/>
      <w:szCs w:val="21"/>
    </w:rPr>
  </w:style>
  <w:style w:type="paragraph" w:styleId="Heading6">
    <w:name w:val="Heading 6"/>
    <w:basedOn w:val="Normal"/>
    <w:next w:val="BodyText"/>
    <w:uiPriority w:val="9"/>
    <w:unhideWhenUsed/>
    <w:qFormat/>
    <w:pPr>
      <w:keepNext/>
      <w:keepLines/>
      <w:spacing w:before="200" w:after="90"/>
      <w:outlineLvl w:val="5"/>
    </w:pPr>
    <w:rPr>
      <w:rFonts w:asciiTheme="majorHAnsi" w:eastAsiaTheme="majorEastAsia" w:hAnsiTheme="majorHAnsi" w:cstheme="majorBidi"/>
      <w:color w:val="000000"/>
      <w:sz w:val="21"/>
      <w:szCs w:val="2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 Target="media/rId38.png" /><Relationship Type="http://schemas.openxmlformats.org/officeDocument/2006/relationships/image" Id="rId29" Target="media/rId29.png" /><Relationship Type="http://schemas.openxmlformats.org/officeDocument/2006/relationships/image" Id="rId31" Target="media/rId31.png" /><Relationship Type="http://schemas.openxmlformats.org/officeDocument/2006/relationships/image" Id="rId28" Target="media/rId28.png" /><Relationship Type="http://schemas.openxmlformats.org/officeDocument/2006/relationships/image" Id="rId30" Target="media/rId30.png" /><Relationship Type="http://schemas.openxmlformats.org/officeDocument/2006/relationships/image" Id="rId39" Target="media/rId39.png" /><Relationship Type="http://schemas.openxmlformats.org/officeDocument/2006/relationships/image" Id="rId40" Target="media/rId40.png" /><Relationship Type="http://schemas.openxmlformats.org/officeDocument/2006/relationships/hyperlink" Id="rId42" Target="https://github.com/gazitoprak06/iov-supported-drone-fire-detection" TargetMode="External" /></Relationships>
</file>

<file path=word/_rels/footnotes.xml.rels><?xml version="1.0" encoding="UTF-8"?>
<Relationships xmlns="http://schemas.openxmlformats.org/package/2006/relationships"><Relationship Type="http://schemas.openxmlformats.org/officeDocument/2006/relationships/hyperlink" Id="rId42" Target="https://github.com/gazitoprak06/iov-supported-drone-fire-detec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000000"/>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2026-10-13T19:03:17Z</dcterms:created>
  <dcterms:modified xsi:type="dcterms:W3CDTF">2026-10-13T19:03:17Z</dcterms:modified>
</cp:coreProperties>
</file>

<file path=docProps/custom.xml><?xml version="1.0" encoding="utf-8"?>
<Properties xmlns="http://schemas.openxmlformats.org/officeDocument/2006/custom-properties" xmlns:vt="http://schemas.openxmlformats.org/officeDocument/2006/docPropsVTypes"/>
</file>